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922F0F">
      <w:pPr>
        <w:jc w:val="center"/>
        <w:rPr>
          <w:rFonts w:ascii="宋体"/>
          <w:b/>
          <w:bCs/>
          <w:color w:val="auto"/>
          <w:sz w:val="48"/>
          <w:szCs w:val="48"/>
        </w:rPr>
      </w:pPr>
    </w:p>
    <w:p w14:paraId="24DAD52E">
      <w:pPr>
        <w:jc w:val="center"/>
        <w:rPr>
          <w:rFonts w:ascii="宋体"/>
          <w:b/>
          <w:bCs/>
          <w:color w:val="auto"/>
          <w:sz w:val="48"/>
          <w:szCs w:val="48"/>
        </w:rPr>
      </w:pPr>
    </w:p>
    <w:p w14:paraId="01CA4DB8">
      <w:pPr>
        <w:pStyle w:val="3"/>
        <w:spacing w:line="413" w:lineRule="auto"/>
        <w:jc w:val="center"/>
        <w:rPr>
          <w:rFonts w:hint="default" w:ascii="宋体" w:hAnsi="宋体" w:eastAsia="宋体" w:cs="宋体"/>
          <w:b/>
          <w:bCs/>
          <w:color w:val="auto"/>
          <w:w w:val="100"/>
          <w:sz w:val="56"/>
          <w:szCs w:val="56"/>
          <w:highlight w:val="none"/>
          <w:shd w:val="clear" w:color="auto" w:fill="auto"/>
          <w:lang w:val="en-US" w:bidi="ar"/>
        </w:rPr>
      </w:pPr>
      <w:bookmarkStart w:id="0" w:name="OLE_LINK1"/>
      <w:r>
        <w:rPr>
          <w:rFonts w:hint="eastAsia" w:ascii="宋体" w:hAnsi="宋体" w:eastAsia="宋体" w:cs="宋体"/>
          <w:b/>
          <w:bCs/>
          <w:color w:val="auto"/>
          <w:w w:val="100"/>
          <w:sz w:val="56"/>
          <w:szCs w:val="56"/>
          <w:highlight w:val="none"/>
          <w:shd w:val="clear" w:color="auto" w:fill="auto"/>
          <w:lang w:val="en-US" w:eastAsia="zh-CN" w:bidi="ar"/>
        </w:rPr>
        <w:t>实验室能力建设提升项目初步设计采购文件</w:t>
      </w:r>
    </w:p>
    <w:bookmarkEnd w:id="0"/>
    <w:p w14:paraId="4AF7CBC8">
      <w:pPr>
        <w:spacing w:line="0" w:lineRule="atLeast"/>
        <w:jc w:val="center"/>
        <w:outlineLvl w:val="0"/>
        <w:rPr>
          <w:rFonts w:ascii="宋体"/>
          <w:b/>
          <w:color w:val="auto"/>
          <w:sz w:val="52"/>
          <w:szCs w:val="52"/>
        </w:rPr>
      </w:pPr>
    </w:p>
    <w:p w14:paraId="7B9FC028">
      <w:pPr>
        <w:spacing w:line="276" w:lineRule="auto"/>
        <w:jc w:val="center"/>
        <w:rPr>
          <w:rFonts w:ascii="方正小标宋简体" w:eastAsia="方正小标宋简体"/>
          <w:bCs/>
          <w:color w:val="auto"/>
          <w:sz w:val="36"/>
          <w:szCs w:val="36"/>
        </w:rPr>
      </w:pPr>
    </w:p>
    <w:p w14:paraId="54D50CF1">
      <w:pPr>
        <w:spacing w:line="276" w:lineRule="auto"/>
        <w:jc w:val="center"/>
        <w:rPr>
          <w:rFonts w:ascii="方正小标宋简体" w:eastAsia="方正小标宋简体"/>
          <w:bCs/>
          <w:color w:val="auto"/>
          <w:sz w:val="36"/>
          <w:szCs w:val="36"/>
        </w:rPr>
      </w:pPr>
    </w:p>
    <w:p w14:paraId="0D8512A6">
      <w:pPr>
        <w:ind w:firstLine="2249" w:firstLineChars="70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采购单位：福建省福州环境监测中心站</w:t>
      </w:r>
    </w:p>
    <w:p w14:paraId="7580EBA5">
      <w:pPr>
        <w:ind w:firstLine="2249" w:firstLineChars="700"/>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rPr>
        <w:t>项目编号：</w:t>
      </w:r>
      <w:r>
        <w:rPr>
          <w:rFonts w:hint="eastAsia" w:ascii="仿宋_GB2312" w:hAnsi="仿宋_GB2312" w:eastAsia="仿宋_GB2312" w:cs="仿宋_GB2312"/>
          <w:b/>
          <w:sz w:val="32"/>
          <w:szCs w:val="32"/>
        </w:rPr>
        <w:t>FZHJJC-202601</w:t>
      </w:r>
      <w:r>
        <w:rPr>
          <w:rFonts w:hint="eastAsia" w:ascii="仿宋_GB2312" w:hAnsi="仿宋_GB2312" w:eastAsia="仿宋_GB2312" w:cs="仿宋_GB2312"/>
          <w:b/>
          <w:sz w:val="32"/>
          <w:szCs w:val="32"/>
          <w:lang w:val="en-US" w:eastAsia="zh-CN"/>
        </w:rPr>
        <w:t>5</w:t>
      </w:r>
    </w:p>
    <w:p w14:paraId="08D698BB">
      <w:pPr>
        <w:ind w:firstLine="2249" w:firstLineChars="7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时    间：</w:t>
      </w:r>
      <w:r>
        <w:rPr>
          <w:rFonts w:hint="eastAsia" w:ascii="仿宋_GB2312" w:hAnsi="仿宋_GB2312" w:eastAsia="仿宋_GB2312" w:cs="仿宋_GB2312"/>
          <w:b/>
          <w:bCs/>
          <w:sz w:val="32"/>
          <w:szCs w:val="32"/>
          <w:lang w:eastAsia="zh-CN"/>
        </w:rPr>
        <w:t>2</w:t>
      </w:r>
      <w:r>
        <w:rPr>
          <w:rFonts w:hint="eastAsia" w:ascii="仿宋_GB2312" w:hAnsi="仿宋_GB2312" w:eastAsia="仿宋_GB2312" w:cs="仿宋_GB2312"/>
          <w:b/>
          <w:bCs/>
          <w:sz w:val="32"/>
          <w:szCs w:val="32"/>
          <w:lang w:val="en-US" w:eastAsia="zh-CN"/>
        </w:rPr>
        <w:t>026</w:t>
      </w:r>
      <w:r>
        <w:rPr>
          <w:rFonts w:hint="eastAsia" w:ascii="仿宋_GB2312" w:hAnsi="仿宋_GB2312" w:eastAsia="仿宋_GB2312" w:cs="仿宋_GB2312"/>
          <w:b/>
          <w:bCs/>
          <w:sz w:val="32"/>
          <w:szCs w:val="32"/>
        </w:rPr>
        <w:t>年</w:t>
      </w: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b/>
          <w:bCs/>
          <w:sz w:val="32"/>
          <w:szCs w:val="32"/>
        </w:rPr>
        <w:t>月</w:t>
      </w:r>
    </w:p>
    <w:p w14:paraId="3E8BB6FC">
      <w:pPr>
        <w:spacing w:line="360" w:lineRule="auto"/>
        <w:ind w:left="4273" w:leftChars="981" w:hanging="1526" w:hangingChars="545"/>
        <w:jc w:val="center"/>
        <w:rPr>
          <w:rFonts w:ascii="宋体"/>
          <w:color w:val="auto"/>
          <w:szCs w:val="32"/>
        </w:rPr>
      </w:pPr>
    </w:p>
    <w:p w14:paraId="1C41FD46">
      <w:pPr>
        <w:spacing w:line="360" w:lineRule="auto"/>
        <w:jc w:val="center"/>
        <w:rPr>
          <w:rFonts w:hint="eastAsia" w:ascii="宋体"/>
          <w:b/>
          <w:bCs/>
          <w:color w:val="auto"/>
          <w:szCs w:val="20"/>
        </w:rPr>
      </w:pPr>
    </w:p>
    <w:p w14:paraId="396F5388">
      <w:pPr>
        <w:pStyle w:val="19"/>
        <w:rPr>
          <w:rFonts w:hint="eastAsia"/>
          <w:color w:val="auto"/>
        </w:rPr>
      </w:pPr>
    </w:p>
    <w:p w14:paraId="0ECE1993">
      <w:pPr>
        <w:pStyle w:val="19"/>
        <w:rPr>
          <w:rFonts w:hint="eastAsia" w:ascii="宋体"/>
          <w:b/>
          <w:bCs/>
          <w:color w:val="auto"/>
          <w:szCs w:val="20"/>
        </w:rPr>
      </w:pPr>
    </w:p>
    <w:p w14:paraId="31C1826A">
      <w:pPr>
        <w:pStyle w:val="19"/>
        <w:rPr>
          <w:rFonts w:hint="eastAsia" w:ascii="宋体"/>
          <w:b/>
          <w:bCs/>
          <w:color w:val="auto"/>
          <w:szCs w:val="20"/>
        </w:rPr>
      </w:pPr>
    </w:p>
    <w:p w14:paraId="03EAFDD4">
      <w:pPr>
        <w:spacing w:line="288" w:lineRule="auto"/>
        <w:outlineLvl w:val="1"/>
        <w:rPr>
          <w:rFonts w:ascii="宋体" w:cs="宋体"/>
          <w:b/>
          <w:color w:val="auto"/>
          <w:sz w:val="24"/>
        </w:rPr>
      </w:pPr>
    </w:p>
    <w:p w14:paraId="55A4D976">
      <w:pPr>
        <w:spacing w:line="288" w:lineRule="auto"/>
        <w:outlineLvl w:val="1"/>
        <w:rPr>
          <w:rFonts w:ascii="宋体" w:cs="宋体"/>
          <w:b/>
          <w:color w:val="auto"/>
          <w:sz w:val="24"/>
        </w:rPr>
      </w:pPr>
    </w:p>
    <w:p w14:paraId="2E8FE333">
      <w:pPr>
        <w:spacing w:line="288" w:lineRule="auto"/>
        <w:outlineLvl w:val="1"/>
        <w:rPr>
          <w:rFonts w:ascii="宋体" w:cs="宋体"/>
          <w:b/>
          <w:color w:val="auto"/>
          <w:sz w:val="24"/>
        </w:rPr>
      </w:pPr>
    </w:p>
    <w:p w14:paraId="56387BCC">
      <w:pPr>
        <w:spacing w:line="288" w:lineRule="auto"/>
        <w:outlineLvl w:val="1"/>
        <w:rPr>
          <w:rFonts w:ascii="宋体" w:cs="宋体"/>
          <w:b/>
          <w:color w:val="auto"/>
          <w:sz w:val="24"/>
        </w:rPr>
      </w:pPr>
    </w:p>
    <w:p w14:paraId="643F3751">
      <w:pPr>
        <w:jc w:val="center"/>
        <w:rPr>
          <w:rFonts w:hint="eastAsia" w:ascii="黑体" w:eastAsia="黑体"/>
          <w:b/>
          <w:color w:val="auto"/>
          <w:szCs w:val="32"/>
        </w:rPr>
      </w:pPr>
    </w:p>
    <w:p w14:paraId="409103D4">
      <w:pPr>
        <w:jc w:val="center"/>
        <w:rPr>
          <w:rFonts w:hint="eastAsia" w:ascii="黑体" w:eastAsia="黑体"/>
          <w:b/>
          <w:color w:val="auto"/>
          <w:szCs w:val="32"/>
        </w:rPr>
      </w:pPr>
    </w:p>
    <w:p w14:paraId="6DC80868">
      <w:pPr>
        <w:jc w:val="center"/>
        <w:rPr>
          <w:rFonts w:ascii="隶书" w:hAnsi="隶书" w:eastAsia="隶书" w:cs="Times New Roman"/>
          <w:sz w:val="56"/>
          <w:szCs w:val="56"/>
        </w:rPr>
      </w:pPr>
      <w:r>
        <w:rPr>
          <w:rFonts w:hint="eastAsia" w:ascii="隶书" w:hAnsi="隶书" w:eastAsia="隶书" w:cs="隶书"/>
          <w:sz w:val="56"/>
          <w:szCs w:val="56"/>
        </w:rPr>
        <w:t>目录</w:t>
      </w:r>
    </w:p>
    <w:p w14:paraId="4109C181">
      <w:pPr>
        <w:pStyle w:val="12"/>
        <w:tabs>
          <w:tab w:val="right" w:leader="dot" w:pos="9752"/>
        </w:tabs>
        <w:spacing w:line="300" w:lineRule="atLeast"/>
        <w:ind w:firstLine="420"/>
        <w:rPr>
          <w:rFonts w:ascii="隶书" w:cs="Times New Roman"/>
          <w:sz w:val="21"/>
          <w:szCs w:val="21"/>
        </w:rPr>
      </w:pPr>
    </w:p>
    <w:p w14:paraId="062466EB">
      <w:pPr>
        <w:rPr>
          <w:rFonts w:cs="Times New Roman"/>
        </w:rPr>
      </w:pPr>
    </w:p>
    <w:p w14:paraId="59E5ED0D">
      <w:pPr>
        <w:pStyle w:val="12"/>
        <w:tabs>
          <w:tab w:val="right" w:leader="dot" w:pos="9742"/>
        </w:tabs>
        <w:spacing w:line="500" w:lineRule="exact"/>
        <w:ind w:firstLine="0" w:firstLineChars="0"/>
        <w:rPr>
          <w:rFonts w:hint="eastAsia" w:ascii="隶书" w:hAnsi="宋体" w:eastAsia="隶书" w:cs="隶书"/>
          <w:sz w:val="30"/>
          <w:szCs w:val="30"/>
          <w:lang w:eastAsia="zh-CN"/>
        </w:rPr>
      </w:pPr>
      <w:r>
        <w:rPr>
          <w:sz w:val="30"/>
          <w:szCs w:val="30"/>
        </w:rPr>
        <w:fldChar w:fldCharType="begin"/>
      </w:r>
      <w:r>
        <w:rPr>
          <w:sz w:val="30"/>
          <w:szCs w:val="30"/>
        </w:rPr>
        <w:instrText xml:space="preserve"> HYPERLINK \l "_Toc532916738" </w:instrText>
      </w:r>
      <w:r>
        <w:rPr>
          <w:sz w:val="30"/>
          <w:szCs w:val="30"/>
        </w:rPr>
        <w:fldChar w:fldCharType="separate"/>
      </w:r>
      <w:r>
        <w:rPr>
          <w:rFonts w:hint="eastAsia" w:ascii="隶书" w:hAnsi="宋体" w:cs="隶书"/>
          <w:sz w:val="30"/>
          <w:szCs w:val="30"/>
        </w:rPr>
        <w:t>第一章  采购邀请函</w:t>
      </w:r>
      <w:r>
        <w:rPr>
          <w:rFonts w:hint="eastAsia" w:ascii="隶书" w:hAnsi="宋体" w:cs="隶书"/>
          <w:sz w:val="30"/>
          <w:szCs w:val="30"/>
        </w:rPr>
        <w:tab/>
      </w:r>
      <w:r>
        <w:rPr>
          <w:rFonts w:hint="eastAsia" w:ascii="隶书" w:hAnsi="宋体" w:cs="隶书"/>
          <w:sz w:val="30"/>
          <w:szCs w:val="30"/>
        </w:rPr>
        <w:fldChar w:fldCharType="end"/>
      </w:r>
      <w:r>
        <w:rPr>
          <w:rFonts w:hint="eastAsia" w:ascii="隶书" w:hAnsi="宋体" w:cs="隶书"/>
          <w:sz w:val="30"/>
          <w:szCs w:val="30"/>
          <w:lang w:val="en-US" w:eastAsia="zh-CN"/>
        </w:rPr>
        <w:t>1</w:t>
      </w:r>
    </w:p>
    <w:p w14:paraId="1CD231A3">
      <w:pPr>
        <w:pStyle w:val="12"/>
        <w:tabs>
          <w:tab w:val="right" w:leader="dot" w:pos="9742"/>
        </w:tabs>
        <w:spacing w:line="500" w:lineRule="exact"/>
        <w:ind w:firstLine="0" w:firstLineChars="0"/>
        <w:rPr>
          <w:rFonts w:hint="eastAsia" w:ascii="隶书" w:hAnsi="宋体" w:eastAsia="隶书" w:cs="隶书"/>
          <w:sz w:val="30"/>
          <w:szCs w:val="30"/>
          <w:lang w:eastAsia="zh-CN"/>
        </w:rPr>
      </w:pPr>
      <w:r>
        <w:rPr>
          <w:sz w:val="30"/>
          <w:szCs w:val="30"/>
        </w:rPr>
        <w:fldChar w:fldCharType="begin"/>
      </w:r>
      <w:r>
        <w:rPr>
          <w:sz w:val="30"/>
          <w:szCs w:val="30"/>
        </w:rPr>
        <w:instrText xml:space="preserve"> HYPERLINK \l "_Toc532916739" </w:instrText>
      </w:r>
      <w:r>
        <w:rPr>
          <w:sz w:val="30"/>
          <w:szCs w:val="30"/>
        </w:rPr>
        <w:fldChar w:fldCharType="separate"/>
      </w:r>
      <w:r>
        <w:rPr>
          <w:rFonts w:hint="eastAsia" w:ascii="隶书" w:hAnsi="宋体" w:cs="隶书"/>
          <w:sz w:val="30"/>
          <w:szCs w:val="30"/>
        </w:rPr>
        <w:t>第二章  供应商须知</w:t>
      </w:r>
      <w:r>
        <w:rPr>
          <w:rFonts w:hint="eastAsia" w:ascii="隶书" w:hAnsi="宋体" w:cs="隶书"/>
          <w:sz w:val="30"/>
          <w:szCs w:val="30"/>
        </w:rPr>
        <w:tab/>
      </w:r>
      <w:r>
        <w:rPr>
          <w:rFonts w:hint="eastAsia" w:ascii="隶书" w:hAnsi="宋体" w:cs="隶书"/>
          <w:sz w:val="30"/>
          <w:szCs w:val="30"/>
        </w:rPr>
        <w:fldChar w:fldCharType="end"/>
      </w:r>
      <w:r>
        <w:rPr>
          <w:rFonts w:hint="eastAsia" w:ascii="隶书" w:hAnsi="宋体" w:cs="隶书"/>
          <w:sz w:val="30"/>
          <w:szCs w:val="30"/>
          <w:lang w:val="en-US" w:eastAsia="zh-CN"/>
        </w:rPr>
        <w:t>2</w:t>
      </w:r>
    </w:p>
    <w:p w14:paraId="7D4BAAB3">
      <w:pPr>
        <w:pStyle w:val="12"/>
        <w:tabs>
          <w:tab w:val="right" w:leader="dot" w:pos="9742"/>
        </w:tabs>
        <w:spacing w:line="360" w:lineRule="auto"/>
        <w:ind w:firstLine="800"/>
        <w:rPr>
          <w:rFonts w:ascii="隶书" w:hAnsi="宋体" w:cs="Times New Roman"/>
          <w:sz w:val="40"/>
          <w:szCs w:val="40"/>
        </w:rPr>
      </w:pPr>
    </w:p>
    <w:p w14:paraId="5D9EC410">
      <w:pPr>
        <w:spacing w:line="288" w:lineRule="auto"/>
        <w:outlineLvl w:val="1"/>
        <w:rPr>
          <w:rFonts w:ascii="宋体" w:cs="宋体"/>
          <w:b/>
          <w:color w:val="auto"/>
          <w:sz w:val="24"/>
        </w:rPr>
      </w:pPr>
    </w:p>
    <w:p w14:paraId="6FE93A58">
      <w:pPr>
        <w:spacing w:line="288" w:lineRule="auto"/>
        <w:outlineLvl w:val="1"/>
        <w:rPr>
          <w:rFonts w:ascii="宋体" w:cs="宋体"/>
          <w:b/>
          <w:color w:val="auto"/>
          <w:sz w:val="24"/>
        </w:rPr>
      </w:pPr>
    </w:p>
    <w:p w14:paraId="152FCBAA">
      <w:pPr>
        <w:spacing w:line="288" w:lineRule="auto"/>
        <w:outlineLvl w:val="1"/>
        <w:rPr>
          <w:rFonts w:ascii="宋体" w:cs="宋体"/>
          <w:b/>
          <w:color w:val="auto"/>
          <w:sz w:val="24"/>
        </w:rPr>
      </w:pPr>
    </w:p>
    <w:p w14:paraId="6405E56E">
      <w:pPr>
        <w:spacing w:line="288" w:lineRule="auto"/>
        <w:outlineLvl w:val="1"/>
        <w:rPr>
          <w:rFonts w:ascii="宋体" w:cs="宋体"/>
          <w:b/>
          <w:color w:val="auto"/>
          <w:sz w:val="24"/>
        </w:rPr>
      </w:pPr>
    </w:p>
    <w:p w14:paraId="30BE40E7">
      <w:pPr>
        <w:spacing w:line="288" w:lineRule="auto"/>
        <w:outlineLvl w:val="1"/>
        <w:rPr>
          <w:rFonts w:ascii="宋体" w:cs="宋体"/>
          <w:b/>
          <w:color w:val="auto"/>
          <w:sz w:val="24"/>
        </w:rPr>
      </w:pPr>
    </w:p>
    <w:p w14:paraId="17CD3D03">
      <w:pPr>
        <w:spacing w:line="288" w:lineRule="auto"/>
        <w:outlineLvl w:val="1"/>
        <w:rPr>
          <w:rFonts w:ascii="宋体" w:cs="宋体"/>
          <w:b/>
          <w:color w:val="auto"/>
          <w:sz w:val="24"/>
        </w:rPr>
      </w:pPr>
    </w:p>
    <w:p w14:paraId="1B1D8A44">
      <w:pPr>
        <w:spacing w:line="288" w:lineRule="auto"/>
        <w:outlineLvl w:val="1"/>
        <w:rPr>
          <w:rFonts w:ascii="宋体" w:cs="宋体"/>
          <w:b/>
          <w:color w:val="auto"/>
          <w:sz w:val="24"/>
        </w:rPr>
      </w:pPr>
    </w:p>
    <w:p w14:paraId="59D42477">
      <w:pPr>
        <w:spacing w:line="288" w:lineRule="auto"/>
        <w:outlineLvl w:val="1"/>
        <w:rPr>
          <w:rFonts w:ascii="宋体" w:cs="宋体"/>
          <w:b/>
          <w:color w:val="auto"/>
          <w:sz w:val="24"/>
        </w:rPr>
      </w:pPr>
    </w:p>
    <w:p w14:paraId="387CDED7">
      <w:pPr>
        <w:spacing w:line="288" w:lineRule="auto"/>
        <w:outlineLvl w:val="1"/>
        <w:rPr>
          <w:rFonts w:ascii="宋体" w:cs="宋体"/>
          <w:b/>
          <w:color w:val="auto"/>
          <w:sz w:val="24"/>
        </w:rPr>
      </w:pPr>
    </w:p>
    <w:p w14:paraId="35CBC591">
      <w:pPr>
        <w:spacing w:line="288" w:lineRule="auto"/>
        <w:outlineLvl w:val="1"/>
        <w:rPr>
          <w:rFonts w:ascii="宋体" w:cs="宋体"/>
          <w:b/>
          <w:color w:val="auto"/>
          <w:sz w:val="24"/>
        </w:rPr>
      </w:pPr>
    </w:p>
    <w:p w14:paraId="7E22695B">
      <w:pPr>
        <w:spacing w:line="288" w:lineRule="auto"/>
        <w:outlineLvl w:val="1"/>
        <w:rPr>
          <w:rFonts w:ascii="宋体" w:cs="宋体"/>
          <w:b/>
          <w:color w:val="auto"/>
          <w:sz w:val="24"/>
        </w:rPr>
      </w:pPr>
    </w:p>
    <w:p w14:paraId="23E089E7">
      <w:pPr>
        <w:spacing w:line="288" w:lineRule="auto"/>
        <w:outlineLvl w:val="1"/>
        <w:rPr>
          <w:rFonts w:ascii="宋体" w:cs="宋体"/>
          <w:b/>
          <w:color w:val="auto"/>
          <w:sz w:val="24"/>
        </w:rPr>
      </w:pPr>
    </w:p>
    <w:p w14:paraId="4A20DD9A">
      <w:pPr>
        <w:spacing w:line="288" w:lineRule="auto"/>
        <w:jc w:val="center"/>
        <w:outlineLvl w:val="1"/>
        <w:rPr>
          <w:rFonts w:ascii="宋体"/>
          <w:b/>
          <w:color w:val="auto"/>
          <w:sz w:val="36"/>
          <w:szCs w:val="20"/>
        </w:rPr>
        <w:sectPr>
          <w:pgSz w:w="12240" w:h="15840"/>
          <w:pgMar w:top="1440" w:right="1440" w:bottom="1440" w:left="1440" w:header="708" w:footer="708" w:gutter="0"/>
          <w:cols w:space="720" w:num="1"/>
          <w:docGrid w:type="lines" w:linePitch="312" w:charSpace="0"/>
        </w:sectPr>
      </w:pPr>
    </w:p>
    <w:p w14:paraId="6BAC4B62">
      <w:pPr>
        <w:pStyle w:val="4"/>
        <w:spacing w:after="240"/>
        <w:jc w:val="center"/>
        <w:rPr>
          <w:rFonts w:cs="Times New Roman"/>
        </w:rPr>
      </w:pPr>
      <w:bookmarkStart w:id="1" w:name="_Toc532916738"/>
      <w:bookmarkStart w:id="2" w:name="_Toc29546"/>
      <w:r>
        <w:rPr>
          <w:rFonts w:hint="eastAsia" w:cs="宋体"/>
        </w:rPr>
        <w:t>第一章</w:t>
      </w:r>
      <w:r>
        <w:rPr>
          <w:rFonts w:hint="eastAsia" w:cs="宋体"/>
          <w:lang w:val="en-US" w:eastAsia="zh-CN"/>
        </w:rPr>
        <w:t xml:space="preserve"> </w:t>
      </w:r>
      <w:r>
        <w:rPr>
          <w:rFonts w:hint="eastAsia" w:cs="宋体"/>
        </w:rPr>
        <w:t>采购邀请</w:t>
      </w:r>
      <w:bookmarkEnd w:id="1"/>
      <w:bookmarkEnd w:id="2"/>
      <w:r>
        <w:rPr>
          <w:rFonts w:hint="eastAsia" w:cs="宋体"/>
        </w:rPr>
        <w:t>函</w:t>
      </w:r>
    </w:p>
    <w:p w14:paraId="1E6FE885">
      <w:pPr>
        <w:spacing w:line="24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福州</w:t>
      </w:r>
      <w:r>
        <w:rPr>
          <w:rFonts w:hint="eastAsia" w:ascii="仿宋_GB2312" w:hAnsi="仿宋_GB2312" w:eastAsia="仿宋_GB2312" w:cs="仿宋_GB2312"/>
          <w:sz w:val="32"/>
          <w:szCs w:val="32"/>
        </w:rPr>
        <w:t>环境监测中心站拟对</w:t>
      </w:r>
      <w:r>
        <w:rPr>
          <w:rFonts w:hint="eastAsia" w:ascii="仿宋_GB2312" w:hAnsi="仿宋_GB2312" w:eastAsia="仿宋_GB2312" w:cs="仿宋_GB2312"/>
          <w:b w:val="0"/>
          <w:bCs w:val="0"/>
          <w:w w:val="100"/>
          <w:sz w:val="32"/>
          <w:szCs w:val="32"/>
          <w:shd w:val="clear"/>
          <w:lang w:val="en-US" w:eastAsia="zh-CN" w:bidi="ar"/>
        </w:rPr>
        <w:t>实验室能力建设提升项目初步设计项目</w:t>
      </w:r>
      <w:r>
        <w:rPr>
          <w:rFonts w:hint="eastAsia" w:ascii="仿宋_GB2312" w:hAnsi="仿宋_GB2312" w:eastAsia="仿宋_GB2312" w:cs="仿宋_GB2312"/>
          <w:sz w:val="32"/>
          <w:szCs w:val="32"/>
        </w:rPr>
        <w:t>进行报价邀请，本着公平、公正、公开的原则，诚邀符合资质的供应商参与本项目。</w:t>
      </w:r>
    </w:p>
    <w:p w14:paraId="0CAD1EBB">
      <w:pPr>
        <w:spacing w:line="240" w:lineRule="auto"/>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凡有意参与本项目的供应商，请于202</w:t>
      </w:r>
      <w:r>
        <w:rPr>
          <w:rFonts w:hint="eastAsia" w:ascii="仿宋_GB2312" w:hAnsi="仿宋_GB2312" w:eastAsia="仿宋_GB2312" w:cs="仿宋_GB2312"/>
          <w:kern w:val="2"/>
          <w:sz w:val="32"/>
          <w:szCs w:val="32"/>
          <w:lang w:val="en-US" w:eastAsia="zh-CN"/>
        </w:rPr>
        <w:t>6</w:t>
      </w:r>
      <w:r>
        <w:rPr>
          <w:rFonts w:hint="eastAsia" w:ascii="仿宋_GB2312" w:hAnsi="仿宋_GB2312" w:eastAsia="仿宋_GB2312" w:cs="仿宋_GB2312"/>
          <w:kern w:val="2"/>
          <w:sz w:val="32"/>
          <w:szCs w:val="32"/>
        </w:rPr>
        <w:t>年</w:t>
      </w:r>
      <w:r>
        <w:rPr>
          <w:rFonts w:hint="eastAsia" w:ascii="仿宋_GB2312" w:hAnsi="仿宋_GB2312" w:eastAsia="仿宋_GB2312" w:cs="仿宋_GB2312"/>
          <w:kern w:val="2"/>
          <w:sz w:val="32"/>
          <w:szCs w:val="32"/>
          <w:highlight w:val="none"/>
          <w:lang w:val="en-US" w:eastAsia="zh-CN"/>
        </w:rPr>
        <w:t>7</w:t>
      </w:r>
      <w:r>
        <w:rPr>
          <w:rFonts w:hint="eastAsia" w:ascii="仿宋_GB2312" w:hAnsi="仿宋_GB2312" w:eastAsia="仿宋_GB2312" w:cs="仿宋_GB2312"/>
          <w:kern w:val="2"/>
          <w:sz w:val="32"/>
          <w:szCs w:val="32"/>
          <w:highlight w:val="none"/>
        </w:rPr>
        <w:t>月</w:t>
      </w:r>
      <w:r>
        <w:rPr>
          <w:rFonts w:hint="eastAsia" w:ascii="仿宋_GB2312" w:hAnsi="仿宋_GB2312" w:eastAsia="仿宋_GB2312" w:cs="仿宋_GB2312"/>
          <w:kern w:val="2"/>
          <w:sz w:val="32"/>
          <w:szCs w:val="32"/>
          <w:highlight w:val="none"/>
          <w:lang w:val="en-US" w:eastAsia="zh-CN"/>
        </w:rPr>
        <w:t>27</w:t>
      </w:r>
      <w:r>
        <w:rPr>
          <w:rFonts w:hint="eastAsia" w:ascii="仿宋_GB2312" w:hAnsi="仿宋_GB2312" w:eastAsia="仿宋_GB2312" w:cs="仿宋_GB2312"/>
          <w:kern w:val="2"/>
          <w:sz w:val="32"/>
          <w:szCs w:val="32"/>
          <w:highlight w:val="none"/>
        </w:rPr>
        <w:t>日1</w:t>
      </w:r>
      <w:r>
        <w:rPr>
          <w:rFonts w:hint="eastAsia" w:ascii="仿宋_GB2312" w:hAnsi="仿宋_GB2312" w:eastAsia="仿宋_GB2312" w:cs="仿宋_GB2312"/>
          <w:kern w:val="2"/>
          <w:sz w:val="32"/>
          <w:szCs w:val="32"/>
          <w:highlight w:val="none"/>
          <w:lang w:val="en-US" w:eastAsia="zh-CN"/>
        </w:rPr>
        <w:t>8</w:t>
      </w:r>
      <w:r>
        <w:rPr>
          <w:rFonts w:hint="eastAsia" w:ascii="仿宋_GB2312" w:hAnsi="仿宋_GB2312" w:eastAsia="仿宋_GB2312" w:cs="仿宋_GB2312"/>
          <w:kern w:val="2"/>
          <w:sz w:val="32"/>
          <w:szCs w:val="32"/>
          <w:highlight w:val="none"/>
        </w:rPr>
        <w:t>:</w:t>
      </w:r>
      <w:r>
        <w:rPr>
          <w:rFonts w:hint="eastAsia" w:ascii="仿宋_GB2312" w:hAnsi="仿宋_GB2312" w:eastAsia="仿宋_GB2312" w:cs="仿宋_GB2312"/>
          <w:kern w:val="2"/>
          <w:sz w:val="32"/>
          <w:szCs w:val="32"/>
          <w:highlight w:val="none"/>
          <w:lang w:val="en-US" w:eastAsia="zh-CN"/>
        </w:rPr>
        <w:t>0</w:t>
      </w:r>
      <w:r>
        <w:rPr>
          <w:rFonts w:hint="eastAsia" w:ascii="仿宋_GB2312" w:hAnsi="仿宋_GB2312" w:eastAsia="仿宋_GB2312" w:cs="仿宋_GB2312"/>
          <w:kern w:val="2"/>
          <w:sz w:val="32"/>
          <w:szCs w:val="32"/>
          <w:highlight w:val="none"/>
        </w:rPr>
        <w:t>0</w:t>
      </w:r>
      <w:r>
        <w:rPr>
          <w:rFonts w:hint="eastAsia" w:ascii="仿宋_GB2312" w:hAnsi="仿宋_GB2312" w:eastAsia="仿宋_GB2312" w:cs="仿宋_GB2312"/>
          <w:kern w:val="2"/>
          <w:sz w:val="32"/>
          <w:szCs w:val="32"/>
        </w:rPr>
        <w:t>前提交报价及相关资格审查材料，逾期报名或资料不全不予受理。</w:t>
      </w:r>
    </w:p>
    <w:p w14:paraId="0B653F01">
      <w:pPr>
        <w:spacing w:line="240" w:lineRule="auto"/>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邮寄地址：福州市晋安区金鸡山路32号 福建省福州环境监测中心站</w:t>
      </w:r>
    </w:p>
    <w:p w14:paraId="4897F8FE">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rPr>
        <w:t>联系人与联系电话：</w:t>
      </w:r>
      <w:r>
        <w:rPr>
          <w:rFonts w:hint="eastAsia" w:ascii="仿宋_GB2312" w:hAnsi="仿宋_GB2312" w:eastAsia="仿宋_GB2312" w:cs="仿宋_GB2312"/>
          <w:kern w:val="2"/>
          <w:sz w:val="32"/>
          <w:szCs w:val="32"/>
          <w:lang w:val="en-US" w:eastAsia="zh-CN"/>
        </w:rPr>
        <w:t>刘先生，13600802956</w:t>
      </w:r>
    </w:p>
    <w:p w14:paraId="474A178A">
      <w:pPr>
        <w:spacing w:line="360" w:lineRule="auto"/>
        <w:ind w:firstLine="560"/>
        <w:rPr>
          <w:rFonts w:ascii="仿宋" w:hAnsi="仿宋" w:eastAsia="仿宋" w:cs="仿宋"/>
          <w:kern w:val="0"/>
          <w:sz w:val="32"/>
          <w:szCs w:val="32"/>
        </w:rPr>
      </w:pPr>
    </w:p>
    <w:p w14:paraId="5078D497">
      <w:pPr>
        <w:spacing w:line="360" w:lineRule="auto"/>
        <w:ind w:firstLine="560"/>
        <w:rPr>
          <w:rFonts w:cs="Times New Roman"/>
        </w:rPr>
      </w:pPr>
    </w:p>
    <w:p w14:paraId="0913CA18">
      <w:pPr>
        <w:spacing w:line="360" w:lineRule="auto"/>
        <w:ind w:firstLine="560"/>
        <w:rPr>
          <w:rFonts w:cs="Times New Roman"/>
        </w:rPr>
      </w:pPr>
    </w:p>
    <w:p w14:paraId="2CB3306F">
      <w:pPr>
        <w:spacing w:line="360" w:lineRule="auto"/>
        <w:ind w:firstLine="560"/>
        <w:rPr>
          <w:rFonts w:cs="Times New Roman"/>
        </w:rPr>
      </w:pPr>
    </w:p>
    <w:p w14:paraId="1346F61A">
      <w:pPr>
        <w:spacing w:line="360" w:lineRule="auto"/>
        <w:ind w:firstLine="560"/>
        <w:rPr>
          <w:rFonts w:cs="Times New Roman"/>
        </w:rPr>
      </w:pPr>
    </w:p>
    <w:p w14:paraId="5DA2A4EE">
      <w:pPr>
        <w:spacing w:line="360" w:lineRule="auto"/>
        <w:ind w:firstLine="560"/>
        <w:rPr>
          <w:rFonts w:cs="Times New Roman"/>
        </w:rPr>
      </w:pPr>
    </w:p>
    <w:p w14:paraId="0A3D13E4">
      <w:pPr>
        <w:wordWrap w:val="0"/>
        <w:spacing w:line="360" w:lineRule="auto"/>
        <w:ind w:firstLine="5440" w:firstLineChars="17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福建省福州环境监测中心站</w:t>
      </w:r>
    </w:p>
    <w:p w14:paraId="71E1B538">
      <w:pPr>
        <w:wordWrap w:val="0"/>
        <w:spacing w:line="360" w:lineRule="auto"/>
        <w:ind w:firstLine="56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日</w:t>
      </w:r>
    </w:p>
    <w:p w14:paraId="3CF51DF9">
      <w:pPr>
        <w:widowControl/>
        <w:jc w:val="left"/>
        <w:rPr>
          <w:rFonts w:cs="Times New Roman"/>
        </w:rPr>
      </w:pPr>
      <w:r>
        <w:rPr>
          <w:rFonts w:cs="Times New Roman"/>
        </w:rPr>
        <w:br w:type="page"/>
      </w:r>
    </w:p>
    <w:p w14:paraId="48B4A55D">
      <w:pPr>
        <w:pStyle w:val="4"/>
        <w:spacing w:after="240"/>
        <w:jc w:val="center"/>
        <w:rPr>
          <w:rFonts w:cs="Times New Roman"/>
          <w:color w:val="auto"/>
        </w:rPr>
      </w:pPr>
      <w:bookmarkStart w:id="3" w:name="_Toc1074"/>
      <w:bookmarkStart w:id="4" w:name="_Toc532916739"/>
      <w:bookmarkStart w:id="5" w:name="_Toc23059"/>
      <w:r>
        <w:rPr>
          <w:rFonts w:hint="eastAsia" w:eastAsia="宋体" w:cs="宋体"/>
          <w:color w:val="auto"/>
          <w:lang w:eastAsia="zh-CN"/>
        </w:rPr>
        <w:t>第二章</w:t>
      </w:r>
      <w:r>
        <w:rPr>
          <w:rFonts w:hint="eastAsia" w:cs="宋体"/>
          <w:color w:val="auto"/>
          <w:lang w:val="en-US" w:eastAsia="zh-CN"/>
        </w:rPr>
        <w:t xml:space="preserve"> </w:t>
      </w:r>
      <w:r>
        <w:rPr>
          <w:rFonts w:hint="eastAsia" w:cs="宋体"/>
          <w:color w:val="auto"/>
        </w:rPr>
        <w:t>供应商须知</w:t>
      </w:r>
      <w:bookmarkEnd w:id="3"/>
      <w:bookmarkEnd w:id="4"/>
      <w:bookmarkEnd w:id="5"/>
    </w:p>
    <w:p w14:paraId="46FAA487">
      <w:pPr>
        <w:keepNext w:val="0"/>
        <w:keepLines w:val="0"/>
        <w:pageBreakBefore w:val="0"/>
        <w:kinsoku/>
        <w:wordWrap/>
        <w:overflowPunct/>
        <w:topLinePunct w:val="0"/>
        <w:autoSpaceDE/>
        <w:autoSpaceDN/>
        <w:bidi w:val="0"/>
        <w:adjustRightInd/>
        <w:snapToGrid/>
        <w:spacing w:line="440" w:lineRule="exact"/>
        <w:ind w:firstLine="640" w:firstLineChars="200"/>
        <w:textAlignment w:val="auto"/>
        <w:rPr>
          <w:rFonts w:ascii="黑体" w:hAnsi="黑体" w:eastAsia="黑体" w:cs="Times New Roman"/>
          <w:color w:val="auto"/>
          <w:sz w:val="32"/>
          <w:szCs w:val="32"/>
        </w:rPr>
      </w:pPr>
      <w:r>
        <w:rPr>
          <w:rFonts w:hint="eastAsia" w:ascii="黑体" w:hAnsi="黑体" w:eastAsia="黑体" w:cs="Times New Roman"/>
          <w:color w:val="auto"/>
          <w:sz w:val="32"/>
          <w:szCs w:val="32"/>
        </w:rPr>
        <w:t>一、项目概况</w:t>
      </w:r>
    </w:p>
    <w:p w14:paraId="6469A2B3">
      <w:pPr>
        <w:keepNext w:val="0"/>
        <w:keepLines w:val="0"/>
        <w:pageBreakBefore w:val="0"/>
        <w:widowControl/>
        <w:kinsoku/>
        <w:wordWrap/>
        <w:overflowPunct/>
        <w:topLinePunct w:val="0"/>
        <w:autoSpaceDE/>
        <w:autoSpaceDN/>
        <w:bidi w:val="0"/>
        <w:adjustRightInd/>
        <w:snapToGrid/>
        <w:spacing w:line="520" w:lineRule="exact"/>
        <w:ind w:firstLine="320" w:firstLineChars="1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项目名称：</w:t>
      </w:r>
      <w:r>
        <w:rPr>
          <w:rFonts w:hint="eastAsia" w:ascii="仿宋_GB2312" w:hAnsi="仿宋_GB2312" w:eastAsia="仿宋_GB2312" w:cs="仿宋_GB2312"/>
          <w:b w:val="0"/>
          <w:bCs w:val="0"/>
          <w:w w:val="100"/>
          <w:sz w:val="32"/>
          <w:szCs w:val="32"/>
          <w:shd w:val="clear"/>
          <w:lang w:val="en-US" w:eastAsia="zh-CN" w:bidi="ar"/>
        </w:rPr>
        <w:t>实验室能力建设提升项目初步设计项目</w:t>
      </w:r>
    </w:p>
    <w:p w14:paraId="4300F361">
      <w:pPr>
        <w:keepNext w:val="0"/>
        <w:keepLines w:val="0"/>
        <w:pageBreakBefore w:val="0"/>
        <w:kinsoku/>
        <w:wordWrap/>
        <w:overflowPunct/>
        <w:topLinePunct w:val="0"/>
        <w:autoSpaceDE/>
        <w:autoSpaceDN/>
        <w:bidi w:val="0"/>
        <w:adjustRightInd/>
        <w:snapToGrid/>
        <w:spacing w:line="520" w:lineRule="exact"/>
        <w:ind w:firstLine="320" w:firstLineChars="1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项目地址：福州市晋安区金鸡山路32号</w:t>
      </w:r>
    </w:p>
    <w:p w14:paraId="20CE82D1">
      <w:pPr>
        <w:keepNext w:val="0"/>
        <w:keepLines w:val="0"/>
        <w:pageBreakBefore w:val="0"/>
        <w:kinsoku/>
        <w:wordWrap/>
        <w:overflowPunct/>
        <w:topLinePunct w:val="0"/>
        <w:autoSpaceDE/>
        <w:autoSpaceDN/>
        <w:bidi w:val="0"/>
        <w:adjustRightInd/>
        <w:snapToGrid/>
        <w:spacing w:line="520" w:lineRule="exact"/>
        <w:ind w:firstLine="320" w:firstLineChars="1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服务期限：</w:t>
      </w:r>
      <w:r>
        <w:rPr>
          <w:rFonts w:hint="eastAsia" w:ascii="仿宋_GB2312" w:hAnsi="仿宋_GB2312" w:eastAsia="仿宋_GB2312" w:cs="仿宋_GB2312"/>
          <w:color w:val="auto"/>
          <w:sz w:val="32"/>
          <w:szCs w:val="32"/>
          <w:lang w:eastAsia="zh-CN"/>
        </w:rPr>
        <w:t>一次</w:t>
      </w:r>
      <w:r>
        <w:rPr>
          <w:rFonts w:hint="eastAsia" w:ascii="仿宋_GB2312" w:hAnsi="仿宋_GB2312" w:eastAsia="仿宋_GB2312" w:cs="仿宋_GB2312"/>
          <w:bCs/>
          <w:color w:val="auto"/>
          <w:sz w:val="32"/>
          <w:szCs w:val="32"/>
        </w:rPr>
        <w:t>（以合同签订时间为准）</w:t>
      </w:r>
    </w:p>
    <w:p w14:paraId="083F1830">
      <w:pPr>
        <w:keepNext w:val="0"/>
        <w:keepLines w:val="0"/>
        <w:pageBreakBefore w:val="0"/>
        <w:kinsoku/>
        <w:wordWrap/>
        <w:overflowPunct/>
        <w:topLinePunct w:val="0"/>
        <w:autoSpaceDE/>
        <w:autoSpaceDN/>
        <w:bidi w:val="0"/>
        <w:adjustRightInd/>
        <w:snapToGrid/>
        <w:spacing w:line="520" w:lineRule="exact"/>
        <w:ind w:firstLine="320" w:firstLineChars="1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val="0"/>
          <w:bCs w:val="0"/>
          <w:color w:val="auto"/>
          <w:kern w:val="2"/>
          <w:sz w:val="32"/>
          <w:szCs w:val="32"/>
          <w:lang w:eastAsia="zh-CN"/>
        </w:rPr>
        <w:t>（四）</w:t>
      </w:r>
      <w:r>
        <w:rPr>
          <w:rFonts w:hint="eastAsia" w:ascii="仿宋_GB2312" w:hAnsi="仿宋_GB2312" w:eastAsia="仿宋_GB2312" w:cs="仿宋_GB2312"/>
          <w:color w:val="auto"/>
          <w:sz w:val="32"/>
          <w:szCs w:val="32"/>
          <w:lang w:eastAsia="zh-CN"/>
        </w:rPr>
        <w:t>预算</w:t>
      </w:r>
      <w:r>
        <w:rPr>
          <w:rFonts w:hint="eastAsia" w:ascii="仿宋_GB2312" w:hAnsi="仿宋_GB2312" w:eastAsia="仿宋_GB2312" w:cs="仿宋_GB2312"/>
          <w:color w:val="auto"/>
          <w:sz w:val="32"/>
          <w:szCs w:val="32"/>
        </w:rPr>
        <w:t>要求：</w:t>
      </w:r>
      <w:r>
        <w:rPr>
          <w:rFonts w:hint="eastAsia" w:ascii="仿宋_GB2312" w:hAnsi="仿宋_GB2312" w:eastAsia="仿宋_GB2312" w:cs="仿宋_GB2312"/>
          <w:b w:val="0"/>
          <w:bCs w:val="0"/>
          <w:color w:val="auto"/>
          <w:kern w:val="2"/>
          <w:sz w:val="32"/>
          <w:szCs w:val="32"/>
          <w:lang w:val="en-US" w:eastAsia="zh-CN" w:bidi="ar-SA"/>
        </w:rPr>
        <w:t>根据初步市场调研情况，</w:t>
      </w:r>
      <w:r>
        <w:rPr>
          <w:rFonts w:hint="eastAsia" w:ascii="仿宋_GB2312" w:hAnsi="仿宋_GB2312" w:eastAsia="仿宋_GB2312" w:cs="仿宋_GB2312"/>
          <w:color w:val="auto"/>
          <w:sz w:val="32"/>
          <w:szCs w:val="32"/>
        </w:rPr>
        <w:t>本项目采购价格以</w:t>
      </w:r>
      <w:r>
        <w:rPr>
          <w:rFonts w:hint="eastAsia" w:ascii="仿宋_GB2312" w:hAnsi="仿宋_GB2312" w:eastAsia="仿宋_GB2312" w:cs="仿宋_GB2312"/>
          <w:color w:val="auto"/>
          <w:sz w:val="32"/>
          <w:szCs w:val="32"/>
          <w:lang w:val="en-US" w:eastAsia="zh-CN"/>
        </w:rPr>
        <w:t>7.6</w:t>
      </w:r>
      <w:r>
        <w:rPr>
          <w:rFonts w:hint="eastAsia" w:ascii="仿宋_GB2312" w:hAnsi="仿宋_GB2312" w:eastAsia="仿宋_GB2312" w:cs="仿宋_GB2312"/>
          <w:color w:val="auto"/>
          <w:sz w:val="32"/>
          <w:szCs w:val="32"/>
        </w:rPr>
        <w:t>万元为上限</w:t>
      </w:r>
      <w:r>
        <w:rPr>
          <w:rFonts w:hint="eastAsia" w:ascii="仿宋_GB2312" w:hAnsi="仿宋_GB2312" w:eastAsia="仿宋_GB2312" w:cs="仿宋_GB2312"/>
          <w:color w:val="auto"/>
          <w:sz w:val="32"/>
          <w:szCs w:val="32"/>
          <w:lang w:eastAsia="zh-CN"/>
        </w:rPr>
        <w:t>。</w:t>
      </w:r>
    </w:p>
    <w:p w14:paraId="530B9027">
      <w:pPr>
        <w:spacing w:line="288" w:lineRule="auto"/>
        <w:jc w:val="both"/>
        <w:outlineLvl w:val="1"/>
        <w:rPr>
          <w:rFonts w:hint="default" w:ascii="宋体" w:eastAsia="宋体"/>
          <w:b/>
          <w:color w:val="auto"/>
          <w:sz w:val="36"/>
          <w:szCs w:val="20"/>
          <w:lang w:val="en-US" w:eastAsia="zh-CN"/>
        </w:rPr>
      </w:pPr>
      <w:r>
        <w:rPr>
          <w:rFonts w:hint="eastAsia" w:ascii="宋体"/>
          <w:b/>
          <w:color w:val="auto"/>
          <w:sz w:val="36"/>
          <w:szCs w:val="20"/>
          <w:lang w:val="en-US" w:eastAsia="zh-CN"/>
        </w:rPr>
        <w:t xml:space="preserve"> </w:t>
      </w:r>
      <w:r>
        <w:rPr>
          <w:rFonts w:hint="eastAsia" w:ascii="仿宋_GB2312" w:hAnsi="仿宋_GB2312" w:eastAsia="仿宋_GB2312" w:cs="仿宋_GB2312"/>
          <w:b w:val="0"/>
          <w:color w:val="auto"/>
          <w:sz w:val="32"/>
          <w:szCs w:val="32"/>
          <w:lang w:val="en-US" w:eastAsia="zh-CN"/>
        </w:rPr>
        <w:t xml:space="preserve"> （五）项目概况：</w:t>
      </w:r>
      <w:r>
        <w:rPr>
          <w:rFonts w:hint="eastAsia" w:ascii="仿宋_GB2312" w:hAnsi="仿宋_GB2312" w:eastAsia="仿宋_GB2312" w:cs="仿宋_GB2312"/>
          <w:color w:val="auto"/>
          <w:sz w:val="32"/>
          <w:szCs w:val="32"/>
          <w:lang w:val="en-US" w:eastAsia="zh-CN"/>
        </w:rPr>
        <w:t>根据福州市建筑工程检测中心有限公司出具的《房屋安全性及抗震鉴定报告》发现该建筑存在的问题及大楼实际情况进行结构加固初步设计（含加固方案），以及因结构加固而受破坏的原装修进行修复的初步设计，</w:t>
      </w:r>
      <w:r>
        <w:rPr>
          <w:rFonts w:hint="eastAsia" w:ascii="仿宋_GB2312" w:hAnsi="仿宋_GB2312" w:eastAsia="仿宋_GB2312" w:cs="仿宋_GB2312"/>
          <w:color w:val="auto"/>
          <w:sz w:val="32"/>
          <w:szCs w:val="32"/>
        </w:rPr>
        <w:t>使加固后房屋</w:t>
      </w:r>
      <w:r>
        <w:rPr>
          <w:rFonts w:hint="eastAsia" w:ascii="仿宋_GB2312" w:hAnsi="仿宋_GB2312" w:eastAsia="仿宋_GB2312" w:cs="仿宋_GB2312"/>
          <w:color w:val="auto"/>
          <w:sz w:val="32"/>
          <w:szCs w:val="32"/>
          <w:lang w:val="en-US" w:eastAsia="zh-CN"/>
        </w:rPr>
        <w:t>各单元结构安全性鉴定为B</w:t>
      </w:r>
      <w:r>
        <w:rPr>
          <w:rFonts w:hint="eastAsia" w:ascii="仿宋_GB2312" w:hAnsi="仿宋_GB2312" w:eastAsia="仿宋_GB2312" w:cs="仿宋_GB2312"/>
          <w:color w:val="auto"/>
          <w:sz w:val="32"/>
          <w:szCs w:val="32"/>
          <w:vertAlign w:val="subscript"/>
          <w:lang w:val="en-US" w:eastAsia="zh-CN"/>
        </w:rPr>
        <w:t>su</w:t>
      </w:r>
      <w:r>
        <w:rPr>
          <w:rFonts w:hint="eastAsia" w:ascii="仿宋_GB2312" w:hAnsi="仿宋_GB2312" w:eastAsia="仿宋_GB2312" w:cs="仿宋_GB2312"/>
          <w:color w:val="auto"/>
          <w:sz w:val="32"/>
          <w:szCs w:val="32"/>
          <w:vertAlign w:val="baseline"/>
          <w:lang w:val="en-US" w:eastAsia="zh-CN"/>
        </w:rPr>
        <w:t>级，综合抗震能力满足鉴定标准要求。</w:t>
      </w:r>
    </w:p>
    <w:p w14:paraId="0EDF7F45">
      <w:pPr>
        <w:spacing w:line="240" w:lineRule="auto"/>
        <w:ind w:firstLine="640" w:firstLineChars="200"/>
        <w:rPr>
          <w:rFonts w:hint="eastAsia" w:ascii="仿宋_GB2312" w:hAnsi="仿宋_GB2312" w:eastAsia="仿宋_GB2312" w:cs="仿宋_GB2312"/>
          <w:sz w:val="32"/>
          <w:szCs w:val="32"/>
        </w:rPr>
      </w:pPr>
      <w:r>
        <w:rPr>
          <w:rFonts w:hint="eastAsia" w:ascii="黑体" w:hAnsi="黑体" w:eastAsia="黑体" w:cs="Times New Roman"/>
          <w:sz w:val="32"/>
          <w:szCs w:val="32"/>
          <w:lang w:val="en-US" w:eastAsia="zh-CN"/>
        </w:rPr>
        <w:t>二</w:t>
      </w:r>
      <w:r>
        <w:rPr>
          <w:rFonts w:hint="eastAsia" w:ascii="黑体" w:hAnsi="黑体" w:eastAsia="黑体" w:cs="Times New Roman"/>
          <w:sz w:val="32"/>
          <w:szCs w:val="32"/>
        </w:rPr>
        <w:t>、</w:t>
      </w:r>
      <w:r>
        <w:rPr>
          <w:rFonts w:hint="eastAsia" w:ascii="黑体" w:hAnsi="黑体" w:eastAsia="黑体"/>
          <w:sz w:val="32"/>
          <w:szCs w:val="32"/>
        </w:rPr>
        <w:t>报价文件</w:t>
      </w:r>
    </w:p>
    <w:p w14:paraId="42E45970">
      <w:pPr>
        <w:pStyle w:val="14"/>
        <w:spacing w:before="60" w:after="60" w:line="240" w:lineRule="auto"/>
        <w:ind w:firstLine="640" w:firstLineChars="200"/>
        <w:rPr>
          <w:rFonts w:hint="eastAsia" w:ascii="仿宋_GB2312" w:hAnsi="仿宋_GB2312" w:eastAsia="仿宋_GB2312" w:cs="仿宋_GB2312"/>
          <w:color w:val="auto"/>
          <w:kern w:val="2"/>
          <w:sz w:val="32"/>
          <w:szCs w:val="32"/>
          <w:lang w:val="en-US" w:eastAsia="zh-CN" w:bidi="en-US"/>
        </w:rPr>
      </w:pPr>
      <w:r>
        <w:rPr>
          <w:rFonts w:hint="eastAsia" w:ascii="仿宋_GB2312" w:hAnsi="仿宋_GB2312" w:eastAsia="仿宋_GB2312" w:cs="仿宋_GB2312"/>
          <w:color w:val="auto"/>
          <w:kern w:val="2"/>
          <w:sz w:val="32"/>
          <w:szCs w:val="32"/>
          <w:lang w:eastAsia="zh-CN" w:bidi="en-US"/>
        </w:rPr>
        <w:t>（一）</w:t>
      </w:r>
      <w:r>
        <w:rPr>
          <w:rFonts w:hint="eastAsia" w:ascii="仿宋_GB2312" w:hAnsi="仿宋_GB2312" w:eastAsia="仿宋_GB2312" w:cs="仿宋_GB2312"/>
          <w:bCs w:val="0"/>
          <w:color w:val="auto"/>
          <w:kern w:val="2"/>
          <w:sz w:val="32"/>
          <w:szCs w:val="32"/>
          <w:lang w:bidi="en-US"/>
        </w:rPr>
        <w:t>单位授权书</w:t>
      </w:r>
      <w:r>
        <w:rPr>
          <w:rFonts w:hint="eastAsia" w:ascii="仿宋_GB2312" w:hAnsi="仿宋_GB2312" w:eastAsia="仿宋_GB2312" w:cs="仿宋_GB2312"/>
          <w:bCs w:val="0"/>
          <w:color w:val="auto"/>
          <w:kern w:val="2"/>
          <w:sz w:val="32"/>
          <w:szCs w:val="32"/>
          <w:lang w:val="en-US" w:eastAsia="zh-CN" w:bidi="en-US"/>
        </w:rPr>
        <w:t>:</w:t>
      </w:r>
      <w:r>
        <w:rPr>
          <w:rFonts w:hint="eastAsia" w:ascii="仿宋_GB2312" w:hAnsi="仿宋_GB2312" w:eastAsia="仿宋_GB2312" w:cs="仿宋_GB2312"/>
          <w:bCs w:val="0"/>
          <w:color w:val="auto"/>
          <w:kern w:val="2"/>
          <w:sz w:val="32"/>
          <w:szCs w:val="32"/>
          <w:lang w:eastAsia="zh-CN" w:bidi="en-US"/>
        </w:rPr>
        <w:t>（</w:t>
      </w:r>
      <w:r>
        <w:rPr>
          <w:rFonts w:hint="eastAsia" w:ascii="仿宋_GB2312" w:hAnsi="仿宋_GB2312" w:eastAsia="仿宋_GB2312" w:cs="仿宋_GB2312"/>
          <w:bCs w:val="0"/>
          <w:color w:val="auto"/>
          <w:kern w:val="2"/>
          <w:sz w:val="32"/>
          <w:szCs w:val="32"/>
          <w:lang w:val="en-US" w:eastAsia="zh-CN" w:bidi="en-US"/>
        </w:rPr>
        <w:t>1）</w:t>
      </w:r>
      <w:r>
        <w:rPr>
          <w:rFonts w:hint="eastAsia" w:ascii="仿宋_GB2312" w:hAnsi="仿宋_GB2312" w:eastAsia="仿宋_GB2312" w:cs="仿宋_GB2312"/>
          <w:bCs w:val="0"/>
          <w:color w:val="auto"/>
          <w:kern w:val="2"/>
          <w:sz w:val="32"/>
          <w:szCs w:val="32"/>
          <w:lang w:bidi="en-US"/>
        </w:rPr>
        <w:t>若申请人代表为单位授权的委托代理人，应提供本授权书；若申请人代表为单位负责人，应在此项下提交其身份证正反面复印件，可不提供本授权书</w:t>
      </w:r>
      <w:r>
        <w:rPr>
          <w:rFonts w:hint="eastAsia" w:ascii="仿宋_GB2312" w:hAnsi="仿宋_GB2312" w:eastAsia="仿宋_GB2312" w:cs="仿宋_GB2312"/>
          <w:bCs w:val="0"/>
          <w:color w:val="auto"/>
          <w:kern w:val="2"/>
          <w:sz w:val="32"/>
          <w:szCs w:val="32"/>
          <w:lang w:eastAsia="zh-CN" w:bidi="en-US"/>
        </w:rPr>
        <w:t>。（</w:t>
      </w:r>
      <w:r>
        <w:rPr>
          <w:rFonts w:hint="eastAsia" w:ascii="仿宋_GB2312" w:hAnsi="仿宋_GB2312" w:eastAsia="仿宋_GB2312" w:cs="仿宋_GB2312"/>
          <w:bCs w:val="0"/>
          <w:color w:val="auto"/>
          <w:kern w:val="2"/>
          <w:sz w:val="32"/>
          <w:szCs w:val="32"/>
          <w:lang w:val="en-US" w:eastAsia="zh-CN" w:bidi="en-US"/>
        </w:rPr>
        <w:t>2）</w:t>
      </w:r>
      <w:r>
        <w:rPr>
          <w:rFonts w:hint="eastAsia" w:ascii="仿宋_GB2312" w:hAnsi="仿宋_GB2312" w:eastAsia="仿宋_GB2312" w:cs="仿宋_GB2312"/>
          <w:bCs w:val="0"/>
          <w:color w:val="auto"/>
          <w:kern w:val="2"/>
          <w:sz w:val="32"/>
          <w:szCs w:val="32"/>
          <w:lang w:bidi="en-US"/>
        </w:rPr>
        <w:t>申请人为自然人的，可不填写本授权书。</w:t>
      </w:r>
    </w:p>
    <w:p w14:paraId="1FBE6650">
      <w:pPr>
        <w:pStyle w:val="14"/>
        <w:spacing w:before="60" w:after="60" w:line="240" w:lineRule="auto"/>
        <w:ind w:firstLine="640" w:firstLineChars="200"/>
        <w:rPr>
          <w:rFonts w:hint="eastAsia" w:ascii="仿宋_GB2312" w:hAnsi="仿宋_GB2312" w:eastAsia="仿宋_GB2312" w:cs="仿宋_GB2312"/>
          <w:bCs w:val="0"/>
          <w:color w:val="auto"/>
          <w:kern w:val="2"/>
          <w:sz w:val="32"/>
          <w:szCs w:val="32"/>
          <w:lang w:bidi="en-US"/>
        </w:rPr>
      </w:pPr>
      <w:r>
        <w:rPr>
          <w:rFonts w:hint="eastAsia" w:ascii="仿宋_GB2312" w:hAnsi="仿宋_GB2312" w:eastAsia="仿宋_GB2312" w:cs="仿宋_GB2312"/>
          <w:color w:val="auto"/>
          <w:kern w:val="2"/>
          <w:sz w:val="32"/>
          <w:szCs w:val="32"/>
          <w:lang w:eastAsia="zh-CN" w:bidi="en-US"/>
        </w:rPr>
        <w:t>（二）</w:t>
      </w:r>
      <w:r>
        <w:rPr>
          <w:rFonts w:hint="eastAsia" w:ascii="仿宋_GB2312" w:hAnsi="仿宋_GB2312" w:eastAsia="仿宋_GB2312" w:cs="仿宋_GB2312"/>
          <w:bCs w:val="0"/>
          <w:color w:val="auto"/>
          <w:kern w:val="2"/>
          <w:sz w:val="32"/>
          <w:szCs w:val="32"/>
          <w:lang w:bidi="en-US"/>
        </w:rPr>
        <w:t>营业执照等证明文件</w:t>
      </w:r>
      <w:r>
        <w:rPr>
          <w:rFonts w:hint="eastAsia" w:ascii="仿宋_GB2312" w:hAnsi="仿宋_GB2312" w:eastAsia="仿宋_GB2312" w:cs="仿宋_GB2312"/>
          <w:bCs w:val="0"/>
          <w:color w:val="auto"/>
          <w:kern w:val="2"/>
          <w:sz w:val="32"/>
          <w:szCs w:val="32"/>
          <w:lang w:val="en-US" w:eastAsia="zh-CN" w:bidi="en-US"/>
        </w:rPr>
        <w:t>:</w:t>
      </w:r>
      <w:r>
        <w:rPr>
          <w:rFonts w:hint="eastAsia" w:ascii="仿宋_GB2312" w:hAnsi="仿宋_GB2312" w:eastAsia="仿宋_GB2312" w:cs="仿宋_GB2312"/>
          <w:bCs w:val="0"/>
          <w:color w:val="auto"/>
          <w:kern w:val="2"/>
          <w:sz w:val="32"/>
          <w:szCs w:val="32"/>
          <w:lang w:bidi="en-US"/>
        </w:rPr>
        <w:t>申请人为企业的，提供有效的营业执照复印件；申请人为事业单位的，提供有效的事业单位法人证书复印件；申请人为社会团体的，提供有效的社会团体法人登记证书复印件；申请人为合伙企业、个体工商户的，提供有效的营业执照复印件；申请人为非企业专业服务机构的，提供有效的执业许可证等证明材料复印件；申请人为自然人的，提供有效的自然人身份证件复印件；其他申请人应按照有关法律、法规和规章规定，提供有效的相应具体证照复印件。</w:t>
      </w:r>
    </w:p>
    <w:p w14:paraId="4522AB3B">
      <w:pPr>
        <w:pStyle w:val="14"/>
        <w:spacing w:before="60" w:after="60" w:line="240" w:lineRule="auto"/>
        <w:ind w:firstLine="640" w:firstLineChars="200"/>
        <w:rPr>
          <w:rFonts w:hint="eastAsia" w:ascii="仿宋_GB2312" w:hAnsi="仿宋_GB2312" w:eastAsia="仿宋_GB2312" w:cs="仿宋_GB2312"/>
          <w:bCs w:val="0"/>
          <w:color w:val="auto"/>
          <w:kern w:val="2"/>
          <w:sz w:val="32"/>
          <w:szCs w:val="32"/>
          <w:lang w:eastAsia="zh-CN" w:bidi="en-US"/>
        </w:rPr>
      </w:pPr>
      <w:r>
        <w:rPr>
          <w:rFonts w:hint="eastAsia" w:ascii="仿宋_GB2312" w:hAnsi="仿宋_GB2312" w:eastAsia="仿宋_GB2312" w:cs="仿宋_GB2312"/>
          <w:bCs w:val="0"/>
          <w:color w:val="auto"/>
          <w:kern w:val="2"/>
          <w:sz w:val="32"/>
          <w:szCs w:val="32"/>
          <w:lang w:eastAsia="zh-CN" w:bidi="en-US"/>
        </w:rPr>
        <w:t>（三）</w:t>
      </w:r>
      <w:r>
        <w:rPr>
          <w:rFonts w:hint="eastAsia" w:ascii="仿宋_GB2312" w:hAnsi="仿宋_GB2312" w:eastAsia="仿宋_GB2312" w:cs="仿宋_GB2312"/>
          <w:bCs w:val="0"/>
          <w:color w:val="auto"/>
          <w:kern w:val="2"/>
          <w:sz w:val="32"/>
          <w:szCs w:val="32"/>
          <w:lang w:bidi="en-US"/>
        </w:rPr>
        <w:t>财务状况报告</w:t>
      </w:r>
      <w:r>
        <w:rPr>
          <w:rFonts w:hint="eastAsia" w:ascii="仿宋_GB2312" w:hAnsi="仿宋_GB2312" w:eastAsia="仿宋_GB2312" w:cs="仿宋_GB2312"/>
          <w:bCs w:val="0"/>
          <w:color w:val="auto"/>
          <w:kern w:val="2"/>
          <w:sz w:val="32"/>
          <w:szCs w:val="32"/>
          <w:lang w:eastAsia="zh-CN" w:bidi="en-US"/>
        </w:rPr>
        <w:t>：</w:t>
      </w:r>
      <w:r>
        <w:rPr>
          <w:rFonts w:hint="eastAsia" w:ascii="仿宋_GB2312" w:hAnsi="仿宋_GB2312" w:eastAsia="仿宋_GB2312" w:cs="仿宋_GB2312"/>
          <w:bCs w:val="0"/>
          <w:color w:val="auto"/>
          <w:kern w:val="2"/>
          <w:sz w:val="32"/>
          <w:szCs w:val="32"/>
          <w:lang w:bidi="en-US"/>
        </w:rPr>
        <w:t>申请人提供的财务报告复印件（成立年限按照投标截止时间推算）应符合下列规定： a.成立年限满1年及以上的申请人，提供经审计的上一年度的年度财务报告。 b.成立年限满半年但不足1年的申请人，提供该半年度中任一季度的季度财务报告或该半年度的半年度财务报告。 c.无法按照以上a、b项规定提供财务报告复印件的申请人（包括但不限于：成立年限满1年及以上的申请人、成立年限满半年但不足1年的申请人、成立年限不足半年的申请人），应选择提供资信证明复印件。</w:t>
      </w:r>
    </w:p>
    <w:p w14:paraId="12D3D946">
      <w:pPr>
        <w:spacing w:line="240" w:lineRule="auto"/>
        <w:ind w:firstLine="640" w:firstLineChars="200"/>
        <w:rPr>
          <w:rFonts w:hint="eastAsia" w:ascii="仿宋_GB2312" w:hAnsi="仿宋_GB2312" w:eastAsia="仿宋_GB2312" w:cs="仿宋_GB2312"/>
          <w:bCs w:val="0"/>
          <w:color w:val="auto"/>
          <w:sz w:val="32"/>
          <w:szCs w:val="32"/>
          <w:lang w:bidi="en-US"/>
        </w:rPr>
      </w:pPr>
      <w:r>
        <w:rPr>
          <w:rFonts w:hint="eastAsia" w:ascii="仿宋_GB2312" w:hAnsi="仿宋_GB2312" w:eastAsia="仿宋_GB2312" w:cs="仿宋_GB2312"/>
          <w:color w:val="auto"/>
          <w:sz w:val="32"/>
          <w:szCs w:val="32"/>
          <w:lang w:eastAsia="zh-CN" w:bidi="en-US"/>
        </w:rPr>
        <w:t>（四）依法</w:t>
      </w:r>
      <w:r>
        <w:rPr>
          <w:rFonts w:hint="eastAsia" w:ascii="仿宋_GB2312" w:hAnsi="仿宋_GB2312" w:eastAsia="仿宋_GB2312" w:cs="仿宋_GB2312"/>
          <w:bCs w:val="0"/>
          <w:color w:val="auto"/>
          <w:sz w:val="32"/>
          <w:szCs w:val="32"/>
          <w:lang w:bidi="en-US"/>
        </w:rPr>
        <w:t>缴纳税收证明材料</w:t>
      </w:r>
      <w:r>
        <w:rPr>
          <w:rFonts w:hint="eastAsia" w:ascii="仿宋_GB2312" w:hAnsi="仿宋_GB2312" w:eastAsia="仿宋_GB2312" w:cs="仿宋_GB2312"/>
          <w:color w:val="auto"/>
          <w:sz w:val="32"/>
          <w:szCs w:val="32"/>
          <w:lang w:eastAsia="zh-CN" w:bidi="en-US"/>
        </w:rPr>
        <w:t>：</w:t>
      </w:r>
      <w:r>
        <w:rPr>
          <w:rFonts w:hint="eastAsia" w:ascii="仿宋_GB2312" w:hAnsi="仿宋_GB2312" w:eastAsia="仿宋_GB2312" w:cs="仿宋_GB2312"/>
          <w:bCs w:val="0"/>
          <w:color w:val="auto"/>
          <w:sz w:val="32"/>
          <w:szCs w:val="32"/>
          <w:lang w:bidi="en-US"/>
        </w:rPr>
        <w:t>申请人提供的税收缴纳凭据复印件应符合下列规定： a.投标截止时间前（不含投标截止时间的当月）已依法缴纳税收的申请人，提供投标截止时间前六个月（不含投标截止时间的当月）中任一月份的税收缴纳凭据复印件。 b.投标截止时间的当月成立的申请人，视同满足本项资格条件要求。 c.若为依法免税范围的申请人，提供依法免税证明材料的，视同满足本项资格条件要求。</w:t>
      </w:r>
    </w:p>
    <w:p w14:paraId="03C2C151">
      <w:pPr>
        <w:spacing w:line="240" w:lineRule="auto"/>
        <w:ind w:firstLine="640" w:firstLineChars="200"/>
        <w:rPr>
          <w:rFonts w:hint="eastAsia" w:ascii="仿宋_GB2312" w:hAnsi="仿宋_GB2312" w:eastAsia="仿宋_GB2312" w:cs="仿宋_GB2312"/>
          <w:color w:val="auto"/>
          <w:sz w:val="32"/>
          <w:szCs w:val="32"/>
          <w:lang w:bidi="en-US"/>
        </w:rPr>
      </w:pPr>
      <w:r>
        <w:rPr>
          <w:rFonts w:hint="eastAsia" w:ascii="仿宋_GB2312" w:hAnsi="仿宋_GB2312" w:eastAsia="仿宋_GB2312" w:cs="仿宋_GB2312"/>
          <w:bCs w:val="0"/>
          <w:color w:val="auto"/>
          <w:sz w:val="32"/>
          <w:szCs w:val="32"/>
          <w:lang w:eastAsia="zh-CN" w:bidi="en-US"/>
        </w:rPr>
        <w:t>（五）</w:t>
      </w:r>
      <w:r>
        <w:rPr>
          <w:rFonts w:hint="eastAsia" w:ascii="仿宋_GB2312" w:hAnsi="仿宋_GB2312" w:eastAsia="仿宋_GB2312" w:cs="仿宋_GB2312"/>
          <w:bCs w:val="0"/>
          <w:color w:val="auto"/>
          <w:sz w:val="32"/>
          <w:szCs w:val="32"/>
          <w:lang w:bidi="en-US"/>
        </w:rPr>
        <w:t>依法缴纳社会保障资金证明材料</w:t>
      </w:r>
      <w:r>
        <w:rPr>
          <w:rFonts w:hint="eastAsia" w:ascii="仿宋_GB2312" w:hAnsi="仿宋_GB2312" w:eastAsia="仿宋_GB2312" w:cs="仿宋_GB2312"/>
          <w:bCs w:val="0"/>
          <w:color w:val="auto"/>
          <w:sz w:val="32"/>
          <w:szCs w:val="32"/>
          <w:lang w:eastAsia="zh-CN" w:bidi="en-US"/>
        </w:rPr>
        <w:t>：</w:t>
      </w:r>
      <w:r>
        <w:rPr>
          <w:rFonts w:hint="eastAsia" w:ascii="仿宋_GB2312" w:hAnsi="仿宋_GB2312" w:eastAsia="仿宋_GB2312" w:cs="仿宋_GB2312"/>
          <w:bCs w:val="0"/>
          <w:color w:val="auto"/>
          <w:sz w:val="32"/>
          <w:szCs w:val="32"/>
          <w:lang w:bidi="en-US"/>
        </w:rPr>
        <w:t>申请人提供的社会保障资金缴纳凭据复印件应符合下列规定： a.投标截止时间前（不含投标截止时间的当月）已依法缴纳社会保障资金的申请人，提供投标截止时间前六个月（不含投标截止时间的当月）中任一月份的社会保障资金缴纳凭据复印件。 b.投标截止时间的当月成立的申请人，视同满足本项资格条件要求。 c.若为依法不需要缴纳或暂缓缴纳社会保障资金的申请人，提供依法不需要缴纳或暂缓缴纳社会保障资金证明材料的，视同满足本项资格条件要求。</w:t>
      </w:r>
    </w:p>
    <w:p w14:paraId="01BF6413">
      <w:pPr>
        <w:spacing w:line="240" w:lineRule="auto"/>
        <w:ind w:firstLine="640" w:firstLineChars="200"/>
        <w:rPr>
          <w:rFonts w:hint="eastAsia" w:ascii="仿宋_GB2312" w:hAnsi="仿宋_GB2312" w:eastAsia="仿宋_GB2312" w:cs="仿宋_GB2312"/>
          <w:bCs w:val="0"/>
          <w:color w:val="auto"/>
          <w:sz w:val="32"/>
          <w:szCs w:val="32"/>
          <w:lang w:bidi="en-US"/>
        </w:rPr>
      </w:pPr>
      <w:r>
        <w:rPr>
          <w:rFonts w:hint="eastAsia" w:ascii="仿宋_GB2312" w:hAnsi="仿宋_GB2312" w:eastAsia="仿宋_GB2312" w:cs="仿宋_GB2312"/>
          <w:color w:val="auto"/>
          <w:sz w:val="32"/>
          <w:szCs w:val="32"/>
          <w:lang w:eastAsia="zh-CN" w:bidi="en-US"/>
        </w:rPr>
        <w:t>（六）</w:t>
      </w:r>
      <w:r>
        <w:rPr>
          <w:rFonts w:hint="eastAsia" w:ascii="仿宋_GB2312" w:hAnsi="仿宋_GB2312" w:eastAsia="仿宋_GB2312" w:cs="仿宋_GB2312"/>
          <w:bCs w:val="0"/>
          <w:color w:val="auto"/>
          <w:sz w:val="32"/>
          <w:szCs w:val="32"/>
          <w:lang w:bidi="en-US"/>
        </w:rPr>
        <w:t>参加采购活动前三年内在经营活动中没有重大违法记录的声明</w:t>
      </w:r>
      <w:r>
        <w:rPr>
          <w:rFonts w:hint="eastAsia" w:ascii="仿宋_GB2312" w:hAnsi="仿宋_GB2312" w:eastAsia="仿宋_GB2312" w:cs="仿宋_GB2312"/>
          <w:bCs w:val="0"/>
          <w:color w:val="auto"/>
          <w:sz w:val="32"/>
          <w:szCs w:val="32"/>
          <w:lang w:eastAsia="zh-CN" w:bidi="en-US"/>
        </w:rPr>
        <w:t>：</w:t>
      </w:r>
      <w:r>
        <w:rPr>
          <w:rFonts w:hint="eastAsia" w:ascii="仿宋_GB2312" w:hAnsi="仿宋_GB2312" w:eastAsia="仿宋_GB2312" w:cs="仿宋_GB2312"/>
          <w:bCs w:val="0"/>
          <w:color w:val="auto"/>
          <w:sz w:val="32"/>
          <w:szCs w:val="32"/>
          <w:lang w:bidi="en-US"/>
        </w:rPr>
        <w:t>重大违法记录指申请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35CFABDD">
      <w:pPr>
        <w:spacing w:line="240" w:lineRule="auto"/>
        <w:ind w:firstLine="640" w:firstLineChars="200"/>
        <w:outlineLvl w:val="9"/>
        <w:rPr>
          <w:rFonts w:ascii="宋体" w:cs="宋体"/>
          <w:b/>
          <w:color w:val="auto"/>
          <w:sz w:val="24"/>
        </w:rPr>
      </w:pPr>
      <w:r>
        <w:rPr>
          <w:rFonts w:hint="eastAsia" w:ascii="仿宋_GB2312" w:hAnsi="仿宋_GB2312" w:eastAsia="仿宋_GB2312" w:cs="仿宋_GB2312"/>
          <w:bCs w:val="0"/>
          <w:color w:val="auto"/>
          <w:sz w:val="32"/>
          <w:szCs w:val="32"/>
          <w:lang w:eastAsia="zh-CN" w:bidi="en-US"/>
        </w:rPr>
        <w:t>（七）信用记录查询结果：（</w:t>
      </w:r>
      <w:r>
        <w:rPr>
          <w:rFonts w:hint="eastAsia" w:ascii="仿宋_GB2312" w:hAnsi="仿宋_GB2312" w:eastAsia="仿宋_GB2312" w:cs="仿宋_GB2312"/>
          <w:bCs w:val="0"/>
          <w:color w:val="auto"/>
          <w:sz w:val="32"/>
          <w:szCs w:val="32"/>
          <w:lang w:val="en-US" w:eastAsia="zh-CN" w:bidi="en-US"/>
        </w:rPr>
        <w:t>1</w:t>
      </w:r>
      <w:r>
        <w:rPr>
          <w:rFonts w:hint="eastAsia" w:ascii="仿宋_GB2312" w:hAnsi="仿宋_GB2312" w:eastAsia="仿宋_GB2312" w:cs="仿宋_GB2312"/>
          <w:bCs w:val="0"/>
          <w:color w:val="auto"/>
          <w:sz w:val="32"/>
          <w:szCs w:val="32"/>
          <w:lang w:eastAsia="zh-CN" w:bidi="en-US"/>
        </w:rPr>
        <w:t>）</w:t>
      </w:r>
      <w:r>
        <w:rPr>
          <w:rFonts w:hint="eastAsia" w:ascii="仿宋_GB2312" w:hAnsi="仿宋_GB2312" w:eastAsia="仿宋_GB2312" w:cs="仿宋_GB2312"/>
          <w:bCs w:val="0"/>
          <w:color w:val="auto"/>
          <w:sz w:val="32"/>
          <w:szCs w:val="32"/>
          <w:lang w:bidi="en-US"/>
        </w:rPr>
        <w:t>信用记录查询的截止时点：信用记录查询的截止时点为本项目投标截止当日。</w:t>
      </w:r>
      <w:r>
        <w:rPr>
          <w:rFonts w:hint="eastAsia" w:ascii="仿宋_GB2312" w:hAnsi="仿宋_GB2312" w:eastAsia="仿宋_GB2312" w:cs="仿宋_GB2312"/>
          <w:bCs w:val="0"/>
          <w:color w:val="auto"/>
          <w:sz w:val="32"/>
          <w:szCs w:val="32"/>
          <w:lang w:eastAsia="zh-CN" w:bidi="en-US"/>
        </w:rPr>
        <w:t>（</w:t>
      </w:r>
      <w:r>
        <w:rPr>
          <w:rFonts w:hint="eastAsia" w:ascii="仿宋_GB2312" w:hAnsi="仿宋_GB2312" w:eastAsia="仿宋_GB2312" w:cs="仿宋_GB2312"/>
          <w:bCs w:val="0"/>
          <w:color w:val="auto"/>
          <w:sz w:val="32"/>
          <w:szCs w:val="32"/>
          <w:lang w:val="en-US" w:eastAsia="zh-CN" w:bidi="en-US"/>
        </w:rPr>
        <w:t>2</w:t>
      </w:r>
      <w:r>
        <w:rPr>
          <w:rFonts w:hint="eastAsia" w:ascii="仿宋_GB2312" w:hAnsi="仿宋_GB2312" w:eastAsia="仿宋_GB2312" w:cs="仿宋_GB2312"/>
          <w:bCs w:val="0"/>
          <w:color w:val="auto"/>
          <w:sz w:val="32"/>
          <w:szCs w:val="32"/>
          <w:lang w:eastAsia="zh-CN" w:bidi="en-US"/>
        </w:rPr>
        <w:t>）</w:t>
      </w:r>
      <w:r>
        <w:rPr>
          <w:rFonts w:hint="eastAsia" w:ascii="仿宋_GB2312" w:hAnsi="仿宋_GB2312" w:eastAsia="仿宋_GB2312" w:cs="仿宋_GB2312"/>
          <w:bCs w:val="0"/>
          <w:color w:val="auto"/>
          <w:sz w:val="32"/>
          <w:szCs w:val="32"/>
          <w:lang w:bidi="en-US"/>
        </w:rPr>
        <w:t>信用记录查询渠道：信用中国（www.creditchina.gov.cn）、中国政府采购网（www.ccgp.gov.cn）。</w:t>
      </w:r>
      <w:r>
        <w:rPr>
          <w:rFonts w:hint="eastAsia" w:ascii="仿宋_GB2312" w:hAnsi="仿宋_GB2312" w:eastAsia="仿宋_GB2312" w:cs="仿宋_GB2312"/>
          <w:bCs w:val="0"/>
          <w:color w:val="auto"/>
          <w:sz w:val="32"/>
          <w:szCs w:val="32"/>
          <w:lang w:eastAsia="zh-CN" w:bidi="en-US"/>
        </w:rPr>
        <w:t>（</w:t>
      </w:r>
      <w:r>
        <w:rPr>
          <w:rFonts w:hint="eastAsia" w:ascii="仿宋_GB2312" w:hAnsi="仿宋_GB2312" w:eastAsia="仿宋_GB2312" w:cs="仿宋_GB2312"/>
          <w:bCs w:val="0"/>
          <w:color w:val="auto"/>
          <w:sz w:val="32"/>
          <w:szCs w:val="32"/>
          <w:lang w:val="en-US" w:eastAsia="zh-CN" w:bidi="en-US"/>
        </w:rPr>
        <w:t>3</w:t>
      </w:r>
      <w:r>
        <w:rPr>
          <w:rFonts w:hint="eastAsia" w:ascii="仿宋_GB2312" w:hAnsi="仿宋_GB2312" w:eastAsia="仿宋_GB2312" w:cs="仿宋_GB2312"/>
          <w:bCs w:val="0"/>
          <w:color w:val="auto"/>
          <w:sz w:val="32"/>
          <w:szCs w:val="32"/>
          <w:lang w:eastAsia="zh-CN" w:bidi="en-US"/>
        </w:rPr>
        <w:t>）</w:t>
      </w:r>
      <w:r>
        <w:rPr>
          <w:rFonts w:hint="eastAsia" w:ascii="仿宋_GB2312" w:hAnsi="仿宋_GB2312" w:eastAsia="仿宋_GB2312" w:cs="仿宋_GB2312"/>
          <w:bCs w:val="0"/>
          <w:color w:val="auto"/>
          <w:sz w:val="32"/>
          <w:szCs w:val="32"/>
          <w:lang w:bidi="en-US"/>
        </w:rPr>
        <w:t>经查询，申请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02F7B501">
      <w:pPr>
        <w:spacing w:line="440" w:lineRule="exact"/>
        <w:ind w:firstLine="640" w:firstLineChars="200"/>
        <w:jc w:val="left"/>
        <w:rPr>
          <w:rFonts w:hint="eastAsia" w:ascii="仿宋_GB2312" w:hAnsi="仿宋_GB2312" w:eastAsia="仿宋_GB2312" w:cs="仿宋_GB2312"/>
          <w:b/>
          <w:bCs/>
          <w:color w:val="auto"/>
          <w:sz w:val="32"/>
          <w:szCs w:val="32"/>
          <w:lang w:eastAsia="zh-CN"/>
        </w:rPr>
      </w:pPr>
      <w:r>
        <w:rPr>
          <w:rFonts w:hint="eastAsia" w:ascii="黑体" w:hAnsi="黑体" w:eastAsia="黑体" w:cs="Times New Roman"/>
          <w:b w:val="0"/>
          <w:color w:val="auto"/>
          <w:sz w:val="32"/>
          <w:szCs w:val="32"/>
          <w:lang w:val="en-US" w:eastAsia="zh-CN"/>
        </w:rPr>
        <w:t>三</w:t>
      </w:r>
      <w:r>
        <w:rPr>
          <w:rFonts w:hint="eastAsia" w:ascii="黑体" w:hAnsi="黑体" w:eastAsia="黑体" w:cs="Times New Roman"/>
          <w:b w:val="0"/>
          <w:color w:val="auto"/>
          <w:sz w:val="32"/>
          <w:szCs w:val="32"/>
        </w:rPr>
        <w:t>、</w:t>
      </w:r>
      <w:r>
        <w:rPr>
          <w:rFonts w:hint="eastAsia" w:ascii="黑体" w:hAnsi="黑体" w:eastAsia="黑体" w:cs="Times New Roman"/>
          <w:b w:val="0"/>
          <w:color w:val="auto"/>
          <w:sz w:val="32"/>
          <w:szCs w:val="32"/>
          <w:lang w:val="en-US" w:eastAsia="zh-CN"/>
        </w:rPr>
        <w:t>其他要求</w:t>
      </w:r>
    </w:p>
    <w:p w14:paraId="27FC4BA9">
      <w:pPr>
        <w:pStyle w:val="14"/>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360" w:lineRule="auto"/>
        <w:ind w:firstLine="643" w:firstLineChars="200"/>
        <w:textAlignment w:val="auto"/>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rPr>
        <w:t>一</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rPr>
        <w:t>投标人资格要求</w:t>
      </w:r>
    </w:p>
    <w:p w14:paraId="07FD7992">
      <w:pPr>
        <w:pStyle w:val="14"/>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36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投标人应具备承担本招标项目资质条件、能力及其他</w:t>
      </w:r>
      <w:r>
        <w:rPr>
          <w:rFonts w:hint="eastAsia" w:ascii="仿宋_GB2312" w:hAnsi="仿宋_GB2312" w:eastAsia="仿宋_GB2312" w:cs="仿宋_GB2312"/>
          <w:color w:val="auto"/>
          <w:sz w:val="32"/>
          <w:szCs w:val="32"/>
          <w:lang w:eastAsia="zh-CN"/>
        </w:rPr>
        <w:t>要求</w:t>
      </w:r>
      <w:r>
        <w:rPr>
          <w:rFonts w:hint="eastAsia" w:ascii="仿宋_GB2312" w:hAnsi="仿宋_GB2312" w:eastAsia="仿宋_GB2312" w:cs="仿宋_GB2312"/>
          <w:color w:val="auto"/>
          <w:sz w:val="32"/>
          <w:szCs w:val="32"/>
        </w:rPr>
        <w:t>：</w:t>
      </w:r>
    </w:p>
    <w:p w14:paraId="5950B269">
      <w:pPr>
        <w:pStyle w:val="14"/>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（1）资质等级及范围：投标人须具备建设行政主管部门核发有效的工程设计综合甲级资质，或工程设计建筑行业甲级资质，或工程设计建筑行业（建筑工程）甲级专业资质</w:t>
      </w:r>
      <w:r>
        <w:rPr>
          <w:rFonts w:hint="eastAsia" w:ascii="仿宋_GB2312" w:hAnsi="仿宋_GB2312" w:eastAsia="仿宋_GB2312" w:cs="仿宋_GB2312"/>
          <w:color w:val="auto"/>
          <w:sz w:val="32"/>
          <w:szCs w:val="32"/>
          <w:lang w:eastAsia="zh-CN"/>
        </w:rPr>
        <w:t>。</w:t>
      </w:r>
    </w:p>
    <w:p w14:paraId="69E4DEAB">
      <w:pPr>
        <w:pStyle w:val="14"/>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（2）项目负责人资质类别和等级：</w:t>
      </w:r>
      <w:r>
        <w:rPr>
          <w:rFonts w:hint="eastAsia" w:ascii="仿宋_GB2312" w:hAnsi="仿宋_GB2312" w:eastAsia="仿宋_GB2312" w:cs="仿宋_GB2312"/>
          <w:color w:val="auto"/>
          <w:sz w:val="32"/>
          <w:szCs w:val="32"/>
          <w:lang w:val="en-US" w:eastAsia="zh-CN"/>
        </w:rPr>
        <w:t>具备国家一级注册建筑师资格或国家</w:t>
      </w:r>
      <w:r>
        <w:rPr>
          <w:rFonts w:hint="default" w:ascii="仿宋_GB2312" w:hAnsi="仿宋_GB2312" w:eastAsia="仿宋_GB2312" w:cs="仿宋_GB2312"/>
          <w:color w:val="auto"/>
          <w:sz w:val="32"/>
          <w:szCs w:val="32"/>
          <w:lang w:val="en-US" w:eastAsia="zh-CN"/>
        </w:rPr>
        <w:t>一级注册结构工程师</w:t>
      </w:r>
      <w:r>
        <w:rPr>
          <w:rFonts w:hint="eastAsia" w:ascii="仿宋_GB2312" w:hAnsi="仿宋_GB2312" w:eastAsia="仿宋_GB2312" w:cs="仿宋_GB2312"/>
          <w:color w:val="auto"/>
          <w:sz w:val="32"/>
          <w:szCs w:val="32"/>
          <w:lang w:val="en-US" w:eastAsia="zh-CN"/>
        </w:rPr>
        <w:t>资格</w:t>
      </w:r>
      <w:r>
        <w:rPr>
          <w:rFonts w:hint="eastAsia" w:ascii="仿宋_GB2312" w:hAnsi="仿宋_GB2312" w:eastAsia="仿宋_GB2312" w:cs="仿宋_GB2312"/>
          <w:color w:val="auto"/>
          <w:sz w:val="32"/>
          <w:szCs w:val="32"/>
          <w:lang w:eastAsia="zh-CN"/>
        </w:rPr>
        <w:t>。</w:t>
      </w:r>
    </w:p>
    <w:p w14:paraId="6A5F4DE5">
      <w:pPr>
        <w:pStyle w:val="14"/>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36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（3）本次招标不接受联合体投标。</w:t>
      </w:r>
    </w:p>
    <w:p w14:paraId="550AE259">
      <w:pPr>
        <w:pStyle w:val="14"/>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36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存在下列情形之一的不得参与投标：</w:t>
      </w:r>
    </w:p>
    <w:p w14:paraId="37D1B02B">
      <w:pPr>
        <w:pStyle w:val="14"/>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36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（1）为招标人不具有独立法人资格的附属机构（单位）；</w:t>
      </w:r>
    </w:p>
    <w:p w14:paraId="0525275D">
      <w:pPr>
        <w:pStyle w:val="14"/>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36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（2）与招标人存在利害关系且可能影响招标公正性；</w:t>
      </w:r>
    </w:p>
    <w:p w14:paraId="7A0353D4">
      <w:pPr>
        <w:pStyle w:val="14"/>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36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（3）与本招标项目的其他投标人为同一个单位负责人；</w:t>
      </w:r>
    </w:p>
    <w:p w14:paraId="032CADF3">
      <w:pPr>
        <w:pStyle w:val="14"/>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36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（4）与本招标项目的其他投标人存在控股、管理关系；</w:t>
      </w:r>
    </w:p>
    <w:p w14:paraId="681ED414">
      <w:pPr>
        <w:pStyle w:val="14"/>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36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（5）为本招标项目的代建人；</w:t>
      </w:r>
    </w:p>
    <w:p w14:paraId="5AC8DCC8">
      <w:pPr>
        <w:pStyle w:val="14"/>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36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（6）为本招标项目的招标代理机构；</w:t>
      </w:r>
    </w:p>
    <w:p w14:paraId="51C15841">
      <w:pPr>
        <w:pStyle w:val="14"/>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36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（7）与本招标项目的代建人或招标代理机构同为一个法定代表人；</w:t>
      </w:r>
    </w:p>
    <w:p w14:paraId="59ECBDB6">
      <w:pPr>
        <w:pStyle w:val="14"/>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36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（8）与本招标项目的代建人或招标代理机构存在控股或参股关系；</w:t>
      </w:r>
    </w:p>
    <w:p w14:paraId="62B41D9A">
      <w:pPr>
        <w:pStyle w:val="14"/>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36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（9）被依法暂停或者取消投标资格；</w:t>
      </w:r>
    </w:p>
    <w:p w14:paraId="53225C8D">
      <w:pPr>
        <w:pStyle w:val="14"/>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36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（10）被责令停产停业、暂扣或者吊销许可证、暂扣或者吊销执照；</w:t>
      </w:r>
    </w:p>
    <w:p w14:paraId="72EF89F6">
      <w:pPr>
        <w:pStyle w:val="14"/>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36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（11）进入清算程序，或被宣告破产，或其他丧失履约能力的情形；</w:t>
      </w:r>
    </w:p>
    <w:p w14:paraId="71328403">
      <w:pPr>
        <w:pStyle w:val="14"/>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36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（12）在最近三年内发生重大设计质量问题（以相关行业主管部门的行政处罚决定或司法机关出具的有关法律文书为准）；</w:t>
      </w:r>
    </w:p>
    <w:p w14:paraId="118C8080">
      <w:pPr>
        <w:pStyle w:val="14"/>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36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（13）被工商行政管理机关</w:t>
      </w:r>
      <w:ins w:id="0" w:author="彩虹" w:date="2026-07-22T10:08:51Z">
        <w:r>
          <w:rPr>
            <w:rFonts w:hint="eastAsia" w:ascii="仿宋_GB2312" w:hAnsi="仿宋_GB2312" w:eastAsia="仿宋_GB2312" w:cs="仿宋_GB2312"/>
            <w:color w:val="auto"/>
            <w:sz w:val="32"/>
            <w:szCs w:val="32"/>
            <w:lang w:eastAsia="zh-CN"/>
          </w:rPr>
          <w:t>在国家企业信用信息公示系统</w:t>
        </w:r>
      </w:ins>
      <w:del w:id="1" w:author="彩虹" w:date="2026-07-22T10:08:51Z">
        <w:r>
          <w:rPr>
            <w:rFonts w:hint="eastAsia" w:ascii="仿宋_GB2312" w:hAnsi="仿宋_GB2312" w:eastAsia="仿宋_GB2312" w:cs="仿宋_GB2312"/>
            <w:color w:val="auto"/>
            <w:sz w:val="32"/>
            <w:szCs w:val="32"/>
          </w:rPr>
          <w:delText>在全国企业信用信息公示系统</w:delText>
        </w:r>
      </w:del>
      <w:r>
        <w:rPr>
          <w:rFonts w:hint="eastAsia" w:ascii="仿宋_GB2312" w:hAnsi="仿宋_GB2312" w:eastAsia="仿宋_GB2312" w:cs="仿宋_GB2312"/>
          <w:color w:val="auto"/>
          <w:sz w:val="32"/>
          <w:szCs w:val="32"/>
        </w:rPr>
        <w:t>中列入严重违法失信企业名单；</w:t>
      </w:r>
    </w:p>
    <w:p w14:paraId="69578A89">
      <w:pPr>
        <w:pStyle w:val="14"/>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（14）投标人被最高人民法院在“信用中国”网站（www.creditchina.</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gov.cn）或各级信用信息共享平台中列入失信被执行人名单（处罚有效期内）</w:t>
      </w:r>
      <w:r>
        <w:rPr>
          <w:rFonts w:hint="eastAsia" w:ascii="仿宋_GB2312" w:hAnsi="仿宋_GB2312" w:eastAsia="仿宋_GB2312" w:cs="仿宋_GB2312"/>
          <w:color w:val="auto"/>
          <w:sz w:val="32"/>
          <w:szCs w:val="32"/>
          <w:lang w:eastAsia="zh-CN"/>
        </w:rPr>
        <w:t>。</w:t>
      </w:r>
    </w:p>
    <w:p w14:paraId="5D5F0818">
      <w:pPr>
        <w:spacing w:line="440" w:lineRule="exact"/>
        <w:ind w:firstLine="640"/>
        <w:jc w:val="left"/>
        <w:rPr>
          <w:rFonts w:hint="eastAsia" w:ascii="黑体" w:hAnsi="黑体" w:eastAsia="黑体" w:cs="Times New Roman"/>
          <w:b w:val="0"/>
          <w:bCs w:val="0"/>
          <w:color w:val="auto"/>
          <w:sz w:val="32"/>
          <w:szCs w:val="32"/>
        </w:rPr>
      </w:pPr>
      <w:r>
        <w:rPr>
          <w:rFonts w:hint="eastAsia" w:ascii="黑体" w:hAnsi="黑体" w:eastAsia="黑体" w:cs="Times New Roman"/>
          <w:b w:val="0"/>
          <w:bCs w:val="0"/>
          <w:color w:val="auto"/>
          <w:sz w:val="32"/>
          <w:szCs w:val="32"/>
          <w:lang w:val="en-US" w:eastAsia="zh-CN"/>
        </w:rPr>
        <w:t>四、</w:t>
      </w:r>
      <w:r>
        <w:rPr>
          <w:rFonts w:hint="eastAsia" w:ascii="黑体" w:hAnsi="黑体" w:eastAsia="黑体" w:cs="Times New Roman"/>
          <w:b w:val="0"/>
          <w:bCs w:val="0"/>
          <w:color w:val="auto"/>
          <w:sz w:val="32"/>
          <w:szCs w:val="32"/>
        </w:rPr>
        <w:t>评标方法</w:t>
      </w:r>
    </w:p>
    <w:p w14:paraId="5418DA58">
      <w:pPr>
        <w:ind w:firstLine="555"/>
        <w:rPr>
          <w:rFonts w:hint="eastAsia" w:ascii="仿宋_GB2312" w:hAnsi="仿宋_GB2312" w:eastAsia="仿宋_GB2312" w:cs="仿宋_GB2312"/>
          <w:b/>
          <w:bCs/>
          <w:color w:val="auto"/>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采用</w:t>
      </w:r>
      <w:r>
        <w:rPr>
          <w:rFonts w:hint="eastAsia" w:ascii="仿宋_GB2312" w:hAnsi="仿宋_GB2312" w:eastAsia="仿宋_GB2312" w:cs="仿宋_GB2312"/>
          <w:sz w:val="32"/>
          <w:szCs w:val="32"/>
          <w:lang w:val="en-US" w:eastAsia="zh-CN"/>
        </w:rPr>
        <w:t>综合评分法</w:t>
      </w:r>
      <w:r>
        <w:rPr>
          <w:rFonts w:hint="eastAsia" w:ascii="仿宋_GB2312" w:hAnsi="仿宋_GB2312" w:eastAsia="仿宋_GB2312" w:cs="仿宋_GB2312"/>
          <w:sz w:val="32"/>
          <w:szCs w:val="32"/>
        </w:rPr>
        <w:t>。</w:t>
      </w:r>
    </w:p>
    <w:p w14:paraId="221863DE">
      <w:pPr>
        <w:pStyle w:val="14"/>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每个报价的综合总得分由以下三部分组成(每部分得分计算以四舍五入的方式精确到小数点后两位)</w:t>
      </w:r>
      <w:r>
        <w:rPr>
          <w:rFonts w:hint="eastAsia" w:ascii="仿宋_GB2312" w:hAnsi="仿宋_GB2312" w:eastAsia="仿宋_GB2312" w:cs="仿宋_GB2312"/>
          <w:color w:val="auto"/>
          <w:sz w:val="32"/>
          <w:szCs w:val="32"/>
          <w:lang w:eastAsia="zh-CN"/>
        </w:rPr>
        <w:t>。</w:t>
      </w:r>
    </w:p>
    <w:p w14:paraId="65AAD123">
      <w:pPr>
        <w:pStyle w:val="14"/>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资信、业绩得分（</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0分）：在全体评委的资信、业绩评分（资信、业绩细项评分总和）中取其算术平均值</w:t>
      </w:r>
      <w:r>
        <w:rPr>
          <w:rFonts w:hint="eastAsia" w:ascii="仿宋_GB2312" w:hAnsi="仿宋_GB2312" w:eastAsia="仿宋_GB2312" w:cs="仿宋_GB2312"/>
          <w:color w:val="auto"/>
          <w:sz w:val="32"/>
          <w:szCs w:val="32"/>
          <w:lang w:eastAsia="zh-CN"/>
        </w:rPr>
        <w:t>。</w:t>
      </w:r>
    </w:p>
    <w:p w14:paraId="26CC4A01">
      <w:pPr>
        <w:pStyle w:val="14"/>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360" w:lineRule="auto"/>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技术得分（</w:t>
      </w:r>
      <w:r>
        <w:rPr>
          <w:rFonts w:hint="eastAsia" w:ascii="仿宋_GB2312" w:hAnsi="仿宋_GB2312" w:eastAsia="仿宋_GB2312" w:cs="仿宋_GB2312"/>
          <w:color w:val="auto"/>
          <w:sz w:val="32"/>
          <w:szCs w:val="32"/>
          <w:lang w:val="en-US" w:eastAsia="zh-CN"/>
        </w:rPr>
        <w:t>50</w:t>
      </w:r>
      <w:r>
        <w:rPr>
          <w:rFonts w:hint="eastAsia" w:ascii="仿宋_GB2312" w:hAnsi="仿宋_GB2312" w:eastAsia="仿宋_GB2312" w:cs="仿宋_GB2312"/>
          <w:color w:val="auto"/>
          <w:sz w:val="32"/>
          <w:szCs w:val="32"/>
        </w:rPr>
        <w:t>分）：在全体评委的技术评分（各技术细项评分总和）中取其算术平均值</w:t>
      </w:r>
      <w:r>
        <w:rPr>
          <w:rFonts w:hint="eastAsia" w:ascii="仿宋_GB2312" w:hAnsi="仿宋_GB2312" w:eastAsia="仿宋_GB2312" w:cs="仿宋_GB2312"/>
          <w:color w:val="auto"/>
          <w:sz w:val="32"/>
          <w:szCs w:val="32"/>
          <w:lang w:eastAsia="zh-CN"/>
        </w:rPr>
        <w:t>。</w:t>
      </w:r>
    </w:p>
    <w:p w14:paraId="36DFA091">
      <w:pPr>
        <w:pStyle w:val="14"/>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360" w:lineRule="auto"/>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价格得分（</w:t>
      </w:r>
      <w:r>
        <w:rPr>
          <w:rFonts w:hint="eastAsia" w:ascii="仿宋_GB2312" w:hAnsi="仿宋_GB2312" w:eastAsia="仿宋_GB2312" w:cs="仿宋_GB2312"/>
          <w:color w:val="auto"/>
          <w:sz w:val="32"/>
          <w:szCs w:val="32"/>
          <w:lang w:val="en-US" w:eastAsia="zh-CN"/>
        </w:rPr>
        <w:t>30</w:t>
      </w:r>
      <w:r>
        <w:rPr>
          <w:rFonts w:hint="eastAsia" w:ascii="仿宋_GB2312" w:hAnsi="仿宋_GB2312" w:eastAsia="仿宋_GB2312" w:cs="仿宋_GB2312"/>
          <w:color w:val="auto"/>
          <w:sz w:val="32"/>
          <w:szCs w:val="32"/>
        </w:rPr>
        <w:t>分）：价格评审的客观计算得分。</w:t>
      </w:r>
    </w:p>
    <w:p w14:paraId="0D81B2F5">
      <w:pPr>
        <w:pStyle w:val="14"/>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360" w:lineRule="auto"/>
        <w:ind w:firstLine="640" w:firstLineChars="200"/>
        <w:textAlignment w:val="auto"/>
        <w:rPr>
          <w:rFonts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rPr>
        <w:t>综合总得分＝资信、业绩得分+技术得分＋价格得分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计分结束后，评标委员会将按投标人的综合总得分由高到低的排名顺序，推荐综合得分由高到低排序前三名的投标人分别为该项目中标候选人，由招标人依法确定中标人。出现综合总得分并列时，报价总价低的投标人名次靠前；若综合总得分和报</w:t>
      </w:r>
      <w:r>
        <w:rPr>
          <w:rFonts w:hint="eastAsia" w:ascii="仿宋_GB2312" w:hAnsi="仿宋_GB2312" w:eastAsia="仿宋_GB2312" w:cs="仿宋_GB2312"/>
          <w:color w:val="auto"/>
          <w:sz w:val="32"/>
          <w:szCs w:val="32"/>
          <w:shd w:val="clear" w:color="auto" w:fill="auto"/>
        </w:rPr>
        <w:t>价总价都相同，由评标委员会进行投票表决。</w:t>
      </w:r>
    </w:p>
    <w:tbl>
      <w:tblPr>
        <w:tblStyle w:val="15"/>
        <w:tblpPr w:leftFromText="180" w:rightFromText="180" w:vertAnchor="text" w:horzAnchor="page" w:tblpX="1140" w:tblpY="89"/>
        <w:tblOverlap w:val="never"/>
        <w:tblW w:w="9669"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0" w:type="dxa"/>
          <w:bottom w:w="0" w:type="dxa"/>
          <w:right w:w="0" w:type="dxa"/>
        </w:tblCellMar>
      </w:tblPr>
      <w:tblGrid>
        <w:gridCol w:w="1100"/>
        <w:gridCol w:w="1166"/>
        <w:gridCol w:w="617"/>
        <w:gridCol w:w="6786"/>
      </w:tblGrid>
      <w:tr w14:paraId="6158204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76" w:hRule="atLeast"/>
        </w:trPr>
        <w:tc>
          <w:tcPr>
            <w:tcW w:w="1100" w:type="dxa"/>
            <w:vAlign w:val="center"/>
          </w:tcPr>
          <w:p w14:paraId="24E14F3C">
            <w:pPr>
              <w:keepNext w:val="0"/>
              <w:keepLines w:val="0"/>
              <w:pageBreakBefore w:val="0"/>
              <w:kinsoku/>
              <w:wordWrap/>
              <w:overflowPunct/>
              <w:topLinePunct w:val="0"/>
              <w:bidi w:val="0"/>
              <w:adjustRightInd w:val="0"/>
              <w:snapToGrid w:val="0"/>
              <w:spacing w:line="312" w:lineRule="auto"/>
              <w:ind w:left="28" w:leftChars="10" w:right="28" w:rightChars="1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b/>
                <w:color w:val="auto"/>
                <w:sz w:val="24"/>
                <w:szCs w:val="24"/>
              </w:rPr>
              <w:t>分项</w:t>
            </w:r>
          </w:p>
        </w:tc>
        <w:tc>
          <w:tcPr>
            <w:tcW w:w="1166" w:type="dxa"/>
            <w:vAlign w:val="center"/>
          </w:tcPr>
          <w:p w14:paraId="1AB1B5CD">
            <w:pPr>
              <w:keepNext w:val="0"/>
              <w:keepLines w:val="0"/>
              <w:pageBreakBefore w:val="0"/>
              <w:kinsoku/>
              <w:wordWrap/>
              <w:overflowPunct/>
              <w:topLinePunct w:val="0"/>
              <w:bidi w:val="0"/>
              <w:adjustRightInd w:val="0"/>
              <w:snapToGrid w:val="0"/>
              <w:spacing w:line="312" w:lineRule="auto"/>
              <w:ind w:left="28" w:leftChars="10" w:right="28" w:rightChars="1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b/>
                <w:color w:val="auto"/>
                <w:sz w:val="24"/>
                <w:szCs w:val="24"/>
              </w:rPr>
              <w:t>评分因素</w:t>
            </w:r>
          </w:p>
        </w:tc>
        <w:tc>
          <w:tcPr>
            <w:tcW w:w="617" w:type="dxa"/>
            <w:tcBorders>
              <w:bottom w:val="single" w:color="auto" w:sz="4" w:space="0"/>
            </w:tcBorders>
            <w:vAlign w:val="center"/>
          </w:tcPr>
          <w:p w14:paraId="176AFA45">
            <w:pPr>
              <w:keepNext w:val="0"/>
              <w:keepLines w:val="0"/>
              <w:pageBreakBefore w:val="0"/>
              <w:kinsoku/>
              <w:wordWrap/>
              <w:overflowPunct/>
              <w:topLinePunct w:val="0"/>
              <w:bidi w:val="0"/>
              <w:adjustRightInd w:val="0"/>
              <w:snapToGrid w:val="0"/>
              <w:spacing w:line="312" w:lineRule="auto"/>
              <w:ind w:left="28" w:leftChars="10" w:right="28" w:rightChars="1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b/>
                <w:color w:val="auto"/>
                <w:sz w:val="24"/>
                <w:szCs w:val="24"/>
              </w:rPr>
              <w:t>分值</w:t>
            </w:r>
          </w:p>
        </w:tc>
        <w:tc>
          <w:tcPr>
            <w:tcW w:w="6786" w:type="dxa"/>
            <w:vAlign w:val="center"/>
          </w:tcPr>
          <w:p w14:paraId="4D18BF25">
            <w:pPr>
              <w:pStyle w:val="5"/>
              <w:keepNext w:val="0"/>
              <w:keepLines w:val="0"/>
              <w:pageBreakBefore w:val="0"/>
              <w:kinsoku/>
              <w:wordWrap/>
              <w:overflowPunct/>
              <w:topLinePunct w:val="0"/>
              <w:bidi w:val="0"/>
              <w:adjustRightInd w:val="0"/>
              <w:snapToGrid w:val="0"/>
              <w:spacing w:after="0" w:line="312" w:lineRule="auto"/>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b/>
                <w:color w:val="auto"/>
                <w:sz w:val="24"/>
                <w:szCs w:val="24"/>
              </w:rPr>
              <w:t>评分标准</w:t>
            </w:r>
          </w:p>
        </w:tc>
      </w:tr>
      <w:tr w14:paraId="30547E4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845" w:hRule="atLeast"/>
        </w:trPr>
        <w:tc>
          <w:tcPr>
            <w:tcW w:w="1100" w:type="dxa"/>
            <w:vMerge w:val="restart"/>
            <w:vAlign w:val="center"/>
          </w:tcPr>
          <w:p w14:paraId="7CBD850B">
            <w:pPr>
              <w:pStyle w:val="5"/>
              <w:keepNext w:val="0"/>
              <w:keepLines w:val="0"/>
              <w:pageBreakBefore w:val="0"/>
              <w:kinsoku/>
              <w:wordWrap/>
              <w:overflowPunct/>
              <w:topLinePunct w:val="0"/>
              <w:bidi w:val="0"/>
              <w:spacing w:after="0" w:line="312" w:lineRule="auto"/>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资信业绩部分（</w:t>
            </w:r>
            <w:r>
              <w:rPr>
                <w:rFonts w:hint="eastAsia" w:ascii="仿宋_GB2312" w:hAnsi="仿宋_GB2312" w:eastAsia="仿宋_GB2312" w:cs="仿宋_GB2312"/>
                <w:color w:val="auto"/>
                <w:sz w:val="24"/>
                <w:szCs w:val="24"/>
                <w:lang w:val="en-US" w:eastAsia="zh-CN"/>
              </w:rPr>
              <w:t>20</w:t>
            </w:r>
            <w:r>
              <w:rPr>
                <w:rFonts w:hint="eastAsia" w:ascii="仿宋_GB2312" w:hAnsi="仿宋_GB2312" w:eastAsia="仿宋_GB2312" w:cs="仿宋_GB2312"/>
                <w:color w:val="auto"/>
                <w:sz w:val="24"/>
                <w:szCs w:val="24"/>
              </w:rPr>
              <w:t>分）</w:t>
            </w:r>
          </w:p>
        </w:tc>
        <w:tc>
          <w:tcPr>
            <w:tcW w:w="1166" w:type="dxa"/>
            <w:vAlign w:val="center"/>
          </w:tcPr>
          <w:p w14:paraId="206FEC42">
            <w:pPr>
              <w:keepNext w:val="0"/>
              <w:keepLines w:val="0"/>
              <w:pageBreakBefore w:val="0"/>
              <w:widowControl w:val="0"/>
              <w:kinsoku/>
              <w:wordWrap/>
              <w:overflowPunct/>
              <w:topLinePunct w:val="0"/>
              <w:autoSpaceDE/>
              <w:autoSpaceDN/>
              <w:bidi w:val="0"/>
              <w:adjustRightInd w:val="0"/>
              <w:snapToGrid w:val="0"/>
              <w:spacing w:line="312" w:lineRule="auto"/>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企业</w:t>
            </w:r>
            <w:r>
              <w:rPr>
                <w:rFonts w:hint="eastAsia" w:ascii="仿宋_GB2312" w:hAnsi="仿宋_GB2312" w:eastAsia="仿宋_GB2312" w:cs="仿宋_GB2312"/>
                <w:color w:val="auto"/>
                <w:sz w:val="24"/>
                <w:szCs w:val="24"/>
                <w:lang w:val="en-US" w:eastAsia="zh-CN"/>
              </w:rPr>
              <w:t>资质</w:t>
            </w:r>
          </w:p>
        </w:tc>
        <w:tc>
          <w:tcPr>
            <w:tcW w:w="617" w:type="dxa"/>
            <w:tcBorders>
              <w:bottom w:val="single" w:color="auto" w:sz="4" w:space="0"/>
            </w:tcBorders>
            <w:vAlign w:val="center"/>
          </w:tcPr>
          <w:p w14:paraId="3F09048E">
            <w:pPr>
              <w:keepNext w:val="0"/>
              <w:keepLines w:val="0"/>
              <w:pageBreakBefore w:val="0"/>
              <w:widowControl w:val="0"/>
              <w:kinsoku/>
              <w:wordWrap/>
              <w:overflowPunct/>
              <w:topLinePunct w:val="0"/>
              <w:autoSpaceDE/>
              <w:autoSpaceDN/>
              <w:bidi w:val="0"/>
              <w:adjustRightInd w:val="0"/>
              <w:snapToGrid w:val="0"/>
              <w:spacing w:line="312" w:lineRule="auto"/>
              <w:ind w:left="28" w:leftChars="10" w:right="28" w:rightChars="10"/>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2</w:t>
            </w:r>
          </w:p>
        </w:tc>
        <w:tc>
          <w:tcPr>
            <w:tcW w:w="6786" w:type="dxa"/>
            <w:vAlign w:val="center"/>
          </w:tcPr>
          <w:p w14:paraId="0A01B462">
            <w:pPr>
              <w:keepNext w:val="0"/>
              <w:keepLines w:val="0"/>
              <w:pageBreakBefore w:val="0"/>
              <w:widowControl w:val="0"/>
              <w:kinsoku/>
              <w:wordWrap/>
              <w:overflowPunct/>
              <w:topLinePunct w:val="0"/>
              <w:autoSpaceDE/>
              <w:autoSpaceDN/>
              <w:bidi w:val="0"/>
              <w:spacing w:line="312" w:lineRule="auto"/>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bCs w:val="0"/>
                <w:color w:val="auto"/>
                <w:sz w:val="24"/>
                <w:szCs w:val="24"/>
              </w:rPr>
              <w:t>投标人</w:t>
            </w:r>
            <w:r>
              <w:rPr>
                <w:rFonts w:hint="eastAsia" w:ascii="仿宋_GB2312" w:hAnsi="仿宋_GB2312" w:eastAsia="仿宋_GB2312" w:cs="仿宋_GB2312"/>
                <w:color w:val="auto"/>
                <w:sz w:val="24"/>
                <w:szCs w:val="24"/>
              </w:rPr>
              <w:t>具有工程设计综合类甲级资质或工程设计建筑行业设计甲级资质或建筑行业（建筑工程）甲级资质，得</w:t>
            </w: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分。</w:t>
            </w:r>
          </w:p>
        </w:tc>
      </w:tr>
      <w:tr w14:paraId="208C43F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114" w:hRule="atLeast"/>
        </w:trPr>
        <w:tc>
          <w:tcPr>
            <w:tcW w:w="1100" w:type="dxa"/>
            <w:vMerge w:val="continue"/>
            <w:vAlign w:val="center"/>
          </w:tcPr>
          <w:p w14:paraId="4105425C">
            <w:pPr>
              <w:pStyle w:val="5"/>
              <w:keepNext w:val="0"/>
              <w:keepLines w:val="0"/>
              <w:pageBreakBefore w:val="0"/>
              <w:kinsoku/>
              <w:wordWrap/>
              <w:overflowPunct/>
              <w:topLinePunct w:val="0"/>
              <w:bidi w:val="0"/>
              <w:spacing w:after="0" w:line="312" w:lineRule="auto"/>
              <w:jc w:val="center"/>
              <w:textAlignment w:val="auto"/>
              <w:rPr>
                <w:rFonts w:hint="eastAsia" w:ascii="仿宋_GB2312" w:hAnsi="仿宋_GB2312" w:eastAsia="仿宋_GB2312" w:cs="仿宋_GB2312"/>
                <w:color w:val="auto"/>
                <w:sz w:val="24"/>
                <w:szCs w:val="24"/>
              </w:rPr>
            </w:pPr>
          </w:p>
        </w:tc>
        <w:tc>
          <w:tcPr>
            <w:tcW w:w="1166" w:type="dxa"/>
            <w:tcBorders>
              <w:bottom w:val="single" w:color="auto" w:sz="4" w:space="0"/>
            </w:tcBorders>
            <w:vAlign w:val="center"/>
          </w:tcPr>
          <w:p w14:paraId="7A0E4DBA">
            <w:pPr>
              <w:keepNext w:val="0"/>
              <w:keepLines w:val="0"/>
              <w:pageBreakBefore w:val="0"/>
              <w:widowControl w:val="0"/>
              <w:kinsoku/>
              <w:wordWrap/>
              <w:overflowPunct/>
              <w:topLinePunct w:val="0"/>
              <w:autoSpaceDE/>
              <w:autoSpaceDN/>
              <w:bidi w:val="0"/>
              <w:adjustRightInd w:val="0"/>
              <w:snapToGrid w:val="0"/>
              <w:spacing w:line="312"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bCs/>
                <w:color w:val="auto"/>
                <w:sz w:val="24"/>
                <w:szCs w:val="24"/>
                <w:lang w:val="en-US" w:eastAsia="zh-CN"/>
              </w:rPr>
              <w:t>企业业绩</w:t>
            </w:r>
          </w:p>
        </w:tc>
        <w:tc>
          <w:tcPr>
            <w:tcW w:w="617" w:type="dxa"/>
            <w:tcBorders>
              <w:bottom w:val="single" w:color="auto" w:sz="4" w:space="0"/>
            </w:tcBorders>
            <w:vAlign w:val="center"/>
          </w:tcPr>
          <w:p w14:paraId="59847792">
            <w:pPr>
              <w:keepNext w:val="0"/>
              <w:keepLines w:val="0"/>
              <w:pageBreakBefore w:val="0"/>
              <w:widowControl w:val="0"/>
              <w:kinsoku/>
              <w:wordWrap/>
              <w:overflowPunct/>
              <w:topLinePunct w:val="0"/>
              <w:autoSpaceDE/>
              <w:autoSpaceDN/>
              <w:bidi w:val="0"/>
              <w:adjustRightInd w:val="0"/>
              <w:snapToGrid w:val="0"/>
              <w:spacing w:line="312" w:lineRule="auto"/>
              <w:ind w:left="28" w:leftChars="10" w:right="28" w:rightChars="10"/>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bCs/>
                <w:color w:val="auto"/>
                <w:sz w:val="24"/>
                <w:szCs w:val="24"/>
                <w:lang w:val="en-US" w:eastAsia="zh-CN"/>
              </w:rPr>
              <w:t>3</w:t>
            </w:r>
          </w:p>
        </w:tc>
        <w:tc>
          <w:tcPr>
            <w:tcW w:w="6786" w:type="dxa"/>
            <w:tcBorders>
              <w:bottom w:val="single" w:color="auto" w:sz="4" w:space="0"/>
            </w:tcBorders>
            <w:vAlign w:val="center"/>
          </w:tcPr>
          <w:p w14:paraId="39968F5D">
            <w:pPr>
              <w:keepNext w:val="0"/>
              <w:keepLines w:val="0"/>
              <w:pageBreakBefore w:val="0"/>
              <w:widowControl w:val="0"/>
              <w:kinsoku/>
              <w:wordWrap/>
              <w:overflowPunct/>
              <w:topLinePunct w:val="0"/>
              <w:autoSpaceDE/>
              <w:autoSpaceDN/>
              <w:bidi w:val="0"/>
              <w:spacing w:line="312"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bCs w:val="0"/>
                <w:color w:val="auto"/>
                <w:sz w:val="24"/>
                <w:szCs w:val="24"/>
              </w:rPr>
              <w:t>投标人</w:t>
            </w:r>
            <w:r>
              <w:rPr>
                <w:rFonts w:hint="eastAsia" w:ascii="仿宋_GB2312" w:hAnsi="仿宋_GB2312" w:eastAsia="仿宋_GB2312" w:cs="仿宋_GB2312"/>
                <w:color w:val="auto"/>
                <w:kern w:val="0"/>
                <w:sz w:val="24"/>
                <w:szCs w:val="24"/>
                <w:lang w:val="en-US" w:eastAsia="zh-CN" w:bidi="ar"/>
              </w:rPr>
              <w:t>提供的在2021年7月15日至本项目提交响应文件截止时间前已完成的房屋改造或结构加固类设计业绩（日期以施工图审查合格书的证明文件最后签署的日期为准）进行评分，每提供一份业绩得1分，满分3分。注：</w:t>
            </w:r>
            <w:r>
              <w:rPr>
                <w:rFonts w:hint="eastAsia" w:ascii="仿宋_GB2312" w:hAnsi="仿宋_GB2312" w:eastAsia="仿宋_GB2312" w:cs="仿宋_GB2312"/>
                <w:bCs w:val="0"/>
                <w:color w:val="auto"/>
                <w:sz w:val="24"/>
                <w:szCs w:val="24"/>
              </w:rPr>
              <w:t>投标人</w:t>
            </w:r>
            <w:r>
              <w:rPr>
                <w:rFonts w:hint="eastAsia" w:ascii="仿宋_GB2312" w:hAnsi="仿宋_GB2312" w:eastAsia="仿宋_GB2312" w:cs="仿宋_GB2312"/>
                <w:color w:val="auto"/>
                <w:kern w:val="0"/>
                <w:sz w:val="24"/>
                <w:szCs w:val="24"/>
                <w:lang w:val="en-US" w:eastAsia="zh-CN" w:bidi="ar"/>
              </w:rPr>
              <w:t>须提供该业绩项目的合同关键页复印件（包括合同首页、标的页、金额页、双方签字盖章页）、图审合格证书等证明材料的扫描件，所有材料缺一不可，否则不得分。（</w:t>
            </w:r>
            <w:r>
              <w:rPr>
                <w:rFonts w:hint="eastAsia" w:ascii="仿宋_GB2312" w:hAnsi="仿宋_GB2312" w:eastAsia="仿宋_GB2312" w:cs="仿宋_GB2312"/>
                <w:color w:val="auto"/>
                <w:kern w:val="0"/>
                <w:sz w:val="24"/>
                <w:szCs w:val="24"/>
                <w:highlight w:val="none"/>
                <w:lang w:eastAsia="zh-Hans"/>
              </w:rPr>
              <w:t>此评分项与“</w:t>
            </w:r>
            <w:r>
              <w:rPr>
                <w:rFonts w:hint="eastAsia" w:ascii="仿宋_GB2312" w:hAnsi="仿宋_GB2312" w:eastAsia="仿宋_GB2312" w:cs="仿宋_GB2312"/>
                <w:color w:val="auto"/>
                <w:kern w:val="0"/>
                <w:sz w:val="24"/>
                <w:szCs w:val="24"/>
                <w:lang w:val="en-US" w:eastAsia="zh-CN" w:bidi="ar"/>
              </w:rPr>
              <w:t>项目负责人业绩</w:t>
            </w:r>
            <w:r>
              <w:rPr>
                <w:rFonts w:hint="eastAsia" w:ascii="仿宋_GB2312" w:hAnsi="仿宋_GB2312" w:eastAsia="仿宋_GB2312" w:cs="仿宋_GB2312"/>
                <w:color w:val="auto"/>
                <w:kern w:val="0"/>
                <w:sz w:val="24"/>
                <w:szCs w:val="24"/>
                <w:highlight w:val="none"/>
                <w:lang w:eastAsia="zh-Hans"/>
              </w:rPr>
              <w:t>”评分项中提供的</w:t>
            </w:r>
            <w:r>
              <w:rPr>
                <w:rFonts w:hint="eastAsia" w:ascii="仿宋_GB2312" w:hAnsi="仿宋_GB2312" w:eastAsia="仿宋_GB2312" w:cs="仿宋_GB2312"/>
                <w:color w:val="auto"/>
                <w:kern w:val="0"/>
                <w:sz w:val="24"/>
                <w:szCs w:val="24"/>
                <w:highlight w:val="none"/>
              </w:rPr>
              <w:t>项目</w:t>
            </w:r>
            <w:r>
              <w:rPr>
                <w:rFonts w:hint="eastAsia" w:ascii="仿宋_GB2312" w:hAnsi="仿宋_GB2312" w:eastAsia="仿宋_GB2312" w:cs="仿宋_GB2312"/>
                <w:color w:val="auto"/>
                <w:kern w:val="0"/>
                <w:sz w:val="24"/>
                <w:szCs w:val="24"/>
                <w:highlight w:val="none"/>
                <w:lang w:eastAsia="zh-Hans"/>
              </w:rPr>
              <w:t>为同一</w:t>
            </w:r>
            <w:r>
              <w:rPr>
                <w:rFonts w:hint="eastAsia" w:ascii="仿宋_GB2312" w:hAnsi="仿宋_GB2312" w:eastAsia="仿宋_GB2312" w:cs="仿宋_GB2312"/>
                <w:color w:val="auto"/>
                <w:kern w:val="0"/>
                <w:sz w:val="24"/>
                <w:szCs w:val="24"/>
                <w:highlight w:val="none"/>
              </w:rPr>
              <w:t>项目</w:t>
            </w:r>
            <w:r>
              <w:rPr>
                <w:rFonts w:hint="eastAsia" w:ascii="仿宋_GB2312" w:hAnsi="仿宋_GB2312" w:eastAsia="仿宋_GB2312" w:cs="仿宋_GB2312"/>
                <w:color w:val="auto"/>
                <w:kern w:val="0"/>
                <w:sz w:val="24"/>
                <w:szCs w:val="24"/>
                <w:highlight w:val="none"/>
                <w:lang w:eastAsia="zh-Hans"/>
              </w:rPr>
              <w:t>的不重复得分</w:t>
            </w:r>
            <w:r>
              <w:rPr>
                <w:rFonts w:hint="eastAsia" w:ascii="仿宋_GB2312" w:hAnsi="仿宋_GB2312" w:eastAsia="仿宋_GB2312" w:cs="仿宋_GB2312"/>
                <w:color w:val="auto"/>
                <w:kern w:val="0"/>
                <w:sz w:val="24"/>
                <w:szCs w:val="24"/>
                <w:lang w:val="en-US" w:eastAsia="zh-CN" w:bidi="ar"/>
              </w:rPr>
              <w:t>）。</w:t>
            </w:r>
          </w:p>
        </w:tc>
      </w:tr>
      <w:tr w14:paraId="7CC075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919" w:hRule="atLeast"/>
        </w:trPr>
        <w:tc>
          <w:tcPr>
            <w:tcW w:w="1100" w:type="dxa"/>
            <w:vMerge w:val="continue"/>
            <w:vAlign w:val="center"/>
          </w:tcPr>
          <w:p w14:paraId="520971EB">
            <w:pPr>
              <w:pStyle w:val="5"/>
              <w:keepNext w:val="0"/>
              <w:keepLines w:val="0"/>
              <w:pageBreakBefore w:val="0"/>
              <w:kinsoku/>
              <w:wordWrap/>
              <w:overflowPunct/>
              <w:topLinePunct w:val="0"/>
              <w:bidi w:val="0"/>
              <w:spacing w:after="0" w:line="312" w:lineRule="auto"/>
              <w:jc w:val="center"/>
              <w:textAlignment w:val="auto"/>
              <w:rPr>
                <w:rFonts w:hint="eastAsia" w:ascii="仿宋_GB2312" w:hAnsi="仿宋_GB2312" w:eastAsia="仿宋_GB2312" w:cs="仿宋_GB2312"/>
                <w:color w:val="auto"/>
                <w:sz w:val="24"/>
                <w:szCs w:val="24"/>
              </w:rPr>
            </w:pPr>
          </w:p>
        </w:tc>
        <w:tc>
          <w:tcPr>
            <w:tcW w:w="1166" w:type="dxa"/>
            <w:tcBorders>
              <w:top w:val="single" w:color="auto" w:sz="4" w:space="0"/>
            </w:tcBorders>
            <w:vAlign w:val="center"/>
          </w:tcPr>
          <w:p w14:paraId="42EC61AE">
            <w:pPr>
              <w:keepNext w:val="0"/>
              <w:keepLines w:val="0"/>
              <w:pageBreakBefore w:val="0"/>
              <w:widowControl w:val="0"/>
              <w:kinsoku/>
              <w:wordWrap/>
              <w:overflowPunct/>
              <w:topLinePunct w:val="0"/>
              <w:autoSpaceDE/>
              <w:autoSpaceDN/>
              <w:bidi w:val="0"/>
              <w:adjustRightInd w:val="0"/>
              <w:snapToGrid w:val="0"/>
              <w:spacing w:line="312" w:lineRule="auto"/>
              <w:jc w:val="center"/>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项目负责人</w:t>
            </w:r>
          </w:p>
        </w:tc>
        <w:tc>
          <w:tcPr>
            <w:tcW w:w="617" w:type="dxa"/>
            <w:tcBorders>
              <w:top w:val="single" w:color="auto" w:sz="4" w:space="0"/>
              <w:bottom w:val="single" w:color="auto" w:sz="4" w:space="0"/>
            </w:tcBorders>
            <w:vAlign w:val="center"/>
          </w:tcPr>
          <w:p w14:paraId="48689DBC">
            <w:pPr>
              <w:keepNext w:val="0"/>
              <w:keepLines w:val="0"/>
              <w:pageBreakBefore w:val="0"/>
              <w:widowControl w:val="0"/>
              <w:kinsoku/>
              <w:wordWrap/>
              <w:overflowPunct/>
              <w:topLinePunct w:val="0"/>
              <w:autoSpaceDE/>
              <w:autoSpaceDN/>
              <w:bidi w:val="0"/>
              <w:adjustRightInd w:val="0"/>
              <w:snapToGrid w:val="0"/>
              <w:spacing w:line="312" w:lineRule="auto"/>
              <w:ind w:left="28" w:leftChars="10" w:right="28" w:rightChars="10"/>
              <w:jc w:val="center"/>
              <w:textAlignment w:val="auto"/>
              <w:rPr>
                <w:rFonts w:hint="default"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3</w:t>
            </w:r>
          </w:p>
        </w:tc>
        <w:tc>
          <w:tcPr>
            <w:tcW w:w="6786" w:type="dxa"/>
            <w:tcBorders>
              <w:top w:val="single" w:color="auto" w:sz="4" w:space="0"/>
            </w:tcBorders>
            <w:vAlign w:val="center"/>
          </w:tcPr>
          <w:p w14:paraId="6BFCCCCA">
            <w:pPr>
              <w:keepNext w:val="0"/>
              <w:keepLines w:val="0"/>
              <w:pageBreakBefore w:val="0"/>
              <w:widowControl w:val="0"/>
              <w:kinsoku/>
              <w:wordWrap/>
              <w:overflowPunct/>
              <w:topLinePunct w:val="0"/>
              <w:autoSpaceDE/>
              <w:autoSpaceDN/>
              <w:bidi w:val="0"/>
              <w:spacing w:line="312"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bCs w:val="0"/>
                <w:color w:val="auto"/>
                <w:sz w:val="24"/>
                <w:szCs w:val="24"/>
              </w:rPr>
              <w:t xml:space="preserve">投标人拟投入本项目的项目负责人具有一级注册建筑师或一级注册结构工程师的得 </w:t>
            </w:r>
            <w:r>
              <w:rPr>
                <w:rFonts w:hint="eastAsia" w:ascii="仿宋_GB2312" w:hAnsi="仿宋_GB2312" w:eastAsia="仿宋_GB2312" w:cs="仿宋_GB2312"/>
                <w:bCs w:val="0"/>
                <w:color w:val="auto"/>
                <w:sz w:val="24"/>
                <w:szCs w:val="24"/>
                <w:lang w:val="en-US" w:eastAsia="zh-CN"/>
              </w:rPr>
              <w:t>1</w:t>
            </w:r>
            <w:r>
              <w:rPr>
                <w:rFonts w:hint="eastAsia" w:ascii="仿宋_GB2312" w:hAnsi="仿宋_GB2312" w:eastAsia="仿宋_GB2312" w:cs="仿宋_GB2312"/>
                <w:bCs w:val="0"/>
                <w:color w:val="auto"/>
                <w:sz w:val="24"/>
                <w:szCs w:val="24"/>
              </w:rPr>
              <w:t xml:space="preserve"> 分</w:t>
            </w:r>
            <w:r>
              <w:rPr>
                <w:rFonts w:hint="eastAsia" w:ascii="仿宋_GB2312" w:hAnsi="仿宋_GB2312" w:eastAsia="仿宋_GB2312" w:cs="仿宋_GB2312"/>
                <w:bCs w:val="0"/>
                <w:color w:val="auto"/>
                <w:sz w:val="24"/>
                <w:szCs w:val="24"/>
                <w:lang w:eastAsia="zh-CN"/>
              </w:rPr>
              <w:t>，</w:t>
            </w:r>
            <w:r>
              <w:rPr>
                <w:rFonts w:hint="eastAsia" w:ascii="仿宋_GB2312" w:hAnsi="仿宋_GB2312" w:eastAsia="仿宋_GB2312" w:cs="仿宋_GB2312"/>
                <w:bCs w:val="0"/>
                <w:color w:val="auto"/>
                <w:sz w:val="24"/>
                <w:szCs w:val="24"/>
                <w:lang w:val="en-US" w:eastAsia="zh-CN"/>
              </w:rPr>
              <w:t>具有</w:t>
            </w:r>
            <w:r>
              <w:rPr>
                <w:rFonts w:hint="eastAsia" w:ascii="仿宋_GB2312" w:hAnsi="仿宋_GB2312" w:eastAsia="仿宋_GB2312" w:cs="仿宋_GB2312"/>
                <w:color w:val="auto"/>
                <w:kern w:val="0"/>
                <w:sz w:val="24"/>
                <w:szCs w:val="24"/>
                <w:lang w:val="en-US" w:eastAsia="zh-CN" w:bidi="ar"/>
              </w:rPr>
              <w:t>国家注册土木工程师（岩土）的得1分</w:t>
            </w:r>
            <w:r>
              <w:rPr>
                <w:rFonts w:hint="eastAsia" w:ascii="仿宋_GB2312" w:hAnsi="仿宋_GB2312" w:eastAsia="仿宋_GB2312" w:cs="仿宋_GB2312"/>
                <w:bCs w:val="0"/>
                <w:color w:val="auto"/>
                <w:sz w:val="24"/>
                <w:szCs w:val="24"/>
              </w:rPr>
              <w:t>；具有高级工程师职称的得</w:t>
            </w:r>
            <w:r>
              <w:rPr>
                <w:rFonts w:hint="eastAsia" w:ascii="仿宋_GB2312" w:hAnsi="仿宋_GB2312" w:eastAsia="仿宋_GB2312" w:cs="仿宋_GB2312"/>
                <w:bCs w:val="0"/>
                <w:color w:val="auto"/>
                <w:sz w:val="24"/>
                <w:szCs w:val="24"/>
                <w:lang w:val="en-US" w:eastAsia="zh-CN"/>
              </w:rPr>
              <w:t>0.5</w:t>
            </w:r>
            <w:r>
              <w:rPr>
                <w:rFonts w:hint="eastAsia" w:ascii="仿宋_GB2312" w:hAnsi="仿宋_GB2312" w:eastAsia="仿宋_GB2312" w:cs="仿宋_GB2312"/>
                <w:bCs w:val="0"/>
                <w:color w:val="auto"/>
                <w:sz w:val="24"/>
                <w:szCs w:val="24"/>
              </w:rPr>
              <w:t xml:space="preserve"> 分</w:t>
            </w:r>
            <w:r>
              <w:rPr>
                <w:rFonts w:hint="eastAsia" w:ascii="仿宋_GB2312" w:hAnsi="仿宋_GB2312" w:eastAsia="仿宋_GB2312" w:cs="仿宋_GB2312"/>
                <w:bCs w:val="0"/>
                <w:color w:val="auto"/>
                <w:sz w:val="24"/>
                <w:szCs w:val="24"/>
                <w:lang w:eastAsia="zh-CN"/>
              </w:rPr>
              <w:t>，</w:t>
            </w:r>
            <w:r>
              <w:rPr>
                <w:rFonts w:hint="eastAsia" w:ascii="仿宋_GB2312" w:hAnsi="仿宋_GB2312" w:eastAsia="仿宋_GB2312" w:cs="仿宋_GB2312"/>
                <w:bCs w:val="0"/>
                <w:color w:val="auto"/>
                <w:sz w:val="24"/>
                <w:szCs w:val="24"/>
              </w:rPr>
              <w:t xml:space="preserve">具有正高级工程师(或教授级高级工程师或享受教授、研究员待遇高级工程师)职称得 </w:t>
            </w:r>
            <w:r>
              <w:rPr>
                <w:rFonts w:hint="eastAsia" w:ascii="仿宋_GB2312" w:hAnsi="仿宋_GB2312" w:eastAsia="仿宋_GB2312" w:cs="仿宋_GB2312"/>
                <w:bCs w:val="0"/>
                <w:color w:val="auto"/>
                <w:sz w:val="24"/>
                <w:szCs w:val="24"/>
                <w:lang w:val="en-US" w:eastAsia="zh-CN"/>
              </w:rPr>
              <w:t>1</w:t>
            </w:r>
            <w:r>
              <w:rPr>
                <w:rFonts w:hint="eastAsia" w:ascii="仿宋_GB2312" w:hAnsi="仿宋_GB2312" w:eastAsia="仿宋_GB2312" w:cs="仿宋_GB2312"/>
                <w:bCs w:val="0"/>
                <w:color w:val="auto"/>
                <w:sz w:val="24"/>
                <w:szCs w:val="24"/>
              </w:rPr>
              <w:t xml:space="preserve"> 分；</w:t>
            </w:r>
            <w:r>
              <w:rPr>
                <w:rFonts w:hint="eastAsia" w:ascii="仿宋_GB2312" w:hAnsi="仿宋_GB2312" w:eastAsia="仿宋_GB2312" w:cs="仿宋_GB2312"/>
                <w:bCs/>
                <w:color w:val="auto"/>
                <w:sz w:val="24"/>
                <w:szCs w:val="24"/>
              </w:rPr>
              <w:t>需提供有效的证书扫描件、身份证扫描件及提交投标文件截止时间前 6 个月（不含提交投标文件截止日期当月）任三个月</w:t>
            </w:r>
            <w:r>
              <w:rPr>
                <w:rFonts w:hint="eastAsia" w:ascii="仿宋_GB2312" w:hAnsi="仿宋_GB2312" w:eastAsia="仿宋_GB2312" w:cs="仿宋_GB2312"/>
                <w:bCs/>
                <w:color w:val="auto"/>
                <w:sz w:val="24"/>
                <w:szCs w:val="24"/>
                <w:lang w:val="en-US" w:eastAsia="zh-CN"/>
              </w:rPr>
              <w:t>投标人</w:t>
            </w:r>
            <w:r>
              <w:rPr>
                <w:rFonts w:hint="eastAsia" w:ascii="仿宋_GB2312" w:hAnsi="仿宋_GB2312" w:eastAsia="仿宋_GB2312" w:cs="仿宋_GB2312"/>
                <w:bCs/>
                <w:color w:val="auto"/>
                <w:sz w:val="24"/>
                <w:szCs w:val="24"/>
              </w:rPr>
              <w:t>为其缴纳社保的证明材料扫描件。未提供、提供不全或不符合要求的均不得分。</w:t>
            </w:r>
          </w:p>
        </w:tc>
      </w:tr>
      <w:tr w14:paraId="0D6A156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2504" w:hRule="atLeast"/>
        </w:trPr>
        <w:tc>
          <w:tcPr>
            <w:tcW w:w="1100" w:type="dxa"/>
            <w:vMerge w:val="continue"/>
            <w:vAlign w:val="center"/>
          </w:tcPr>
          <w:p w14:paraId="1E799FB2">
            <w:pPr>
              <w:pStyle w:val="5"/>
              <w:keepNext w:val="0"/>
              <w:keepLines w:val="0"/>
              <w:pageBreakBefore w:val="0"/>
              <w:kinsoku/>
              <w:wordWrap/>
              <w:overflowPunct/>
              <w:topLinePunct w:val="0"/>
              <w:bidi w:val="0"/>
              <w:spacing w:after="0" w:line="312" w:lineRule="auto"/>
              <w:textAlignment w:val="auto"/>
              <w:rPr>
                <w:rFonts w:hint="eastAsia" w:ascii="仿宋_GB2312" w:hAnsi="仿宋_GB2312" w:eastAsia="仿宋_GB2312" w:cs="仿宋_GB2312"/>
                <w:color w:val="auto"/>
                <w:sz w:val="24"/>
                <w:szCs w:val="24"/>
              </w:rPr>
            </w:pPr>
          </w:p>
        </w:tc>
        <w:tc>
          <w:tcPr>
            <w:tcW w:w="1166" w:type="dxa"/>
            <w:tcBorders>
              <w:bottom w:val="single" w:color="auto" w:sz="4" w:space="0"/>
            </w:tcBorders>
            <w:vAlign w:val="center"/>
          </w:tcPr>
          <w:p w14:paraId="7CE8811F">
            <w:pPr>
              <w:keepNext w:val="0"/>
              <w:keepLines w:val="0"/>
              <w:pageBreakBefore w:val="0"/>
              <w:widowControl w:val="0"/>
              <w:kinsoku/>
              <w:wordWrap/>
              <w:overflowPunct/>
              <w:topLinePunct w:val="0"/>
              <w:autoSpaceDE/>
              <w:autoSpaceDN/>
              <w:bidi w:val="0"/>
              <w:adjustRightInd w:val="0"/>
              <w:snapToGrid w:val="0"/>
              <w:spacing w:line="312" w:lineRule="auto"/>
              <w:jc w:val="center"/>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color w:val="auto"/>
                <w:kern w:val="0"/>
                <w:sz w:val="24"/>
                <w:szCs w:val="24"/>
                <w:lang w:val="en-US" w:eastAsia="zh-CN" w:bidi="ar"/>
              </w:rPr>
              <w:t>项目负责人</w:t>
            </w:r>
            <w:r>
              <w:rPr>
                <w:rFonts w:hint="eastAsia" w:ascii="仿宋_GB2312" w:hAnsi="仿宋_GB2312" w:eastAsia="仿宋_GB2312" w:cs="仿宋_GB2312"/>
                <w:color w:val="auto"/>
                <w:sz w:val="24"/>
                <w:szCs w:val="24"/>
                <w:lang w:val="en-US" w:eastAsia="zh-CN"/>
              </w:rPr>
              <w:t>业绩</w:t>
            </w:r>
          </w:p>
        </w:tc>
        <w:tc>
          <w:tcPr>
            <w:tcW w:w="617" w:type="dxa"/>
            <w:tcBorders>
              <w:bottom w:val="single" w:color="auto" w:sz="4" w:space="0"/>
            </w:tcBorders>
            <w:vAlign w:val="center"/>
          </w:tcPr>
          <w:p w14:paraId="15E7F33F">
            <w:pPr>
              <w:keepNext w:val="0"/>
              <w:keepLines w:val="0"/>
              <w:pageBreakBefore w:val="0"/>
              <w:widowControl w:val="0"/>
              <w:kinsoku/>
              <w:wordWrap/>
              <w:overflowPunct/>
              <w:topLinePunct w:val="0"/>
              <w:autoSpaceDE/>
              <w:autoSpaceDN/>
              <w:bidi w:val="0"/>
              <w:adjustRightInd w:val="0"/>
              <w:snapToGrid w:val="0"/>
              <w:spacing w:line="312" w:lineRule="auto"/>
              <w:ind w:left="28" w:leftChars="10" w:right="28" w:rightChars="10"/>
              <w:jc w:val="center"/>
              <w:textAlignment w:val="auto"/>
              <w:rPr>
                <w:rFonts w:hint="default" w:ascii="仿宋_GB2312" w:hAnsi="仿宋_GB2312" w:eastAsia="仿宋_GB2312" w:cs="仿宋_GB2312"/>
                <w:bCs/>
                <w:color w:val="auto"/>
                <w:sz w:val="24"/>
                <w:szCs w:val="24"/>
                <w:lang w:val="en-US"/>
              </w:rPr>
            </w:pPr>
            <w:r>
              <w:rPr>
                <w:rFonts w:hint="eastAsia" w:ascii="仿宋_GB2312" w:hAnsi="仿宋_GB2312" w:eastAsia="仿宋_GB2312" w:cs="仿宋_GB2312"/>
                <w:color w:val="auto"/>
                <w:sz w:val="24"/>
                <w:szCs w:val="24"/>
                <w:lang w:val="en-US" w:eastAsia="zh-CN"/>
              </w:rPr>
              <w:t>3</w:t>
            </w:r>
          </w:p>
        </w:tc>
        <w:tc>
          <w:tcPr>
            <w:tcW w:w="6786" w:type="dxa"/>
            <w:tcBorders>
              <w:bottom w:val="single" w:color="auto" w:sz="4" w:space="0"/>
            </w:tcBorders>
            <w:vAlign w:val="center"/>
          </w:tcPr>
          <w:p w14:paraId="6771C4CD">
            <w:pPr>
              <w:keepNext w:val="0"/>
              <w:keepLines w:val="0"/>
              <w:pageBreakBefore w:val="0"/>
              <w:widowControl w:val="0"/>
              <w:kinsoku/>
              <w:wordWrap/>
              <w:overflowPunct/>
              <w:topLinePunct w:val="0"/>
              <w:autoSpaceDE/>
              <w:autoSpaceDN/>
              <w:bidi w:val="0"/>
              <w:spacing w:line="312" w:lineRule="auto"/>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color w:val="auto"/>
                <w:kern w:val="0"/>
                <w:sz w:val="24"/>
                <w:szCs w:val="24"/>
                <w:lang w:val="en-US" w:eastAsia="zh-CN" w:bidi="ar"/>
              </w:rPr>
              <w:t>根据</w:t>
            </w:r>
            <w:r>
              <w:rPr>
                <w:rFonts w:hint="eastAsia" w:ascii="仿宋_GB2312" w:hAnsi="仿宋_GB2312" w:eastAsia="仿宋_GB2312" w:cs="仿宋_GB2312"/>
                <w:bCs w:val="0"/>
                <w:color w:val="auto"/>
                <w:sz w:val="24"/>
                <w:szCs w:val="24"/>
              </w:rPr>
              <w:t>投标人</w:t>
            </w:r>
            <w:r>
              <w:rPr>
                <w:rFonts w:hint="eastAsia" w:ascii="仿宋_GB2312" w:hAnsi="仿宋_GB2312" w:eastAsia="仿宋_GB2312" w:cs="仿宋_GB2312"/>
                <w:color w:val="auto"/>
                <w:kern w:val="0"/>
                <w:sz w:val="24"/>
                <w:szCs w:val="24"/>
                <w:lang w:val="en-US" w:eastAsia="zh-CN" w:bidi="ar"/>
              </w:rPr>
              <w:t>拟派项目负责人在2021年7月15日至本项目提交响应文件截止时间前已完成的房屋改造或结构加固类设计业绩（日期以施工图审查合格书的证明文件最后签署的日期为准）进行评分，每提供一份业绩得1分，满分3分。注：</w:t>
            </w:r>
            <w:r>
              <w:rPr>
                <w:rFonts w:hint="eastAsia" w:ascii="仿宋_GB2312" w:hAnsi="仿宋_GB2312" w:eastAsia="仿宋_GB2312" w:cs="仿宋_GB2312"/>
                <w:bCs w:val="0"/>
                <w:color w:val="auto"/>
                <w:sz w:val="24"/>
                <w:szCs w:val="24"/>
              </w:rPr>
              <w:t>投标人</w:t>
            </w:r>
            <w:r>
              <w:rPr>
                <w:rFonts w:hint="eastAsia" w:ascii="仿宋_GB2312" w:hAnsi="仿宋_GB2312" w:eastAsia="仿宋_GB2312" w:cs="仿宋_GB2312"/>
                <w:color w:val="auto"/>
                <w:kern w:val="0"/>
                <w:sz w:val="24"/>
                <w:szCs w:val="24"/>
                <w:lang w:val="en-US" w:eastAsia="zh-CN" w:bidi="ar"/>
              </w:rPr>
              <w:t>须提供该业绩项目的合同关键页复印件（包括合同首页、标的页、金额页、双方签字盖章页）、图审合格证书等证明材料的扫描件，所有材料缺一不可，否则不得分。（</w:t>
            </w:r>
            <w:r>
              <w:rPr>
                <w:rFonts w:hint="eastAsia" w:ascii="仿宋_GB2312" w:hAnsi="仿宋_GB2312" w:eastAsia="仿宋_GB2312" w:cs="仿宋_GB2312"/>
                <w:color w:val="auto"/>
                <w:kern w:val="0"/>
                <w:sz w:val="24"/>
                <w:szCs w:val="24"/>
                <w:highlight w:val="none"/>
                <w:lang w:eastAsia="zh-Hans"/>
              </w:rPr>
              <w:t>此评分项与“</w:t>
            </w:r>
            <w:r>
              <w:rPr>
                <w:rFonts w:hint="eastAsia" w:ascii="仿宋_GB2312" w:hAnsi="仿宋_GB2312" w:eastAsia="仿宋_GB2312" w:cs="仿宋_GB2312"/>
                <w:color w:val="auto"/>
                <w:kern w:val="0"/>
                <w:sz w:val="24"/>
                <w:szCs w:val="24"/>
                <w:lang w:val="en-US" w:eastAsia="zh-CN" w:bidi="ar"/>
              </w:rPr>
              <w:t>企业业绩</w:t>
            </w:r>
            <w:r>
              <w:rPr>
                <w:rFonts w:hint="eastAsia" w:ascii="仿宋_GB2312" w:hAnsi="仿宋_GB2312" w:eastAsia="仿宋_GB2312" w:cs="仿宋_GB2312"/>
                <w:color w:val="auto"/>
                <w:kern w:val="0"/>
                <w:sz w:val="24"/>
                <w:szCs w:val="24"/>
                <w:highlight w:val="none"/>
                <w:lang w:eastAsia="zh-Hans"/>
              </w:rPr>
              <w:t>”评分项中提供的</w:t>
            </w:r>
            <w:r>
              <w:rPr>
                <w:rFonts w:hint="eastAsia" w:ascii="仿宋_GB2312" w:hAnsi="仿宋_GB2312" w:eastAsia="仿宋_GB2312" w:cs="仿宋_GB2312"/>
                <w:color w:val="auto"/>
                <w:kern w:val="0"/>
                <w:sz w:val="24"/>
                <w:szCs w:val="24"/>
                <w:highlight w:val="none"/>
              </w:rPr>
              <w:t>项目</w:t>
            </w:r>
            <w:r>
              <w:rPr>
                <w:rFonts w:hint="eastAsia" w:ascii="仿宋_GB2312" w:hAnsi="仿宋_GB2312" w:eastAsia="仿宋_GB2312" w:cs="仿宋_GB2312"/>
                <w:color w:val="auto"/>
                <w:kern w:val="0"/>
                <w:sz w:val="24"/>
                <w:szCs w:val="24"/>
                <w:highlight w:val="none"/>
                <w:lang w:eastAsia="zh-Hans"/>
              </w:rPr>
              <w:t>为同一</w:t>
            </w:r>
            <w:r>
              <w:rPr>
                <w:rFonts w:hint="eastAsia" w:ascii="仿宋_GB2312" w:hAnsi="仿宋_GB2312" w:eastAsia="仿宋_GB2312" w:cs="仿宋_GB2312"/>
                <w:color w:val="auto"/>
                <w:kern w:val="0"/>
                <w:sz w:val="24"/>
                <w:szCs w:val="24"/>
                <w:highlight w:val="none"/>
              </w:rPr>
              <w:t>项目</w:t>
            </w:r>
            <w:r>
              <w:rPr>
                <w:rFonts w:hint="eastAsia" w:ascii="仿宋_GB2312" w:hAnsi="仿宋_GB2312" w:eastAsia="仿宋_GB2312" w:cs="仿宋_GB2312"/>
                <w:color w:val="auto"/>
                <w:kern w:val="0"/>
                <w:sz w:val="24"/>
                <w:szCs w:val="24"/>
                <w:highlight w:val="none"/>
                <w:lang w:eastAsia="zh-Hans"/>
              </w:rPr>
              <w:t>的不重复得分</w:t>
            </w:r>
            <w:r>
              <w:rPr>
                <w:rFonts w:hint="eastAsia" w:ascii="仿宋_GB2312" w:hAnsi="仿宋_GB2312" w:eastAsia="仿宋_GB2312" w:cs="仿宋_GB2312"/>
                <w:color w:val="auto"/>
                <w:kern w:val="0"/>
                <w:sz w:val="24"/>
                <w:szCs w:val="24"/>
                <w:lang w:val="en-US" w:eastAsia="zh-CN" w:bidi="ar"/>
              </w:rPr>
              <w:t>）。</w:t>
            </w:r>
          </w:p>
        </w:tc>
      </w:tr>
      <w:tr w14:paraId="75317FF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948" w:hRule="atLeast"/>
        </w:trPr>
        <w:tc>
          <w:tcPr>
            <w:tcW w:w="1100" w:type="dxa"/>
            <w:vMerge w:val="continue"/>
            <w:vAlign w:val="center"/>
          </w:tcPr>
          <w:p w14:paraId="1A4F7F74">
            <w:pPr>
              <w:pStyle w:val="5"/>
              <w:keepNext w:val="0"/>
              <w:keepLines w:val="0"/>
              <w:pageBreakBefore w:val="0"/>
              <w:kinsoku/>
              <w:wordWrap/>
              <w:overflowPunct/>
              <w:topLinePunct w:val="0"/>
              <w:bidi w:val="0"/>
              <w:spacing w:after="0" w:line="312" w:lineRule="auto"/>
              <w:textAlignment w:val="auto"/>
              <w:rPr>
                <w:rFonts w:hint="eastAsia" w:ascii="仿宋_GB2312" w:hAnsi="仿宋_GB2312" w:eastAsia="仿宋_GB2312" w:cs="仿宋_GB2312"/>
                <w:color w:val="auto"/>
                <w:sz w:val="24"/>
                <w:szCs w:val="24"/>
              </w:rPr>
            </w:pPr>
          </w:p>
        </w:tc>
        <w:tc>
          <w:tcPr>
            <w:tcW w:w="1166" w:type="dxa"/>
            <w:tcBorders>
              <w:top w:val="single" w:color="auto" w:sz="4" w:space="0"/>
              <w:bottom w:val="single" w:color="auto" w:sz="4" w:space="0"/>
            </w:tcBorders>
            <w:vAlign w:val="center"/>
          </w:tcPr>
          <w:p w14:paraId="17563A0F">
            <w:pPr>
              <w:keepNext w:val="0"/>
              <w:keepLines w:val="0"/>
              <w:pageBreakBefore w:val="0"/>
              <w:widowControl w:val="0"/>
              <w:kinsoku/>
              <w:wordWrap/>
              <w:overflowPunct/>
              <w:topLinePunct w:val="0"/>
              <w:autoSpaceDE/>
              <w:autoSpaceDN/>
              <w:bidi w:val="0"/>
              <w:adjustRightInd w:val="0"/>
              <w:snapToGrid w:val="0"/>
              <w:spacing w:line="312" w:lineRule="auto"/>
              <w:jc w:val="center"/>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bCs/>
                <w:color w:val="auto"/>
                <w:sz w:val="24"/>
                <w:szCs w:val="24"/>
                <w:lang w:val="en-US" w:eastAsia="zh-CN"/>
              </w:rPr>
              <w:t>专业</w:t>
            </w:r>
            <w:r>
              <w:rPr>
                <w:rFonts w:hint="eastAsia" w:ascii="仿宋_GB2312" w:hAnsi="仿宋_GB2312" w:eastAsia="仿宋_GB2312" w:cs="仿宋_GB2312"/>
                <w:bCs/>
                <w:color w:val="auto"/>
                <w:sz w:val="24"/>
                <w:szCs w:val="24"/>
              </w:rPr>
              <w:t>负责人</w:t>
            </w:r>
          </w:p>
        </w:tc>
        <w:tc>
          <w:tcPr>
            <w:tcW w:w="617" w:type="dxa"/>
            <w:tcBorders>
              <w:top w:val="single" w:color="auto" w:sz="4" w:space="0"/>
              <w:bottom w:val="single" w:color="auto" w:sz="4" w:space="0"/>
            </w:tcBorders>
            <w:vAlign w:val="center"/>
          </w:tcPr>
          <w:p w14:paraId="60DDBDD7">
            <w:pPr>
              <w:keepNext w:val="0"/>
              <w:keepLines w:val="0"/>
              <w:pageBreakBefore w:val="0"/>
              <w:widowControl w:val="0"/>
              <w:kinsoku/>
              <w:wordWrap/>
              <w:overflowPunct/>
              <w:topLinePunct w:val="0"/>
              <w:autoSpaceDE/>
              <w:autoSpaceDN/>
              <w:bidi w:val="0"/>
              <w:adjustRightInd w:val="0"/>
              <w:snapToGrid w:val="0"/>
              <w:spacing w:line="312" w:lineRule="auto"/>
              <w:ind w:left="28" w:leftChars="10" w:right="28" w:rightChars="10"/>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bCs/>
                <w:color w:val="auto"/>
                <w:sz w:val="24"/>
                <w:szCs w:val="24"/>
                <w:lang w:val="en-US" w:eastAsia="zh-CN"/>
              </w:rPr>
              <w:t>3</w:t>
            </w:r>
          </w:p>
        </w:tc>
        <w:tc>
          <w:tcPr>
            <w:tcW w:w="6786" w:type="dxa"/>
            <w:tcBorders>
              <w:top w:val="single" w:color="auto" w:sz="4" w:space="0"/>
              <w:bottom w:val="single" w:color="auto" w:sz="4" w:space="0"/>
            </w:tcBorders>
            <w:vAlign w:val="center"/>
          </w:tcPr>
          <w:p w14:paraId="132D3716">
            <w:pPr>
              <w:keepNext w:val="0"/>
              <w:keepLines w:val="0"/>
              <w:pageBreakBefore w:val="0"/>
              <w:widowControl w:val="0"/>
              <w:kinsoku/>
              <w:wordWrap/>
              <w:overflowPunct/>
              <w:topLinePunct w:val="0"/>
              <w:autoSpaceDE/>
              <w:autoSpaceDN/>
              <w:bidi w:val="0"/>
              <w:spacing w:line="312" w:lineRule="auto"/>
              <w:jc w:val="left"/>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bCs w:val="0"/>
                <w:color w:val="auto"/>
                <w:sz w:val="24"/>
                <w:szCs w:val="24"/>
              </w:rPr>
              <w:t>投标人拟投入本项目的</w:t>
            </w:r>
            <w:r>
              <w:rPr>
                <w:rFonts w:hint="eastAsia" w:ascii="仿宋_GB2312" w:hAnsi="仿宋_GB2312" w:eastAsia="仿宋_GB2312" w:cs="仿宋_GB2312"/>
                <w:bCs w:val="0"/>
                <w:color w:val="auto"/>
                <w:sz w:val="24"/>
                <w:szCs w:val="24"/>
                <w:lang w:val="en-US" w:eastAsia="zh-CN"/>
              </w:rPr>
              <w:t>专业</w:t>
            </w:r>
            <w:r>
              <w:rPr>
                <w:rFonts w:hint="eastAsia" w:ascii="仿宋_GB2312" w:hAnsi="仿宋_GB2312" w:eastAsia="仿宋_GB2312" w:cs="仿宋_GB2312"/>
                <w:bCs w:val="0"/>
                <w:color w:val="auto"/>
                <w:sz w:val="24"/>
                <w:szCs w:val="24"/>
              </w:rPr>
              <w:t xml:space="preserve">负责人具有一级注册结构工程师的得 </w:t>
            </w:r>
            <w:r>
              <w:rPr>
                <w:rFonts w:hint="eastAsia" w:ascii="仿宋_GB2312" w:hAnsi="仿宋_GB2312" w:eastAsia="仿宋_GB2312" w:cs="仿宋_GB2312"/>
                <w:bCs w:val="0"/>
                <w:color w:val="auto"/>
                <w:sz w:val="24"/>
                <w:szCs w:val="24"/>
                <w:lang w:val="en-US" w:eastAsia="zh-CN"/>
              </w:rPr>
              <w:t>1</w:t>
            </w:r>
            <w:r>
              <w:rPr>
                <w:rFonts w:hint="eastAsia" w:ascii="仿宋_GB2312" w:hAnsi="仿宋_GB2312" w:eastAsia="仿宋_GB2312" w:cs="仿宋_GB2312"/>
                <w:bCs w:val="0"/>
                <w:color w:val="auto"/>
                <w:sz w:val="24"/>
                <w:szCs w:val="24"/>
              </w:rPr>
              <w:t xml:space="preserve"> 分</w:t>
            </w:r>
            <w:r>
              <w:rPr>
                <w:rFonts w:hint="eastAsia" w:ascii="仿宋_GB2312" w:hAnsi="仿宋_GB2312" w:eastAsia="仿宋_GB2312" w:cs="仿宋_GB2312"/>
                <w:bCs w:val="0"/>
                <w:color w:val="auto"/>
                <w:sz w:val="24"/>
                <w:szCs w:val="24"/>
                <w:lang w:eastAsia="zh-CN"/>
              </w:rPr>
              <w:t>，</w:t>
            </w:r>
            <w:r>
              <w:rPr>
                <w:rFonts w:hint="eastAsia" w:ascii="仿宋_GB2312" w:hAnsi="仿宋_GB2312" w:eastAsia="仿宋_GB2312" w:cs="仿宋_GB2312"/>
                <w:bCs w:val="0"/>
                <w:color w:val="auto"/>
                <w:sz w:val="24"/>
                <w:szCs w:val="24"/>
                <w:lang w:val="en-US" w:eastAsia="zh-CN"/>
              </w:rPr>
              <w:t>具有</w:t>
            </w:r>
            <w:r>
              <w:rPr>
                <w:rFonts w:hint="eastAsia" w:ascii="仿宋_GB2312" w:hAnsi="仿宋_GB2312" w:eastAsia="仿宋_GB2312" w:cs="仿宋_GB2312"/>
                <w:color w:val="auto"/>
                <w:kern w:val="0"/>
                <w:sz w:val="24"/>
                <w:szCs w:val="24"/>
                <w:lang w:val="en-US" w:eastAsia="zh-CN" w:bidi="ar"/>
              </w:rPr>
              <w:t>国家注册土木工程师（岩土）的得1分</w:t>
            </w:r>
            <w:r>
              <w:rPr>
                <w:rFonts w:hint="eastAsia" w:ascii="仿宋_GB2312" w:hAnsi="仿宋_GB2312" w:eastAsia="仿宋_GB2312" w:cs="仿宋_GB2312"/>
                <w:bCs w:val="0"/>
                <w:color w:val="auto"/>
                <w:sz w:val="24"/>
                <w:szCs w:val="24"/>
              </w:rPr>
              <w:t>；具有高级工程师职称的得</w:t>
            </w:r>
            <w:r>
              <w:rPr>
                <w:rFonts w:hint="eastAsia" w:ascii="仿宋_GB2312" w:hAnsi="仿宋_GB2312" w:eastAsia="仿宋_GB2312" w:cs="仿宋_GB2312"/>
                <w:bCs w:val="0"/>
                <w:color w:val="auto"/>
                <w:sz w:val="24"/>
                <w:szCs w:val="24"/>
                <w:lang w:val="en-US" w:eastAsia="zh-CN"/>
              </w:rPr>
              <w:t>0.5</w:t>
            </w:r>
            <w:r>
              <w:rPr>
                <w:rFonts w:hint="eastAsia" w:ascii="仿宋_GB2312" w:hAnsi="仿宋_GB2312" w:eastAsia="仿宋_GB2312" w:cs="仿宋_GB2312"/>
                <w:bCs w:val="0"/>
                <w:color w:val="auto"/>
                <w:sz w:val="24"/>
                <w:szCs w:val="24"/>
              </w:rPr>
              <w:t xml:space="preserve"> 分</w:t>
            </w:r>
            <w:r>
              <w:rPr>
                <w:rFonts w:hint="eastAsia" w:ascii="仿宋_GB2312" w:hAnsi="仿宋_GB2312" w:eastAsia="仿宋_GB2312" w:cs="仿宋_GB2312"/>
                <w:bCs w:val="0"/>
                <w:color w:val="auto"/>
                <w:sz w:val="24"/>
                <w:szCs w:val="24"/>
                <w:lang w:eastAsia="zh-CN"/>
              </w:rPr>
              <w:t>，</w:t>
            </w:r>
            <w:r>
              <w:rPr>
                <w:rFonts w:hint="eastAsia" w:ascii="仿宋_GB2312" w:hAnsi="仿宋_GB2312" w:eastAsia="仿宋_GB2312" w:cs="仿宋_GB2312"/>
                <w:bCs w:val="0"/>
                <w:color w:val="auto"/>
                <w:sz w:val="24"/>
                <w:szCs w:val="24"/>
              </w:rPr>
              <w:t xml:space="preserve">具有正高级工程师(或教授级高级工程师或享受教授、研究员待遇高级工程师)职称得 </w:t>
            </w:r>
            <w:r>
              <w:rPr>
                <w:rFonts w:hint="eastAsia" w:ascii="仿宋_GB2312" w:hAnsi="仿宋_GB2312" w:eastAsia="仿宋_GB2312" w:cs="仿宋_GB2312"/>
                <w:bCs w:val="0"/>
                <w:color w:val="auto"/>
                <w:sz w:val="24"/>
                <w:szCs w:val="24"/>
                <w:lang w:val="en-US" w:eastAsia="zh-CN"/>
              </w:rPr>
              <w:t>1</w:t>
            </w:r>
            <w:r>
              <w:rPr>
                <w:rFonts w:hint="eastAsia" w:ascii="仿宋_GB2312" w:hAnsi="仿宋_GB2312" w:eastAsia="仿宋_GB2312" w:cs="仿宋_GB2312"/>
                <w:bCs w:val="0"/>
                <w:color w:val="auto"/>
                <w:sz w:val="24"/>
                <w:szCs w:val="24"/>
              </w:rPr>
              <w:t xml:space="preserve"> 分；</w:t>
            </w:r>
            <w:r>
              <w:rPr>
                <w:rFonts w:hint="eastAsia" w:ascii="仿宋_GB2312" w:hAnsi="仿宋_GB2312" w:eastAsia="仿宋_GB2312" w:cs="仿宋_GB2312"/>
                <w:bCs/>
                <w:color w:val="auto"/>
                <w:sz w:val="24"/>
                <w:szCs w:val="24"/>
              </w:rPr>
              <w:t>需提供有效的证书扫描件、身份证扫描件及提交投标文件截止时间前 6 个月（不含提交投标文件截止日期当月）任三个月</w:t>
            </w:r>
            <w:r>
              <w:rPr>
                <w:rFonts w:hint="eastAsia" w:ascii="仿宋_GB2312" w:hAnsi="仿宋_GB2312" w:eastAsia="仿宋_GB2312" w:cs="仿宋_GB2312"/>
                <w:bCs/>
                <w:color w:val="auto"/>
                <w:sz w:val="24"/>
                <w:szCs w:val="24"/>
                <w:lang w:val="en-US" w:eastAsia="zh-CN"/>
              </w:rPr>
              <w:t>投标人</w:t>
            </w:r>
            <w:r>
              <w:rPr>
                <w:rFonts w:hint="eastAsia" w:ascii="仿宋_GB2312" w:hAnsi="仿宋_GB2312" w:eastAsia="仿宋_GB2312" w:cs="仿宋_GB2312"/>
                <w:bCs/>
                <w:color w:val="auto"/>
                <w:sz w:val="24"/>
                <w:szCs w:val="24"/>
              </w:rPr>
              <w:t>为其缴纳社保的证明材料扫描件。未提供、提供不全或不符合要求的均不得分。</w:t>
            </w:r>
          </w:p>
        </w:tc>
      </w:tr>
      <w:tr w14:paraId="4A262AD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881" w:hRule="atLeast"/>
        </w:trPr>
        <w:tc>
          <w:tcPr>
            <w:tcW w:w="1100" w:type="dxa"/>
            <w:vMerge w:val="continue"/>
            <w:vAlign w:val="center"/>
          </w:tcPr>
          <w:p w14:paraId="22343DDE">
            <w:pPr>
              <w:pStyle w:val="5"/>
              <w:keepNext w:val="0"/>
              <w:keepLines w:val="0"/>
              <w:pageBreakBefore w:val="0"/>
              <w:kinsoku/>
              <w:wordWrap/>
              <w:overflowPunct/>
              <w:topLinePunct w:val="0"/>
              <w:bidi w:val="0"/>
              <w:spacing w:after="0" w:line="312" w:lineRule="auto"/>
              <w:textAlignment w:val="auto"/>
              <w:rPr>
                <w:rFonts w:hint="eastAsia" w:ascii="仿宋_GB2312" w:hAnsi="仿宋_GB2312" w:eastAsia="仿宋_GB2312" w:cs="仿宋_GB2312"/>
                <w:color w:val="auto"/>
                <w:sz w:val="24"/>
                <w:szCs w:val="24"/>
              </w:rPr>
            </w:pPr>
          </w:p>
        </w:tc>
        <w:tc>
          <w:tcPr>
            <w:tcW w:w="1166" w:type="dxa"/>
            <w:tcBorders>
              <w:top w:val="single" w:color="auto" w:sz="4" w:space="0"/>
            </w:tcBorders>
            <w:vAlign w:val="center"/>
          </w:tcPr>
          <w:p w14:paraId="4927793D">
            <w:pPr>
              <w:keepNext w:val="0"/>
              <w:keepLines w:val="0"/>
              <w:pageBreakBefore w:val="0"/>
              <w:widowControl w:val="0"/>
              <w:kinsoku/>
              <w:wordWrap/>
              <w:overflowPunct/>
              <w:topLinePunct w:val="0"/>
              <w:autoSpaceDE/>
              <w:autoSpaceDN/>
              <w:bidi w:val="0"/>
              <w:adjustRightInd w:val="0"/>
              <w:snapToGrid w:val="0"/>
              <w:spacing w:line="312" w:lineRule="auto"/>
              <w:jc w:val="center"/>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专业负责人</w:t>
            </w:r>
            <w:r>
              <w:rPr>
                <w:rFonts w:hint="eastAsia" w:ascii="仿宋_GB2312" w:hAnsi="仿宋_GB2312" w:eastAsia="仿宋_GB2312" w:cs="仿宋_GB2312"/>
                <w:color w:val="auto"/>
                <w:sz w:val="24"/>
                <w:szCs w:val="24"/>
                <w:lang w:val="en-US" w:eastAsia="zh-CN"/>
              </w:rPr>
              <w:t>业绩</w:t>
            </w:r>
          </w:p>
        </w:tc>
        <w:tc>
          <w:tcPr>
            <w:tcW w:w="617" w:type="dxa"/>
            <w:tcBorders>
              <w:top w:val="single" w:color="auto" w:sz="4" w:space="0"/>
            </w:tcBorders>
            <w:vAlign w:val="center"/>
          </w:tcPr>
          <w:p w14:paraId="21CCC6AB">
            <w:pPr>
              <w:keepNext w:val="0"/>
              <w:keepLines w:val="0"/>
              <w:pageBreakBefore w:val="0"/>
              <w:widowControl w:val="0"/>
              <w:kinsoku/>
              <w:wordWrap/>
              <w:overflowPunct/>
              <w:topLinePunct w:val="0"/>
              <w:autoSpaceDE/>
              <w:autoSpaceDN/>
              <w:bidi w:val="0"/>
              <w:adjustRightInd w:val="0"/>
              <w:snapToGrid w:val="0"/>
              <w:spacing w:line="312" w:lineRule="auto"/>
              <w:ind w:left="28" w:leftChars="10" w:right="28" w:rightChars="10"/>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w:t>
            </w:r>
          </w:p>
        </w:tc>
        <w:tc>
          <w:tcPr>
            <w:tcW w:w="6786" w:type="dxa"/>
            <w:tcBorders>
              <w:top w:val="single" w:color="auto" w:sz="4" w:space="0"/>
            </w:tcBorders>
            <w:vAlign w:val="center"/>
          </w:tcPr>
          <w:p w14:paraId="582441BE">
            <w:pPr>
              <w:keepNext w:val="0"/>
              <w:keepLines w:val="0"/>
              <w:pageBreakBefore w:val="0"/>
              <w:widowControl w:val="0"/>
              <w:kinsoku/>
              <w:wordWrap/>
              <w:overflowPunct/>
              <w:topLinePunct w:val="0"/>
              <w:autoSpaceDE/>
              <w:autoSpaceDN/>
              <w:bidi w:val="0"/>
              <w:spacing w:line="312" w:lineRule="auto"/>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根据</w:t>
            </w:r>
            <w:r>
              <w:rPr>
                <w:rFonts w:hint="eastAsia" w:ascii="仿宋_GB2312" w:hAnsi="仿宋_GB2312" w:eastAsia="仿宋_GB2312" w:cs="仿宋_GB2312"/>
                <w:bCs w:val="0"/>
                <w:color w:val="auto"/>
                <w:sz w:val="24"/>
                <w:szCs w:val="24"/>
              </w:rPr>
              <w:t>投标人</w:t>
            </w:r>
            <w:r>
              <w:rPr>
                <w:rFonts w:hint="eastAsia" w:ascii="仿宋_GB2312" w:hAnsi="仿宋_GB2312" w:eastAsia="仿宋_GB2312" w:cs="仿宋_GB2312"/>
                <w:color w:val="auto"/>
                <w:kern w:val="0"/>
                <w:sz w:val="24"/>
                <w:szCs w:val="24"/>
                <w:lang w:val="en-US" w:eastAsia="zh-CN" w:bidi="ar"/>
              </w:rPr>
              <w:t>拟派专业负责人在2021年7月15日至本项目提交响应文件截止时间前已完成的房屋改造或结构加固类设计业绩（日期以施工图审查合格书的证明文件最后签署的日期为准）进行评分，每提供一份业绩得1分，满分3分。注：</w:t>
            </w:r>
            <w:r>
              <w:rPr>
                <w:rFonts w:hint="eastAsia" w:ascii="仿宋_GB2312" w:hAnsi="仿宋_GB2312" w:eastAsia="仿宋_GB2312" w:cs="仿宋_GB2312"/>
                <w:bCs w:val="0"/>
                <w:color w:val="auto"/>
                <w:sz w:val="24"/>
                <w:szCs w:val="24"/>
              </w:rPr>
              <w:t>投标人</w:t>
            </w:r>
            <w:r>
              <w:rPr>
                <w:rFonts w:hint="eastAsia" w:ascii="仿宋_GB2312" w:hAnsi="仿宋_GB2312" w:eastAsia="仿宋_GB2312" w:cs="仿宋_GB2312"/>
                <w:color w:val="auto"/>
                <w:kern w:val="0"/>
                <w:sz w:val="24"/>
                <w:szCs w:val="24"/>
                <w:lang w:val="en-US" w:eastAsia="zh-CN" w:bidi="ar"/>
              </w:rPr>
              <w:t>须提供该业绩项目的合同关键页复印件（包括合同首页、标的页、金额页、双方签字盖章页）、图审合格证书等证明材料的扫描件，所有材料缺一不可，否则不得分。（</w:t>
            </w:r>
            <w:r>
              <w:rPr>
                <w:rFonts w:hint="eastAsia" w:ascii="仿宋_GB2312" w:hAnsi="仿宋_GB2312" w:eastAsia="仿宋_GB2312" w:cs="仿宋_GB2312"/>
                <w:color w:val="auto"/>
                <w:kern w:val="0"/>
                <w:sz w:val="24"/>
                <w:szCs w:val="24"/>
                <w:highlight w:val="none"/>
                <w:lang w:eastAsia="zh-Hans"/>
              </w:rPr>
              <w:t>此评分项与“</w:t>
            </w:r>
            <w:r>
              <w:rPr>
                <w:rFonts w:hint="eastAsia" w:ascii="仿宋_GB2312" w:hAnsi="仿宋_GB2312" w:eastAsia="仿宋_GB2312" w:cs="仿宋_GB2312"/>
                <w:color w:val="auto"/>
                <w:kern w:val="0"/>
                <w:sz w:val="24"/>
                <w:szCs w:val="24"/>
                <w:lang w:val="en-US" w:eastAsia="zh-CN" w:bidi="ar"/>
              </w:rPr>
              <w:t>企业业绩</w:t>
            </w:r>
            <w:r>
              <w:rPr>
                <w:rFonts w:hint="eastAsia" w:ascii="仿宋_GB2312" w:hAnsi="仿宋_GB2312" w:eastAsia="仿宋_GB2312" w:cs="仿宋_GB2312"/>
                <w:color w:val="auto"/>
                <w:kern w:val="0"/>
                <w:sz w:val="24"/>
                <w:szCs w:val="24"/>
                <w:highlight w:val="none"/>
                <w:lang w:eastAsia="zh-Hans"/>
              </w:rPr>
              <w:t>”评分项中提供的</w:t>
            </w:r>
            <w:r>
              <w:rPr>
                <w:rFonts w:hint="eastAsia" w:ascii="仿宋_GB2312" w:hAnsi="仿宋_GB2312" w:eastAsia="仿宋_GB2312" w:cs="仿宋_GB2312"/>
                <w:color w:val="auto"/>
                <w:kern w:val="0"/>
                <w:sz w:val="24"/>
                <w:szCs w:val="24"/>
                <w:highlight w:val="none"/>
              </w:rPr>
              <w:t>项目</w:t>
            </w:r>
            <w:r>
              <w:rPr>
                <w:rFonts w:hint="eastAsia" w:ascii="仿宋_GB2312" w:hAnsi="仿宋_GB2312" w:eastAsia="仿宋_GB2312" w:cs="仿宋_GB2312"/>
                <w:color w:val="auto"/>
                <w:kern w:val="0"/>
                <w:sz w:val="24"/>
                <w:szCs w:val="24"/>
                <w:highlight w:val="none"/>
                <w:lang w:eastAsia="zh-Hans"/>
              </w:rPr>
              <w:t>为同一</w:t>
            </w:r>
            <w:r>
              <w:rPr>
                <w:rFonts w:hint="eastAsia" w:ascii="仿宋_GB2312" w:hAnsi="仿宋_GB2312" w:eastAsia="仿宋_GB2312" w:cs="仿宋_GB2312"/>
                <w:color w:val="auto"/>
                <w:kern w:val="0"/>
                <w:sz w:val="24"/>
                <w:szCs w:val="24"/>
                <w:highlight w:val="none"/>
              </w:rPr>
              <w:t>项目</w:t>
            </w:r>
            <w:r>
              <w:rPr>
                <w:rFonts w:hint="eastAsia" w:ascii="仿宋_GB2312" w:hAnsi="仿宋_GB2312" w:eastAsia="仿宋_GB2312" w:cs="仿宋_GB2312"/>
                <w:color w:val="auto"/>
                <w:kern w:val="0"/>
                <w:sz w:val="24"/>
                <w:szCs w:val="24"/>
                <w:highlight w:val="none"/>
                <w:lang w:eastAsia="zh-Hans"/>
              </w:rPr>
              <w:t>的不重复得分</w:t>
            </w:r>
            <w:r>
              <w:rPr>
                <w:rFonts w:hint="eastAsia" w:ascii="仿宋_GB2312" w:hAnsi="仿宋_GB2312" w:eastAsia="仿宋_GB2312" w:cs="仿宋_GB2312"/>
                <w:color w:val="auto"/>
                <w:kern w:val="0"/>
                <w:sz w:val="24"/>
                <w:szCs w:val="24"/>
                <w:lang w:val="en-US" w:eastAsia="zh-CN" w:bidi="ar"/>
              </w:rPr>
              <w:t>）。</w:t>
            </w:r>
          </w:p>
        </w:tc>
      </w:tr>
      <w:tr w14:paraId="659891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209" w:hRule="atLeast"/>
        </w:trPr>
        <w:tc>
          <w:tcPr>
            <w:tcW w:w="1100" w:type="dxa"/>
            <w:vMerge w:val="continue"/>
            <w:vAlign w:val="center"/>
          </w:tcPr>
          <w:p w14:paraId="24993E25">
            <w:pPr>
              <w:pStyle w:val="5"/>
              <w:keepNext w:val="0"/>
              <w:keepLines w:val="0"/>
              <w:pageBreakBefore w:val="0"/>
              <w:kinsoku/>
              <w:wordWrap/>
              <w:overflowPunct/>
              <w:topLinePunct w:val="0"/>
              <w:bidi w:val="0"/>
              <w:spacing w:after="0" w:line="312" w:lineRule="auto"/>
              <w:textAlignment w:val="auto"/>
              <w:rPr>
                <w:rFonts w:hint="eastAsia" w:ascii="仿宋_GB2312" w:hAnsi="仿宋_GB2312" w:eastAsia="仿宋_GB2312" w:cs="仿宋_GB2312"/>
                <w:color w:val="auto"/>
                <w:sz w:val="24"/>
                <w:szCs w:val="24"/>
              </w:rPr>
            </w:pPr>
          </w:p>
        </w:tc>
        <w:tc>
          <w:tcPr>
            <w:tcW w:w="1166" w:type="dxa"/>
            <w:tcBorders>
              <w:top w:val="single" w:color="auto" w:sz="4" w:space="0"/>
              <w:bottom w:val="single" w:color="auto" w:sz="4" w:space="0"/>
            </w:tcBorders>
            <w:vAlign w:val="center"/>
          </w:tcPr>
          <w:p w14:paraId="714E7AAF">
            <w:pPr>
              <w:keepNext w:val="0"/>
              <w:keepLines w:val="0"/>
              <w:pageBreakBefore w:val="0"/>
              <w:kinsoku/>
              <w:wordWrap/>
              <w:overflowPunct/>
              <w:topLinePunct w:val="0"/>
              <w:bidi w:val="0"/>
              <w:adjustRightInd w:val="0"/>
              <w:snapToGrid w:val="0"/>
              <w:spacing w:line="312" w:lineRule="auto"/>
              <w:jc w:val="center"/>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color w:val="auto"/>
                <w:kern w:val="0"/>
                <w:sz w:val="24"/>
                <w:szCs w:val="24"/>
                <w:lang w:val="en-US" w:eastAsia="zh-CN" w:bidi="ar"/>
              </w:rPr>
              <w:t>项目技术负责人</w:t>
            </w:r>
          </w:p>
        </w:tc>
        <w:tc>
          <w:tcPr>
            <w:tcW w:w="617" w:type="dxa"/>
            <w:tcBorders>
              <w:top w:val="single" w:color="auto" w:sz="4" w:space="0"/>
              <w:bottom w:val="single" w:color="auto" w:sz="4" w:space="0"/>
            </w:tcBorders>
            <w:vAlign w:val="center"/>
          </w:tcPr>
          <w:p w14:paraId="120A72A3">
            <w:pPr>
              <w:keepNext w:val="0"/>
              <w:keepLines w:val="0"/>
              <w:pageBreakBefore w:val="0"/>
              <w:kinsoku/>
              <w:wordWrap/>
              <w:overflowPunct/>
              <w:topLinePunct w:val="0"/>
              <w:bidi w:val="0"/>
              <w:adjustRightInd w:val="0"/>
              <w:snapToGrid w:val="0"/>
              <w:spacing w:line="312" w:lineRule="auto"/>
              <w:ind w:left="28" w:leftChars="10" w:right="28" w:rightChars="10"/>
              <w:jc w:val="center"/>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3</w:t>
            </w:r>
          </w:p>
        </w:tc>
        <w:tc>
          <w:tcPr>
            <w:tcW w:w="6786" w:type="dxa"/>
            <w:tcBorders>
              <w:top w:val="single" w:color="auto" w:sz="4" w:space="0"/>
              <w:bottom w:val="single" w:color="auto" w:sz="4" w:space="0"/>
            </w:tcBorders>
            <w:vAlign w:val="center"/>
          </w:tcPr>
          <w:p w14:paraId="3FF65CD4">
            <w:pPr>
              <w:widowControl/>
              <w:spacing w:line="312" w:lineRule="auto"/>
              <w:jc w:val="left"/>
              <w:rPr>
                <w:rFonts w:hint="eastAsia"/>
              </w:rPr>
            </w:pPr>
            <w:r>
              <w:rPr>
                <w:rFonts w:hint="eastAsia" w:ascii="仿宋_GB2312" w:hAnsi="仿宋_GB2312" w:eastAsia="仿宋_GB2312" w:cs="仿宋_GB2312"/>
                <w:bCs/>
                <w:color w:val="auto"/>
                <w:sz w:val="24"/>
                <w:szCs w:val="24"/>
                <w:lang w:val="en-US" w:eastAsia="zh-CN"/>
              </w:rPr>
              <w:t>投标人</w:t>
            </w:r>
            <w:bookmarkStart w:id="6" w:name="_GoBack"/>
            <w:r>
              <w:rPr>
                <w:rFonts w:hint="eastAsia" w:ascii="仿宋_GB2312" w:hAnsi="仿宋_GB2312" w:eastAsia="仿宋_GB2312" w:cs="仿宋_GB2312"/>
                <w:bCs/>
                <w:color w:val="auto"/>
                <w:sz w:val="24"/>
                <w:szCs w:val="24"/>
                <w:lang w:val="en-US" w:eastAsia="zh-CN"/>
              </w:rPr>
              <w:t>承</w:t>
            </w:r>
            <w:bookmarkEnd w:id="6"/>
            <w:r>
              <w:rPr>
                <w:rFonts w:hint="eastAsia" w:ascii="仿宋_GB2312" w:hAnsi="仿宋_GB2312" w:eastAsia="仿宋_GB2312" w:cs="仿宋_GB2312"/>
                <w:bCs/>
                <w:color w:val="auto"/>
                <w:sz w:val="24"/>
                <w:szCs w:val="24"/>
                <w:lang w:val="en-US" w:eastAsia="zh-CN"/>
              </w:rPr>
              <w:t>拟派项目技术负责人拥有全国工程勘察设计大师或省级工程勘察设计大师的得3分；</w:t>
            </w:r>
            <w:r>
              <w:rPr>
                <w:rFonts w:hint="eastAsia" w:ascii="仿宋_GB2312" w:hAnsi="仿宋_GB2312" w:eastAsia="仿宋_GB2312" w:cs="仿宋_GB2312"/>
                <w:bCs/>
                <w:color w:val="auto"/>
                <w:sz w:val="24"/>
                <w:szCs w:val="24"/>
              </w:rPr>
              <w:t>需提供有效的证书复印件、</w:t>
            </w:r>
            <w:r>
              <w:rPr>
                <w:rFonts w:hint="eastAsia" w:ascii="仿宋_GB2312" w:hAnsi="仿宋_GB2312" w:eastAsia="仿宋_GB2312" w:cs="仿宋_GB2312"/>
                <w:bCs/>
                <w:color w:val="auto"/>
                <w:sz w:val="24"/>
                <w:szCs w:val="24"/>
                <w:lang w:val="en-US" w:eastAsia="zh-CN"/>
              </w:rPr>
              <w:t>身份证复印件及</w:t>
            </w:r>
            <w:r>
              <w:rPr>
                <w:rFonts w:hint="eastAsia" w:ascii="仿宋_GB2312" w:hAnsi="仿宋_GB2312" w:eastAsia="仿宋_GB2312" w:cs="仿宋_GB2312"/>
                <w:bCs/>
                <w:color w:val="auto"/>
                <w:sz w:val="24"/>
                <w:szCs w:val="24"/>
              </w:rPr>
              <w:t>提交响应文件截止时间前6个月（不含提交响应文件截止日期当月）任</w:t>
            </w:r>
            <w:r>
              <w:rPr>
                <w:rFonts w:hint="eastAsia" w:ascii="仿宋_GB2312" w:hAnsi="仿宋_GB2312" w:eastAsia="仿宋_GB2312" w:cs="仿宋_GB2312"/>
                <w:bCs/>
                <w:color w:val="auto"/>
                <w:sz w:val="24"/>
                <w:szCs w:val="24"/>
                <w:lang w:val="en-US" w:eastAsia="zh-CN"/>
              </w:rPr>
              <w:t>一</w:t>
            </w:r>
            <w:r>
              <w:rPr>
                <w:rFonts w:hint="eastAsia" w:ascii="仿宋_GB2312" w:hAnsi="仿宋_GB2312" w:eastAsia="仿宋_GB2312" w:cs="仿宋_GB2312"/>
                <w:bCs/>
                <w:color w:val="auto"/>
                <w:sz w:val="24"/>
                <w:szCs w:val="24"/>
              </w:rPr>
              <w:t>个月供应商为其缴纳社保的证明材料复印件</w:t>
            </w: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lang w:val="en-US" w:eastAsia="zh-CN"/>
              </w:rPr>
              <w:t>否则</w:t>
            </w:r>
            <w:r>
              <w:rPr>
                <w:rFonts w:hint="eastAsia" w:ascii="仿宋_GB2312" w:hAnsi="仿宋_GB2312" w:eastAsia="仿宋_GB2312" w:cs="仿宋_GB2312"/>
                <w:bCs/>
                <w:color w:val="auto"/>
                <w:sz w:val="24"/>
                <w:szCs w:val="24"/>
              </w:rPr>
              <w:t>不得分。</w:t>
            </w:r>
          </w:p>
        </w:tc>
      </w:tr>
      <w:tr w14:paraId="3C9265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324" w:hRule="atLeast"/>
        </w:trPr>
        <w:tc>
          <w:tcPr>
            <w:tcW w:w="1100" w:type="dxa"/>
            <w:vMerge w:val="restart"/>
            <w:tcBorders>
              <w:top w:val="single" w:color="auto" w:sz="4" w:space="0"/>
            </w:tcBorders>
            <w:vAlign w:val="center"/>
          </w:tcPr>
          <w:p w14:paraId="7184A674">
            <w:pPr>
              <w:keepNext w:val="0"/>
              <w:keepLines w:val="0"/>
              <w:pageBreakBefore w:val="0"/>
              <w:kinsoku/>
              <w:wordWrap/>
              <w:overflowPunct/>
              <w:topLinePunct w:val="0"/>
              <w:bidi w:val="0"/>
              <w:spacing w:line="312" w:lineRule="auto"/>
              <w:ind w:left="28" w:leftChars="10" w:right="28" w:rightChars="10"/>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技术部分</w:t>
            </w:r>
          </w:p>
          <w:p w14:paraId="2136CB26">
            <w:pPr>
              <w:pStyle w:val="5"/>
              <w:jc w:val="center"/>
              <w:rPr>
                <w:rFonts w:hint="default"/>
                <w:lang w:val="en-US" w:eastAsia="zh-CN"/>
              </w:rPr>
            </w:pPr>
            <w:r>
              <w:rPr>
                <w:rFonts w:hint="eastAsia" w:ascii="仿宋_GB2312" w:hAnsi="仿宋_GB2312" w:eastAsia="仿宋_GB2312" w:cs="仿宋_GB2312"/>
                <w:color w:val="auto"/>
                <w:sz w:val="24"/>
                <w:szCs w:val="24"/>
                <w:lang w:val="en-US" w:eastAsia="zh-CN"/>
              </w:rPr>
              <w:t>（50分）</w:t>
            </w:r>
          </w:p>
        </w:tc>
        <w:tc>
          <w:tcPr>
            <w:tcW w:w="1166" w:type="dxa"/>
            <w:tcBorders>
              <w:top w:val="single" w:color="auto" w:sz="4" w:space="0"/>
              <w:left w:val="single" w:color="auto" w:sz="4" w:space="0"/>
              <w:bottom w:val="single" w:color="auto" w:sz="4" w:space="0"/>
            </w:tcBorders>
            <w:shd w:val="clear" w:color="auto" w:fill="auto"/>
            <w:vAlign w:val="center"/>
          </w:tcPr>
          <w:p w14:paraId="7F538B8B">
            <w:pPr>
              <w:keepNext w:val="0"/>
              <w:keepLines w:val="0"/>
              <w:widowControl/>
              <w:suppressLineNumbers w:val="0"/>
              <w:spacing w:beforeLines="-2147483648" w:afterLines="-2147483648" w:line="312" w:lineRule="auto"/>
              <w:jc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bCs/>
                <w:color w:val="auto"/>
                <w:kern w:val="2"/>
                <w:sz w:val="24"/>
                <w:szCs w:val="24"/>
                <w:highlight w:val="none"/>
                <w:lang w:val="en-US" w:eastAsia="zh-CN"/>
              </w:rPr>
              <w:t>初步设计项目要求响应情况</w:t>
            </w:r>
            <w:r>
              <w:rPr>
                <w:rFonts w:hint="eastAsia" w:ascii="仿宋_GB2312" w:hAnsi="仿宋_GB2312" w:eastAsia="仿宋_GB2312" w:cs="仿宋_GB2312"/>
                <w:bCs/>
                <w:color w:val="auto"/>
                <w:kern w:val="2"/>
                <w:sz w:val="24"/>
                <w:szCs w:val="24"/>
                <w:highlight w:val="none"/>
              </w:rPr>
              <w:t>每负偏离一项扣</w:t>
            </w:r>
            <w:r>
              <w:rPr>
                <w:rFonts w:hint="eastAsia" w:ascii="仿宋_GB2312" w:hAnsi="仿宋_GB2312" w:eastAsia="仿宋_GB2312" w:cs="仿宋_GB2312"/>
                <w:bCs/>
                <w:color w:val="auto"/>
                <w:kern w:val="2"/>
                <w:sz w:val="24"/>
                <w:szCs w:val="24"/>
                <w:lang w:val="en-US" w:eastAsia="zh-CN"/>
              </w:rPr>
              <w:t>3</w:t>
            </w:r>
            <w:r>
              <w:rPr>
                <w:rFonts w:hint="eastAsia" w:ascii="仿宋_GB2312" w:hAnsi="仿宋_GB2312" w:eastAsia="仿宋_GB2312" w:cs="仿宋_GB2312"/>
                <w:bCs/>
                <w:color w:val="auto"/>
                <w:kern w:val="2"/>
                <w:sz w:val="24"/>
                <w:szCs w:val="24"/>
                <w:highlight w:val="none"/>
              </w:rPr>
              <w:t>分，</w:t>
            </w:r>
            <w:r>
              <w:rPr>
                <w:rFonts w:hint="eastAsia" w:ascii="仿宋_GB2312" w:hAnsi="仿宋_GB2312" w:eastAsia="仿宋_GB2312" w:cs="仿宋_GB2312"/>
                <w:bCs/>
                <w:color w:val="auto"/>
                <w:kern w:val="2"/>
                <w:sz w:val="24"/>
                <w:szCs w:val="24"/>
                <w:highlight w:val="none"/>
                <w:lang w:eastAsia="zh-CN"/>
              </w:rPr>
              <w:t>正偏离不加分</w:t>
            </w:r>
            <w:r>
              <w:rPr>
                <w:rFonts w:hint="eastAsia" w:ascii="仿宋_GB2312" w:hAnsi="仿宋_GB2312" w:eastAsia="仿宋_GB2312" w:cs="仿宋_GB2312"/>
                <w:bCs/>
                <w:color w:val="auto"/>
                <w:kern w:val="2"/>
                <w:sz w:val="24"/>
                <w:szCs w:val="24"/>
                <w:highlight w:val="none"/>
              </w:rPr>
              <w:t>。</w:t>
            </w:r>
          </w:p>
        </w:tc>
        <w:tc>
          <w:tcPr>
            <w:tcW w:w="617" w:type="dxa"/>
            <w:tcBorders>
              <w:top w:val="single" w:color="auto" w:sz="4" w:space="0"/>
              <w:bottom w:val="single" w:color="auto" w:sz="4" w:space="0"/>
              <w:right w:val="single" w:color="auto" w:sz="4" w:space="0"/>
            </w:tcBorders>
            <w:shd w:val="clear" w:color="auto" w:fill="auto"/>
            <w:vAlign w:val="center"/>
          </w:tcPr>
          <w:p w14:paraId="76A84448">
            <w:pPr>
              <w:keepNext w:val="0"/>
              <w:keepLines w:val="0"/>
              <w:widowControl/>
              <w:suppressLineNumbers w:val="0"/>
              <w:spacing w:beforeLines="-2147483648" w:afterLines="-2147483648" w:line="312" w:lineRule="auto"/>
              <w:jc w:val="center"/>
              <w:rPr>
                <w:rFonts w:hint="default"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bCs/>
                <w:color w:val="auto"/>
                <w:kern w:val="2"/>
                <w:sz w:val="24"/>
                <w:szCs w:val="24"/>
                <w:highlight w:val="none"/>
                <w:lang w:val="en-US" w:eastAsia="zh-CN" w:bidi="ar-SA"/>
              </w:rPr>
              <w:t>30</w:t>
            </w:r>
          </w:p>
        </w:tc>
        <w:tc>
          <w:tcPr>
            <w:tcW w:w="6786" w:type="dxa"/>
            <w:tcBorders>
              <w:top w:val="single" w:color="auto" w:sz="4" w:space="0"/>
              <w:left w:val="single" w:color="auto" w:sz="4" w:space="0"/>
              <w:bottom w:val="single" w:color="auto" w:sz="4" w:space="0"/>
            </w:tcBorders>
            <w:shd w:val="clear" w:color="auto" w:fill="auto"/>
            <w:vAlign w:val="center"/>
          </w:tcPr>
          <w:p w14:paraId="6DC442D2">
            <w:pPr>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仿宋_GB2312" w:hAnsi="仿宋_GB2312" w:eastAsia="仿宋_GB2312" w:cs="仿宋_GB2312"/>
                <w:bCs w:val="0"/>
                <w:color w:val="auto"/>
                <w:kern w:val="0"/>
                <w:sz w:val="24"/>
                <w:szCs w:val="24"/>
                <w:highlight w:val="none"/>
                <w:lang w:val="en-US" w:eastAsia="zh-CN" w:bidi="ar"/>
              </w:rPr>
            </w:pPr>
            <w:r>
              <w:rPr>
                <w:rFonts w:hint="eastAsia" w:ascii="仿宋_GB2312" w:hAnsi="仿宋_GB2312" w:eastAsia="仿宋_GB2312" w:cs="仿宋_GB2312"/>
                <w:bCs/>
                <w:color w:val="auto"/>
                <w:kern w:val="2"/>
                <w:sz w:val="24"/>
                <w:szCs w:val="24"/>
                <w:highlight w:val="none"/>
              </w:rPr>
              <w:t>根据</w:t>
            </w:r>
            <w:r>
              <w:rPr>
                <w:rFonts w:hint="eastAsia" w:ascii="仿宋_GB2312" w:hAnsi="仿宋_GB2312" w:eastAsia="仿宋_GB2312" w:cs="仿宋_GB2312"/>
                <w:bCs/>
                <w:color w:val="auto"/>
                <w:kern w:val="2"/>
                <w:sz w:val="24"/>
                <w:szCs w:val="24"/>
                <w:highlight w:val="none"/>
                <w:lang w:val="en-US" w:eastAsia="zh-CN"/>
              </w:rPr>
              <w:t>投标人</w:t>
            </w:r>
            <w:r>
              <w:rPr>
                <w:rFonts w:hint="eastAsia" w:ascii="仿宋_GB2312" w:hAnsi="仿宋_GB2312" w:eastAsia="仿宋_GB2312" w:cs="仿宋_GB2312"/>
                <w:bCs/>
                <w:color w:val="auto"/>
                <w:kern w:val="2"/>
                <w:sz w:val="24"/>
                <w:szCs w:val="24"/>
                <w:highlight w:val="none"/>
              </w:rPr>
              <w:t>对</w:t>
            </w:r>
            <w:r>
              <w:rPr>
                <w:rFonts w:hint="eastAsia" w:ascii="仿宋_GB2312" w:hAnsi="仿宋_GB2312" w:eastAsia="仿宋_GB2312" w:cs="仿宋_GB2312"/>
                <w:bCs/>
                <w:color w:val="auto"/>
                <w:kern w:val="2"/>
                <w:sz w:val="24"/>
                <w:szCs w:val="24"/>
                <w:lang w:eastAsia="zh-CN"/>
              </w:rPr>
              <w:t>“</w:t>
            </w:r>
            <w:r>
              <w:rPr>
                <w:rFonts w:hint="eastAsia" w:ascii="仿宋_GB2312" w:hAnsi="仿宋_GB2312" w:eastAsia="仿宋_GB2312" w:cs="仿宋_GB2312"/>
                <w:bCs/>
                <w:color w:val="auto"/>
                <w:kern w:val="2"/>
                <w:sz w:val="24"/>
                <w:szCs w:val="24"/>
                <w:lang w:val="en-US" w:eastAsia="zh-CN"/>
              </w:rPr>
              <w:t>初步设计项目要求</w:t>
            </w:r>
            <w:r>
              <w:rPr>
                <w:rFonts w:hint="eastAsia" w:ascii="仿宋_GB2312" w:hAnsi="仿宋_GB2312" w:eastAsia="仿宋_GB2312" w:cs="仿宋_GB2312"/>
                <w:bCs/>
                <w:color w:val="auto"/>
                <w:kern w:val="2"/>
                <w:sz w:val="24"/>
                <w:szCs w:val="24"/>
                <w:lang w:eastAsia="zh-CN"/>
              </w:rPr>
              <w:t>”</w:t>
            </w:r>
            <w:r>
              <w:rPr>
                <w:rFonts w:hint="eastAsia" w:ascii="仿宋_GB2312" w:hAnsi="仿宋_GB2312" w:eastAsia="仿宋_GB2312" w:cs="仿宋_GB2312"/>
                <w:bCs/>
                <w:color w:val="auto"/>
                <w:kern w:val="2"/>
                <w:sz w:val="24"/>
                <w:szCs w:val="24"/>
                <w:highlight w:val="none"/>
              </w:rPr>
              <w:t>中各项</w:t>
            </w:r>
            <w:r>
              <w:rPr>
                <w:rFonts w:hint="eastAsia" w:ascii="仿宋_GB2312" w:hAnsi="仿宋_GB2312" w:eastAsia="仿宋_GB2312" w:cs="仿宋_GB2312"/>
                <w:bCs/>
                <w:color w:val="auto"/>
                <w:kern w:val="2"/>
                <w:sz w:val="24"/>
                <w:szCs w:val="24"/>
                <w:lang w:val="en-US" w:eastAsia="zh-CN"/>
              </w:rPr>
              <w:t>响应</w:t>
            </w:r>
            <w:r>
              <w:rPr>
                <w:rFonts w:hint="eastAsia" w:ascii="仿宋_GB2312" w:hAnsi="仿宋_GB2312" w:eastAsia="仿宋_GB2312" w:cs="仿宋_GB2312"/>
                <w:bCs/>
                <w:color w:val="auto"/>
                <w:kern w:val="2"/>
                <w:sz w:val="24"/>
                <w:szCs w:val="24"/>
                <w:highlight w:val="none"/>
              </w:rPr>
              <w:t>情况进行评分：完全满足磋商文件要求的得</w:t>
            </w:r>
            <w:r>
              <w:rPr>
                <w:rFonts w:hint="eastAsia" w:ascii="仿宋_GB2312" w:hAnsi="仿宋_GB2312" w:eastAsia="仿宋_GB2312" w:cs="仿宋_GB2312"/>
                <w:bCs/>
                <w:color w:val="auto"/>
                <w:kern w:val="2"/>
                <w:sz w:val="24"/>
                <w:szCs w:val="24"/>
                <w:highlight w:val="none"/>
                <w:lang w:val="en-US" w:eastAsia="zh-CN"/>
              </w:rPr>
              <w:t>3</w:t>
            </w:r>
            <w:r>
              <w:rPr>
                <w:rFonts w:hint="eastAsia" w:ascii="仿宋_GB2312" w:hAnsi="仿宋_GB2312" w:eastAsia="仿宋_GB2312" w:cs="仿宋_GB2312"/>
                <w:bCs/>
                <w:color w:val="auto"/>
                <w:kern w:val="2"/>
                <w:sz w:val="24"/>
                <w:szCs w:val="24"/>
                <w:lang w:val="en-US" w:eastAsia="zh-CN"/>
              </w:rPr>
              <w:t>0</w:t>
            </w:r>
            <w:r>
              <w:rPr>
                <w:rFonts w:hint="eastAsia" w:ascii="仿宋_GB2312" w:hAnsi="仿宋_GB2312" w:eastAsia="仿宋_GB2312" w:cs="仿宋_GB2312"/>
                <w:bCs/>
                <w:color w:val="auto"/>
                <w:kern w:val="2"/>
                <w:sz w:val="24"/>
                <w:szCs w:val="24"/>
                <w:highlight w:val="none"/>
              </w:rPr>
              <w:t>分，</w:t>
            </w:r>
            <w:r>
              <w:rPr>
                <w:rFonts w:hint="eastAsia" w:ascii="仿宋_GB2312" w:hAnsi="仿宋_GB2312" w:eastAsia="仿宋_GB2312" w:cs="仿宋_GB2312"/>
                <w:bCs/>
                <w:color w:val="auto"/>
                <w:kern w:val="2"/>
                <w:sz w:val="24"/>
                <w:szCs w:val="24"/>
                <w:highlight w:val="none"/>
                <w:lang w:eastAsia="zh-CN"/>
              </w:rPr>
              <w:t>指标</w:t>
            </w:r>
            <w:r>
              <w:rPr>
                <w:rFonts w:hint="eastAsia" w:ascii="仿宋_GB2312" w:hAnsi="仿宋_GB2312" w:eastAsia="仿宋_GB2312" w:cs="仿宋_GB2312"/>
                <w:bCs/>
                <w:color w:val="auto"/>
                <w:kern w:val="2"/>
                <w:sz w:val="24"/>
                <w:szCs w:val="24"/>
                <w:highlight w:val="none"/>
              </w:rPr>
              <w:t>共1</w:t>
            </w:r>
            <w:r>
              <w:rPr>
                <w:rFonts w:hint="eastAsia" w:ascii="仿宋_GB2312" w:hAnsi="仿宋_GB2312" w:eastAsia="仿宋_GB2312" w:cs="仿宋_GB2312"/>
                <w:bCs/>
                <w:color w:val="auto"/>
                <w:kern w:val="2"/>
                <w:sz w:val="24"/>
                <w:szCs w:val="24"/>
                <w:lang w:val="en-US" w:eastAsia="zh-CN"/>
              </w:rPr>
              <w:t>0</w:t>
            </w:r>
            <w:r>
              <w:rPr>
                <w:rFonts w:hint="eastAsia" w:ascii="仿宋_GB2312" w:hAnsi="仿宋_GB2312" w:eastAsia="仿宋_GB2312" w:cs="仿宋_GB2312"/>
                <w:bCs/>
                <w:color w:val="auto"/>
                <w:kern w:val="2"/>
                <w:sz w:val="24"/>
                <w:szCs w:val="24"/>
                <w:highlight w:val="none"/>
              </w:rPr>
              <w:t>项，每负偏离一项扣</w:t>
            </w:r>
            <w:r>
              <w:rPr>
                <w:rFonts w:hint="eastAsia" w:ascii="仿宋_GB2312" w:hAnsi="仿宋_GB2312" w:eastAsia="仿宋_GB2312" w:cs="仿宋_GB2312"/>
                <w:bCs/>
                <w:color w:val="auto"/>
                <w:kern w:val="2"/>
                <w:sz w:val="24"/>
                <w:szCs w:val="24"/>
                <w:lang w:val="en-US" w:eastAsia="zh-CN"/>
              </w:rPr>
              <w:t>3</w:t>
            </w:r>
            <w:r>
              <w:rPr>
                <w:rFonts w:hint="eastAsia" w:ascii="仿宋_GB2312" w:hAnsi="仿宋_GB2312" w:eastAsia="仿宋_GB2312" w:cs="仿宋_GB2312"/>
                <w:bCs/>
                <w:color w:val="auto"/>
                <w:kern w:val="2"/>
                <w:sz w:val="24"/>
                <w:szCs w:val="24"/>
                <w:highlight w:val="none"/>
              </w:rPr>
              <w:t>分，</w:t>
            </w:r>
            <w:r>
              <w:rPr>
                <w:rFonts w:hint="eastAsia" w:ascii="仿宋_GB2312" w:hAnsi="仿宋_GB2312" w:eastAsia="仿宋_GB2312" w:cs="仿宋_GB2312"/>
                <w:bCs/>
                <w:color w:val="auto"/>
                <w:kern w:val="2"/>
                <w:sz w:val="24"/>
                <w:szCs w:val="24"/>
                <w:highlight w:val="none"/>
                <w:lang w:eastAsia="zh-CN"/>
              </w:rPr>
              <w:t>正偏离不加分</w:t>
            </w:r>
            <w:r>
              <w:rPr>
                <w:rFonts w:hint="eastAsia" w:ascii="仿宋_GB2312" w:hAnsi="仿宋_GB2312" w:eastAsia="仿宋_GB2312" w:cs="仿宋_GB2312"/>
                <w:bCs/>
                <w:color w:val="auto"/>
                <w:kern w:val="2"/>
                <w:sz w:val="24"/>
                <w:szCs w:val="24"/>
                <w:highlight w:val="none"/>
              </w:rPr>
              <w:t>。</w:t>
            </w:r>
          </w:p>
        </w:tc>
      </w:tr>
      <w:tr w14:paraId="54ECE5F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324" w:hRule="atLeast"/>
        </w:trPr>
        <w:tc>
          <w:tcPr>
            <w:tcW w:w="1100" w:type="dxa"/>
            <w:vMerge w:val="continue"/>
            <w:vAlign w:val="center"/>
          </w:tcPr>
          <w:p w14:paraId="5D35082C">
            <w:pPr>
              <w:pStyle w:val="5"/>
              <w:jc w:val="center"/>
              <w:rPr>
                <w:rFonts w:hint="eastAsia" w:ascii="仿宋_GB2312" w:hAnsi="仿宋_GB2312" w:eastAsia="仿宋_GB2312" w:cs="仿宋_GB2312"/>
                <w:color w:val="auto"/>
                <w:sz w:val="24"/>
                <w:szCs w:val="24"/>
                <w:lang w:val="en-US" w:eastAsia="zh-CN"/>
              </w:rPr>
            </w:pPr>
          </w:p>
        </w:tc>
        <w:tc>
          <w:tcPr>
            <w:tcW w:w="1166" w:type="dxa"/>
            <w:tcBorders>
              <w:top w:val="single" w:color="auto" w:sz="4" w:space="0"/>
              <w:left w:val="single" w:color="auto" w:sz="4" w:space="0"/>
              <w:bottom w:val="single" w:color="auto" w:sz="4" w:space="0"/>
            </w:tcBorders>
            <w:shd w:val="clear" w:color="auto" w:fill="auto"/>
            <w:vAlign w:val="center"/>
          </w:tcPr>
          <w:p w14:paraId="013312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eastAsia" w:ascii="仿宋_GB2312" w:hAnsi="仿宋_GB2312" w:eastAsia="仿宋_GB2312" w:cs="仿宋_GB2312"/>
                <w:bCs/>
                <w:color w:val="auto"/>
                <w:kern w:val="2"/>
                <w:sz w:val="24"/>
                <w:szCs w:val="24"/>
                <w:lang w:val="en-US" w:eastAsia="zh-CN" w:bidi="ar-SA"/>
              </w:rPr>
            </w:pPr>
            <w:r>
              <w:rPr>
                <w:rFonts w:hint="eastAsia" w:ascii="仿宋_GB2312" w:hAnsi="仿宋_GB2312" w:eastAsia="仿宋_GB2312" w:cs="仿宋_GB2312"/>
                <w:bCs/>
                <w:color w:val="auto"/>
                <w:sz w:val="24"/>
                <w:szCs w:val="24"/>
                <w:lang w:val="en-US" w:eastAsia="zh-CN"/>
              </w:rPr>
              <w:t>上部结构加固方案</w:t>
            </w:r>
          </w:p>
        </w:tc>
        <w:tc>
          <w:tcPr>
            <w:tcW w:w="617" w:type="dxa"/>
            <w:tcBorders>
              <w:top w:val="single" w:color="auto" w:sz="4" w:space="0"/>
              <w:bottom w:val="single" w:color="auto" w:sz="4" w:space="0"/>
              <w:right w:val="single" w:color="auto" w:sz="4" w:space="0"/>
            </w:tcBorders>
            <w:shd w:val="clear" w:color="auto" w:fill="auto"/>
            <w:vAlign w:val="center"/>
          </w:tcPr>
          <w:p w14:paraId="662D77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仿宋_GB2312" w:hAnsi="仿宋_GB2312" w:eastAsia="仿宋_GB2312" w:cs="仿宋_GB2312"/>
                <w:bCs/>
                <w:color w:val="auto"/>
                <w:kern w:val="2"/>
                <w:sz w:val="24"/>
                <w:szCs w:val="24"/>
                <w:lang w:val="en-US" w:eastAsia="zh-CN" w:bidi="ar-SA"/>
              </w:rPr>
            </w:pPr>
            <w:r>
              <w:rPr>
                <w:rFonts w:hint="eastAsia" w:ascii="仿宋_GB2312" w:hAnsi="仿宋_GB2312" w:eastAsia="仿宋_GB2312" w:cs="仿宋_GB2312"/>
                <w:bCs/>
                <w:color w:val="auto"/>
                <w:sz w:val="24"/>
                <w:szCs w:val="24"/>
                <w:lang w:val="en-US" w:eastAsia="zh-CN"/>
              </w:rPr>
              <w:t>3</w:t>
            </w:r>
          </w:p>
        </w:tc>
        <w:tc>
          <w:tcPr>
            <w:tcW w:w="6786" w:type="dxa"/>
            <w:tcBorders>
              <w:top w:val="single" w:color="auto" w:sz="4" w:space="0"/>
              <w:left w:val="single" w:color="auto" w:sz="4" w:space="0"/>
              <w:bottom w:val="single" w:color="auto" w:sz="4" w:space="0"/>
            </w:tcBorders>
            <w:shd w:val="clear" w:color="auto" w:fill="auto"/>
            <w:vAlign w:val="center"/>
          </w:tcPr>
          <w:p w14:paraId="1FED1F4A">
            <w:pPr>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default" w:ascii="仿宋_GB2312" w:hAnsi="仿宋_GB2312" w:eastAsia="仿宋_GB2312" w:cs="仿宋_GB2312"/>
                <w:bCs w:val="0"/>
                <w:color w:val="auto"/>
                <w:kern w:val="0"/>
                <w:sz w:val="24"/>
                <w:szCs w:val="24"/>
                <w:lang w:val="en-US" w:eastAsia="zh-CN" w:bidi="ar"/>
              </w:rPr>
            </w:pPr>
            <w:r>
              <w:rPr>
                <w:rFonts w:hint="eastAsia" w:ascii="仿宋_GB2312" w:hAnsi="仿宋_GB2312" w:eastAsia="仿宋_GB2312" w:cs="仿宋_GB2312"/>
                <w:bCs w:val="0"/>
                <w:color w:val="auto"/>
                <w:kern w:val="0"/>
                <w:sz w:val="24"/>
                <w:szCs w:val="24"/>
                <w:lang w:val="en-US" w:eastAsia="zh-CN" w:bidi="ar"/>
              </w:rPr>
              <w:t>投标人提供上部结构加固初步方案，方案应包含以下内容：①结构加固设计说明；②全楼层加固平面图</w:t>
            </w:r>
            <w:r>
              <w:rPr>
                <w:rFonts w:hint="eastAsia" w:ascii="仿宋_GB2312" w:hAnsi="仿宋_GB2312" w:eastAsia="仿宋_GB2312" w:cs="仿宋_GB2312"/>
                <w:bCs w:val="0"/>
                <w:color w:val="auto"/>
                <w:kern w:val="0"/>
                <w:sz w:val="24"/>
                <w:szCs w:val="24"/>
                <w:lang w:eastAsia="zh-CN" w:bidi="ar"/>
              </w:rPr>
              <w:t>。</w:t>
            </w:r>
            <w:r>
              <w:rPr>
                <w:rFonts w:hint="eastAsia" w:ascii="仿宋_GB2312" w:hAnsi="仿宋_GB2312" w:eastAsia="仿宋_GB2312" w:cs="仿宋_GB2312"/>
                <w:bCs w:val="0"/>
                <w:color w:val="auto"/>
                <w:kern w:val="0"/>
                <w:sz w:val="24"/>
                <w:szCs w:val="24"/>
                <w:lang w:val="en-US" w:eastAsia="zh-CN" w:bidi="ar"/>
              </w:rPr>
              <w:t>所提供</w:t>
            </w:r>
            <w:r>
              <w:rPr>
                <w:rFonts w:hint="eastAsia" w:ascii="仿宋_GB2312" w:hAnsi="仿宋_GB2312" w:eastAsia="仿宋_GB2312" w:cs="仿宋_GB2312"/>
                <w:color w:val="auto"/>
                <w:kern w:val="0"/>
                <w:sz w:val="24"/>
                <w:szCs w:val="24"/>
                <w:lang w:val="en-US" w:eastAsia="zh-CN" w:bidi="ar"/>
              </w:rPr>
              <w:t>方案内容与要点相符、且具体可行，有提供的得3分，未提供不得分。</w:t>
            </w:r>
          </w:p>
        </w:tc>
      </w:tr>
      <w:tr w14:paraId="607841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530" w:hRule="atLeast"/>
        </w:trPr>
        <w:tc>
          <w:tcPr>
            <w:tcW w:w="1100" w:type="dxa"/>
            <w:vMerge w:val="continue"/>
            <w:vAlign w:val="center"/>
          </w:tcPr>
          <w:p w14:paraId="25459F1D">
            <w:pPr>
              <w:keepNext w:val="0"/>
              <w:keepLines w:val="0"/>
              <w:pageBreakBefore w:val="0"/>
              <w:kinsoku/>
              <w:wordWrap/>
              <w:overflowPunct/>
              <w:topLinePunct w:val="0"/>
              <w:bidi w:val="0"/>
              <w:spacing w:line="312" w:lineRule="auto"/>
              <w:ind w:left="28" w:leftChars="10" w:right="28" w:rightChars="10"/>
              <w:jc w:val="center"/>
              <w:textAlignment w:val="auto"/>
              <w:rPr>
                <w:rFonts w:hint="eastAsia" w:ascii="仿宋_GB2312" w:hAnsi="仿宋_GB2312" w:eastAsia="仿宋_GB2312" w:cs="仿宋_GB2312"/>
                <w:color w:val="auto"/>
                <w:sz w:val="24"/>
                <w:szCs w:val="24"/>
              </w:rPr>
            </w:pPr>
          </w:p>
        </w:tc>
        <w:tc>
          <w:tcPr>
            <w:tcW w:w="1166" w:type="dxa"/>
            <w:tcBorders>
              <w:top w:val="single" w:color="auto" w:sz="4" w:space="0"/>
              <w:left w:val="single" w:color="auto" w:sz="4" w:space="0"/>
              <w:bottom w:val="single" w:color="auto" w:sz="4" w:space="0"/>
            </w:tcBorders>
            <w:vAlign w:val="center"/>
          </w:tcPr>
          <w:p w14:paraId="153E0A65">
            <w:pPr>
              <w:keepNext w:val="0"/>
              <w:keepLines w:val="0"/>
              <w:widowControl/>
              <w:suppressLineNumbers w:val="0"/>
              <w:spacing w:beforeLines="-2147483648" w:afterLines="-2147483648" w:line="312" w:lineRule="auto"/>
              <w:jc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bCs/>
                <w:color w:val="auto"/>
                <w:kern w:val="2"/>
                <w:sz w:val="24"/>
                <w:szCs w:val="24"/>
                <w:highlight w:val="none"/>
                <w:lang w:val="en-US" w:eastAsia="zh-CN" w:bidi="ar-SA"/>
              </w:rPr>
              <w:t>地基基</w:t>
            </w:r>
          </w:p>
          <w:p w14:paraId="0E1A3BF0">
            <w:pPr>
              <w:keepNext w:val="0"/>
              <w:keepLines w:val="0"/>
              <w:widowControl/>
              <w:suppressLineNumbers w:val="0"/>
              <w:spacing w:beforeLines="-2147483648" w:afterLines="-2147483648" w:line="312" w:lineRule="auto"/>
              <w:jc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bCs/>
                <w:color w:val="auto"/>
                <w:kern w:val="2"/>
                <w:sz w:val="24"/>
                <w:szCs w:val="24"/>
                <w:highlight w:val="none"/>
                <w:lang w:val="en-US" w:eastAsia="zh-CN" w:bidi="ar-SA"/>
              </w:rPr>
              <w:t>础加固初</w:t>
            </w:r>
          </w:p>
          <w:p w14:paraId="1A59211B">
            <w:pPr>
              <w:keepNext w:val="0"/>
              <w:keepLines w:val="0"/>
              <w:widowControl/>
              <w:suppressLineNumbers w:val="0"/>
              <w:spacing w:beforeLines="-2147483648" w:afterLines="-2147483648" w:line="312" w:lineRule="auto"/>
              <w:jc w:val="center"/>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kern w:val="2"/>
                <w:sz w:val="24"/>
                <w:szCs w:val="24"/>
                <w:highlight w:val="none"/>
                <w:lang w:val="en-US" w:eastAsia="zh-CN" w:bidi="ar-SA"/>
              </w:rPr>
              <w:t>步方案</w:t>
            </w:r>
          </w:p>
        </w:tc>
        <w:tc>
          <w:tcPr>
            <w:tcW w:w="617" w:type="dxa"/>
            <w:tcBorders>
              <w:top w:val="single" w:color="auto" w:sz="4" w:space="0"/>
              <w:right w:val="single" w:color="auto" w:sz="4" w:space="0"/>
            </w:tcBorders>
            <w:vAlign w:val="center"/>
          </w:tcPr>
          <w:p w14:paraId="220CB0D5">
            <w:pPr>
              <w:keepNext w:val="0"/>
              <w:keepLines w:val="0"/>
              <w:widowControl/>
              <w:suppressLineNumbers w:val="0"/>
              <w:spacing w:beforeLines="-2147483648" w:afterLines="-2147483648" w:line="312" w:lineRule="auto"/>
              <w:jc w:val="center"/>
              <w:rPr>
                <w:rFonts w:hint="default"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kern w:val="2"/>
                <w:sz w:val="24"/>
                <w:szCs w:val="24"/>
                <w:highlight w:val="none"/>
                <w:lang w:val="en-US" w:eastAsia="zh-CN" w:bidi="ar-SA"/>
              </w:rPr>
              <w:t>3</w:t>
            </w:r>
          </w:p>
        </w:tc>
        <w:tc>
          <w:tcPr>
            <w:tcW w:w="6786" w:type="dxa"/>
            <w:tcBorders>
              <w:top w:val="single" w:color="auto" w:sz="4" w:space="0"/>
              <w:left w:val="single" w:color="auto" w:sz="4" w:space="0"/>
            </w:tcBorders>
            <w:vAlign w:val="center"/>
          </w:tcPr>
          <w:p w14:paraId="29518A9C">
            <w:pPr>
              <w:spacing w:beforeLines="0" w:afterLines="0" w:line="240" w:lineRule="auto"/>
              <w:jc w:val="left"/>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val="0"/>
                <w:color w:val="auto"/>
                <w:kern w:val="0"/>
                <w:sz w:val="24"/>
                <w:szCs w:val="24"/>
                <w:lang w:val="en-US" w:eastAsia="zh-CN" w:bidi="ar"/>
              </w:rPr>
              <w:t>投标人提供</w:t>
            </w:r>
            <w:r>
              <w:rPr>
                <w:rFonts w:hint="eastAsia" w:ascii="仿宋_GB2312" w:hAnsi="仿宋_GB2312" w:eastAsia="仿宋_GB2312" w:cs="仿宋_GB2312"/>
                <w:bCs w:val="0"/>
                <w:color w:val="auto"/>
                <w:kern w:val="2"/>
                <w:sz w:val="24"/>
                <w:szCs w:val="24"/>
                <w:highlight w:val="none"/>
                <w:lang w:val="en-US" w:eastAsia="zh-CN" w:bidi="ar-SA"/>
              </w:rPr>
              <w:t>结构加固初步方案，</w:t>
            </w:r>
            <w:r>
              <w:rPr>
                <w:rFonts w:hint="eastAsia" w:ascii="仿宋_GB2312" w:hAnsi="仿宋_GB2312" w:eastAsia="仿宋_GB2312" w:cs="仿宋_GB2312"/>
                <w:bCs w:val="0"/>
                <w:color w:val="auto"/>
                <w:kern w:val="0"/>
                <w:sz w:val="24"/>
                <w:szCs w:val="24"/>
                <w:lang w:val="en-US" w:eastAsia="zh-CN" w:bidi="ar"/>
              </w:rPr>
              <w:t>方案应包含以下内容：</w:t>
            </w:r>
            <w:r>
              <w:rPr>
                <w:rFonts w:hint="eastAsia" w:ascii="仿宋_GB2312" w:hAnsi="仿宋_GB2312" w:eastAsia="仿宋_GB2312" w:cs="仿宋_GB2312"/>
                <w:bCs w:val="0"/>
                <w:color w:val="auto"/>
                <w:kern w:val="2"/>
                <w:sz w:val="24"/>
                <w:szCs w:val="24"/>
                <w:highlight w:val="none"/>
                <w:lang w:val="en-US" w:eastAsia="zh-CN" w:bidi="ar-SA"/>
              </w:rPr>
              <w:t>①地基基础加固设计说明；②地基基础加固平面图。</w:t>
            </w:r>
            <w:r>
              <w:rPr>
                <w:rFonts w:hint="eastAsia" w:ascii="仿宋_GB2312" w:hAnsi="仿宋_GB2312" w:eastAsia="仿宋_GB2312" w:cs="仿宋_GB2312"/>
                <w:bCs w:val="0"/>
                <w:color w:val="auto"/>
                <w:kern w:val="0"/>
                <w:sz w:val="24"/>
                <w:szCs w:val="24"/>
                <w:lang w:val="en-US" w:eastAsia="zh-CN" w:bidi="ar"/>
              </w:rPr>
              <w:t>所提供</w:t>
            </w:r>
            <w:r>
              <w:rPr>
                <w:rFonts w:hint="eastAsia" w:ascii="仿宋_GB2312" w:hAnsi="仿宋_GB2312" w:eastAsia="仿宋_GB2312" w:cs="仿宋_GB2312"/>
                <w:color w:val="auto"/>
                <w:kern w:val="0"/>
                <w:sz w:val="24"/>
                <w:szCs w:val="24"/>
                <w:lang w:val="en-US" w:eastAsia="zh-CN" w:bidi="ar"/>
              </w:rPr>
              <w:t>方案内容与要点相符、且具体可行，有提供的得3分，未提供不得分。</w:t>
            </w:r>
          </w:p>
        </w:tc>
      </w:tr>
      <w:tr w14:paraId="7A4BE44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900" w:hRule="atLeast"/>
        </w:trPr>
        <w:tc>
          <w:tcPr>
            <w:tcW w:w="1100" w:type="dxa"/>
            <w:vMerge w:val="continue"/>
            <w:vAlign w:val="center"/>
          </w:tcPr>
          <w:p w14:paraId="6D11252D">
            <w:pPr>
              <w:keepNext w:val="0"/>
              <w:keepLines w:val="0"/>
              <w:pageBreakBefore w:val="0"/>
              <w:kinsoku/>
              <w:wordWrap/>
              <w:overflowPunct/>
              <w:topLinePunct w:val="0"/>
              <w:bidi w:val="0"/>
              <w:spacing w:line="312" w:lineRule="auto"/>
              <w:ind w:left="28" w:leftChars="10" w:right="28" w:rightChars="10"/>
              <w:jc w:val="center"/>
              <w:textAlignment w:val="auto"/>
              <w:rPr>
                <w:rFonts w:hint="eastAsia" w:ascii="仿宋_GB2312" w:hAnsi="仿宋_GB2312" w:eastAsia="仿宋_GB2312" w:cs="仿宋_GB2312"/>
                <w:color w:val="auto"/>
                <w:sz w:val="24"/>
                <w:szCs w:val="24"/>
              </w:rPr>
            </w:pPr>
          </w:p>
        </w:tc>
        <w:tc>
          <w:tcPr>
            <w:tcW w:w="1166" w:type="dxa"/>
            <w:tcBorders>
              <w:top w:val="single" w:color="auto" w:sz="4" w:space="0"/>
              <w:left w:val="single" w:color="auto" w:sz="4" w:space="0"/>
              <w:bottom w:val="single" w:color="auto" w:sz="4" w:space="0"/>
            </w:tcBorders>
            <w:vAlign w:val="center"/>
          </w:tcPr>
          <w:p w14:paraId="0E1EBB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eastAsia" w:ascii="仿宋_GB2312" w:hAnsi="仿宋_GB2312" w:eastAsia="仿宋_GB2312" w:cs="仿宋_GB2312"/>
                <w:bCs/>
                <w:color w:val="auto"/>
                <w:sz w:val="24"/>
                <w:szCs w:val="24"/>
                <w:lang w:val="zh-CN"/>
              </w:rPr>
            </w:pPr>
            <w:r>
              <w:rPr>
                <w:rFonts w:hint="eastAsia" w:ascii="仿宋_GB2312" w:hAnsi="仿宋_GB2312" w:eastAsia="仿宋_GB2312" w:cs="仿宋_GB2312"/>
                <w:bCs/>
                <w:color w:val="auto"/>
                <w:sz w:val="24"/>
                <w:szCs w:val="24"/>
                <w:lang w:val="en-US" w:eastAsia="zh-CN"/>
              </w:rPr>
              <w:t>设计</w:t>
            </w:r>
            <w:r>
              <w:rPr>
                <w:rFonts w:hint="eastAsia" w:ascii="仿宋_GB2312" w:hAnsi="仿宋_GB2312" w:eastAsia="仿宋_GB2312" w:cs="仿宋_GB2312"/>
                <w:bCs/>
                <w:color w:val="auto"/>
                <w:sz w:val="24"/>
                <w:szCs w:val="24"/>
                <w:lang w:val="zh-CN"/>
              </w:rPr>
              <w:t>进</w:t>
            </w:r>
          </w:p>
          <w:p w14:paraId="0EA3F0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zh-CN"/>
              </w:rPr>
              <w:t>度</w:t>
            </w:r>
            <w:r>
              <w:rPr>
                <w:rFonts w:hint="eastAsia" w:ascii="仿宋_GB2312" w:hAnsi="仿宋_GB2312" w:eastAsia="仿宋_GB2312" w:cs="仿宋_GB2312"/>
                <w:bCs/>
                <w:color w:val="auto"/>
                <w:sz w:val="24"/>
                <w:szCs w:val="24"/>
                <w:lang w:val="en-US" w:eastAsia="zh-CN"/>
              </w:rPr>
              <w:t>控制保</w:t>
            </w:r>
          </w:p>
          <w:p w14:paraId="7BFFA7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eastAsia" w:ascii="仿宋_GB2312" w:hAnsi="仿宋_GB2312" w:eastAsia="仿宋_GB2312" w:cs="仿宋_GB2312"/>
                <w:bCs/>
                <w:color w:val="auto"/>
                <w:sz w:val="24"/>
                <w:szCs w:val="24"/>
                <w:lang w:val="zh-CN"/>
              </w:rPr>
            </w:pPr>
            <w:r>
              <w:rPr>
                <w:rFonts w:hint="eastAsia" w:ascii="仿宋_GB2312" w:hAnsi="仿宋_GB2312" w:eastAsia="仿宋_GB2312" w:cs="仿宋_GB2312"/>
                <w:bCs/>
                <w:color w:val="auto"/>
                <w:sz w:val="24"/>
                <w:szCs w:val="24"/>
                <w:lang w:val="en-US" w:eastAsia="zh-CN"/>
              </w:rPr>
              <w:t>障方案</w:t>
            </w:r>
          </w:p>
        </w:tc>
        <w:tc>
          <w:tcPr>
            <w:tcW w:w="617" w:type="dxa"/>
            <w:tcBorders>
              <w:right w:val="single" w:color="auto" w:sz="4" w:space="0"/>
            </w:tcBorders>
            <w:vAlign w:val="center"/>
          </w:tcPr>
          <w:p w14:paraId="1B9EDA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仿宋_GB2312" w:hAnsi="仿宋_GB2312" w:eastAsia="仿宋_GB2312" w:cs="仿宋_GB2312"/>
                <w:bCs/>
                <w:color w:val="auto"/>
                <w:sz w:val="24"/>
                <w:szCs w:val="24"/>
                <w:lang w:val="en-US"/>
              </w:rPr>
            </w:pPr>
            <w:r>
              <w:rPr>
                <w:rFonts w:hint="eastAsia" w:ascii="仿宋_GB2312" w:hAnsi="仿宋_GB2312" w:eastAsia="仿宋_GB2312" w:cs="仿宋_GB2312"/>
                <w:bCs/>
                <w:color w:val="auto"/>
                <w:sz w:val="24"/>
                <w:szCs w:val="24"/>
                <w:lang w:val="en-US" w:eastAsia="zh-CN"/>
              </w:rPr>
              <w:t>3</w:t>
            </w:r>
          </w:p>
        </w:tc>
        <w:tc>
          <w:tcPr>
            <w:tcW w:w="6786" w:type="dxa"/>
            <w:tcBorders>
              <w:left w:val="single" w:color="auto" w:sz="4" w:space="0"/>
            </w:tcBorders>
            <w:vAlign w:val="top"/>
          </w:tcPr>
          <w:p w14:paraId="336220DC">
            <w:pPr>
              <w:pStyle w:val="21"/>
              <w:keepNext w:val="0"/>
              <w:keepLines w:val="0"/>
              <w:pageBreakBefore w:val="0"/>
              <w:widowControl/>
              <w:kinsoku/>
              <w:wordWrap/>
              <w:overflowPunct/>
              <w:topLinePunct w:val="0"/>
              <w:autoSpaceDE/>
              <w:autoSpaceDN/>
              <w:bidi w:val="0"/>
              <w:adjustRightInd/>
              <w:snapToGrid/>
              <w:spacing w:beforeLines="0" w:afterLines="0" w:line="312"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bCs w:val="0"/>
                <w:color w:val="auto"/>
                <w:kern w:val="0"/>
                <w:sz w:val="24"/>
                <w:szCs w:val="24"/>
                <w:lang w:val="en-US" w:eastAsia="zh-CN" w:bidi="ar"/>
              </w:rPr>
              <w:t>投标人提供</w:t>
            </w:r>
            <w:r>
              <w:rPr>
                <w:rFonts w:hint="eastAsia" w:ascii="仿宋_GB2312" w:hAnsi="仿宋_GB2312" w:eastAsia="仿宋_GB2312" w:cs="仿宋_GB2312"/>
                <w:color w:val="auto"/>
                <w:kern w:val="2"/>
                <w:sz w:val="24"/>
                <w:szCs w:val="24"/>
                <w:lang w:val="en-US" w:eastAsia="zh-CN" w:bidi="ar-SA"/>
              </w:rPr>
              <w:t>设计进度控制保障方案，</w:t>
            </w:r>
            <w:r>
              <w:rPr>
                <w:rFonts w:hint="eastAsia" w:ascii="仿宋_GB2312" w:hAnsi="仿宋_GB2312" w:eastAsia="仿宋_GB2312" w:cs="仿宋_GB2312"/>
                <w:bCs w:val="0"/>
                <w:color w:val="auto"/>
                <w:kern w:val="0"/>
                <w:sz w:val="24"/>
                <w:szCs w:val="24"/>
                <w:lang w:val="en-US" w:eastAsia="zh-CN" w:bidi="ar"/>
              </w:rPr>
              <w:t>方案应</w:t>
            </w:r>
            <w:r>
              <w:rPr>
                <w:rFonts w:hint="eastAsia" w:ascii="仿宋_GB2312" w:hAnsi="仿宋_GB2312" w:eastAsia="仿宋_GB2312" w:cs="仿宋_GB2312"/>
                <w:color w:val="auto"/>
                <w:kern w:val="2"/>
                <w:sz w:val="24"/>
                <w:szCs w:val="24"/>
                <w:lang w:val="en-US" w:eastAsia="zh-CN" w:bidi="ar-SA"/>
              </w:rPr>
              <w:t>包含但不限于①进度目标及进度安排；②进度控制组织措施；③进度控制管理措施。</w:t>
            </w:r>
            <w:r>
              <w:rPr>
                <w:rFonts w:hint="eastAsia" w:ascii="仿宋_GB2312" w:hAnsi="仿宋_GB2312" w:eastAsia="仿宋_GB2312" w:cs="仿宋_GB2312"/>
                <w:bCs w:val="0"/>
                <w:color w:val="auto"/>
                <w:kern w:val="0"/>
                <w:sz w:val="24"/>
                <w:szCs w:val="24"/>
                <w:lang w:val="en-US" w:eastAsia="zh-CN" w:bidi="ar"/>
              </w:rPr>
              <w:t>所提供</w:t>
            </w:r>
            <w:r>
              <w:rPr>
                <w:rFonts w:hint="eastAsia" w:ascii="仿宋_GB2312" w:hAnsi="仿宋_GB2312" w:eastAsia="仿宋_GB2312" w:cs="仿宋_GB2312"/>
                <w:color w:val="auto"/>
                <w:kern w:val="2"/>
                <w:sz w:val="24"/>
                <w:szCs w:val="24"/>
                <w:lang w:val="en-US" w:eastAsia="zh-CN" w:bidi="ar-SA"/>
              </w:rPr>
              <w:t>方案内容与要点相符、且内容具体可行</w:t>
            </w:r>
            <w:r>
              <w:rPr>
                <w:rFonts w:hint="eastAsia" w:ascii="仿宋_GB2312" w:hAnsi="仿宋_GB2312" w:eastAsia="仿宋_GB2312" w:cs="仿宋_GB2312"/>
                <w:color w:val="auto"/>
                <w:kern w:val="0"/>
                <w:sz w:val="24"/>
                <w:szCs w:val="24"/>
                <w:lang w:val="en-US" w:eastAsia="zh-CN" w:bidi="ar"/>
              </w:rPr>
              <w:t>，有提供的得3分，未提供不得分。</w:t>
            </w:r>
          </w:p>
        </w:tc>
      </w:tr>
      <w:tr w14:paraId="0A1BF85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950" w:hRule="atLeast"/>
        </w:trPr>
        <w:tc>
          <w:tcPr>
            <w:tcW w:w="1100" w:type="dxa"/>
            <w:vMerge w:val="continue"/>
            <w:vAlign w:val="center"/>
          </w:tcPr>
          <w:p w14:paraId="134F5B2F">
            <w:pPr>
              <w:keepNext w:val="0"/>
              <w:keepLines w:val="0"/>
              <w:pageBreakBefore w:val="0"/>
              <w:kinsoku/>
              <w:wordWrap/>
              <w:overflowPunct/>
              <w:topLinePunct w:val="0"/>
              <w:bidi w:val="0"/>
              <w:spacing w:line="312" w:lineRule="auto"/>
              <w:ind w:left="28" w:leftChars="10" w:right="28" w:rightChars="10"/>
              <w:jc w:val="center"/>
              <w:textAlignment w:val="auto"/>
              <w:rPr>
                <w:rFonts w:hint="eastAsia" w:ascii="仿宋_GB2312" w:hAnsi="仿宋_GB2312" w:eastAsia="仿宋_GB2312" w:cs="仿宋_GB2312"/>
                <w:color w:val="auto"/>
                <w:sz w:val="24"/>
                <w:szCs w:val="24"/>
              </w:rPr>
            </w:pPr>
          </w:p>
        </w:tc>
        <w:tc>
          <w:tcPr>
            <w:tcW w:w="1166" w:type="dxa"/>
            <w:tcBorders>
              <w:top w:val="single" w:color="auto" w:sz="4" w:space="0"/>
              <w:left w:val="single" w:color="auto" w:sz="4" w:space="0"/>
              <w:bottom w:val="single" w:color="auto" w:sz="4" w:space="0"/>
            </w:tcBorders>
            <w:vAlign w:val="center"/>
          </w:tcPr>
          <w:p w14:paraId="0534F7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设计</w:t>
            </w:r>
          </w:p>
          <w:p w14:paraId="2C6131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整体质量</w:t>
            </w:r>
          </w:p>
          <w:p w14:paraId="6F7400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eastAsia" w:ascii="仿宋_GB2312" w:hAnsi="仿宋_GB2312" w:eastAsia="仿宋_GB2312" w:cs="仿宋_GB2312"/>
                <w:bCs/>
                <w:color w:val="auto"/>
                <w:sz w:val="24"/>
                <w:szCs w:val="24"/>
                <w:lang w:val="zh-CN"/>
              </w:rPr>
            </w:pPr>
            <w:r>
              <w:rPr>
                <w:rFonts w:hint="eastAsia" w:ascii="仿宋_GB2312" w:hAnsi="仿宋_GB2312" w:eastAsia="仿宋_GB2312" w:cs="仿宋_GB2312"/>
                <w:bCs/>
                <w:color w:val="auto"/>
                <w:sz w:val="24"/>
                <w:szCs w:val="24"/>
                <w:lang w:val="en-US" w:eastAsia="zh-CN"/>
              </w:rPr>
              <w:t>控制方案</w:t>
            </w:r>
          </w:p>
        </w:tc>
        <w:tc>
          <w:tcPr>
            <w:tcW w:w="617" w:type="dxa"/>
            <w:tcBorders>
              <w:right w:val="single" w:color="auto" w:sz="4" w:space="0"/>
            </w:tcBorders>
            <w:vAlign w:val="center"/>
          </w:tcPr>
          <w:p w14:paraId="18E589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仿宋_GB2312" w:hAnsi="仿宋_GB2312" w:eastAsia="仿宋_GB2312" w:cs="仿宋_GB2312"/>
                <w:bCs/>
                <w:color w:val="auto"/>
                <w:sz w:val="24"/>
                <w:szCs w:val="24"/>
                <w:lang w:val="en-US"/>
              </w:rPr>
            </w:pPr>
            <w:r>
              <w:rPr>
                <w:rFonts w:hint="eastAsia" w:ascii="仿宋_GB2312" w:hAnsi="仿宋_GB2312" w:eastAsia="仿宋_GB2312" w:cs="仿宋_GB2312"/>
                <w:bCs/>
                <w:color w:val="auto"/>
                <w:sz w:val="24"/>
                <w:szCs w:val="24"/>
                <w:lang w:val="en-US" w:eastAsia="zh-CN"/>
              </w:rPr>
              <w:t>3</w:t>
            </w:r>
          </w:p>
        </w:tc>
        <w:tc>
          <w:tcPr>
            <w:tcW w:w="6786" w:type="dxa"/>
            <w:tcBorders>
              <w:left w:val="single" w:color="auto" w:sz="4" w:space="0"/>
            </w:tcBorders>
            <w:vAlign w:val="top"/>
          </w:tcPr>
          <w:p w14:paraId="620A8107">
            <w:pPr>
              <w:pStyle w:val="21"/>
              <w:keepNext w:val="0"/>
              <w:keepLines w:val="0"/>
              <w:pageBreakBefore w:val="0"/>
              <w:widowControl/>
              <w:kinsoku/>
              <w:wordWrap/>
              <w:overflowPunct/>
              <w:topLinePunct w:val="0"/>
              <w:autoSpaceDE/>
              <w:autoSpaceDN/>
              <w:bidi w:val="0"/>
              <w:adjustRightInd/>
              <w:snapToGrid/>
              <w:spacing w:beforeLines="0" w:afterLines="0" w:line="312" w:lineRule="auto"/>
              <w:jc w:val="left"/>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bCs w:val="0"/>
                <w:color w:val="auto"/>
                <w:kern w:val="0"/>
                <w:sz w:val="24"/>
                <w:szCs w:val="24"/>
                <w:lang w:val="en-US" w:eastAsia="zh-CN" w:bidi="ar"/>
              </w:rPr>
              <w:t>投标人提供</w:t>
            </w:r>
            <w:r>
              <w:rPr>
                <w:rFonts w:hint="eastAsia" w:ascii="仿宋_GB2312" w:hAnsi="仿宋_GB2312" w:eastAsia="仿宋_GB2312" w:cs="仿宋_GB2312"/>
                <w:color w:val="auto"/>
                <w:kern w:val="2"/>
                <w:sz w:val="24"/>
                <w:szCs w:val="24"/>
                <w:lang w:val="en-US" w:eastAsia="zh-CN" w:bidi="ar-SA"/>
              </w:rPr>
              <w:t>设计整体质量控制方案，</w:t>
            </w:r>
            <w:r>
              <w:rPr>
                <w:rFonts w:hint="eastAsia" w:ascii="仿宋_GB2312" w:hAnsi="仿宋_GB2312" w:eastAsia="仿宋_GB2312" w:cs="仿宋_GB2312"/>
                <w:bCs w:val="0"/>
                <w:color w:val="auto"/>
                <w:kern w:val="0"/>
                <w:sz w:val="24"/>
                <w:szCs w:val="24"/>
                <w:lang w:val="en-US" w:eastAsia="zh-CN" w:bidi="ar"/>
              </w:rPr>
              <w:t>方案应</w:t>
            </w:r>
            <w:r>
              <w:rPr>
                <w:rFonts w:hint="eastAsia" w:ascii="仿宋_GB2312" w:hAnsi="仿宋_GB2312" w:eastAsia="仿宋_GB2312" w:cs="仿宋_GB2312"/>
                <w:color w:val="auto"/>
                <w:kern w:val="2"/>
                <w:sz w:val="24"/>
                <w:szCs w:val="24"/>
                <w:lang w:val="en-US" w:eastAsia="zh-CN" w:bidi="ar-SA"/>
              </w:rPr>
              <w:t>包含但不限于①制定质量保证体系；②设计方案评审制度；③设计文件管理等。</w:t>
            </w:r>
            <w:r>
              <w:rPr>
                <w:rFonts w:hint="eastAsia" w:ascii="仿宋_GB2312" w:hAnsi="仿宋_GB2312" w:eastAsia="仿宋_GB2312" w:cs="仿宋_GB2312"/>
                <w:bCs w:val="0"/>
                <w:color w:val="auto"/>
                <w:kern w:val="0"/>
                <w:sz w:val="24"/>
                <w:szCs w:val="24"/>
                <w:lang w:val="en-US" w:eastAsia="zh-CN" w:bidi="ar"/>
              </w:rPr>
              <w:t>所提供</w:t>
            </w:r>
            <w:r>
              <w:rPr>
                <w:rFonts w:hint="eastAsia" w:ascii="仿宋_GB2312" w:hAnsi="仿宋_GB2312" w:eastAsia="仿宋_GB2312" w:cs="仿宋_GB2312"/>
                <w:color w:val="auto"/>
                <w:kern w:val="2"/>
                <w:sz w:val="24"/>
                <w:szCs w:val="24"/>
                <w:lang w:val="en-US" w:eastAsia="zh-CN" w:bidi="ar-SA"/>
              </w:rPr>
              <w:t>方案内容与要点相符、且内容具体可行</w:t>
            </w:r>
            <w:r>
              <w:rPr>
                <w:rFonts w:hint="eastAsia" w:ascii="仿宋_GB2312" w:hAnsi="仿宋_GB2312" w:eastAsia="仿宋_GB2312" w:cs="仿宋_GB2312"/>
                <w:color w:val="auto"/>
                <w:kern w:val="0"/>
                <w:sz w:val="24"/>
                <w:szCs w:val="24"/>
                <w:lang w:val="en-US" w:eastAsia="zh-CN" w:bidi="ar"/>
              </w:rPr>
              <w:t>，有提供的得3分，未提供不得分。</w:t>
            </w:r>
          </w:p>
        </w:tc>
      </w:tr>
      <w:tr w14:paraId="5798C41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484" w:hRule="atLeast"/>
        </w:trPr>
        <w:tc>
          <w:tcPr>
            <w:tcW w:w="1100" w:type="dxa"/>
            <w:vMerge w:val="continue"/>
            <w:vAlign w:val="center"/>
          </w:tcPr>
          <w:p w14:paraId="1B1F4017">
            <w:pPr>
              <w:keepNext w:val="0"/>
              <w:keepLines w:val="0"/>
              <w:pageBreakBefore w:val="0"/>
              <w:kinsoku/>
              <w:wordWrap/>
              <w:overflowPunct/>
              <w:topLinePunct w:val="0"/>
              <w:bidi w:val="0"/>
              <w:spacing w:line="312" w:lineRule="auto"/>
              <w:ind w:left="28" w:leftChars="10" w:right="28" w:rightChars="10"/>
              <w:jc w:val="center"/>
              <w:textAlignment w:val="auto"/>
              <w:rPr>
                <w:rFonts w:hint="eastAsia" w:ascii="仿宋_GB2312" w:hAnsi="仿宋_GB2312" w:eastAsia="仿宋_GB2312" w:cs="仿宋_GB2312"/>
                <w:color w:val="auto"/>
                <w:sz w:val="24"/>
                <w:szCs w:val="24"/>
              </w:rPr>
            </w:pPr>
          </w:p>
        </w:tc>
        <w:tc>
          <w:tcPr>
            <w:tcW w:w="1166" w:type="dxa"/>
            <w:tcBorders>
              <w:top w:val="single" w:color="auto" w:sz="4" w:space="0"/>
              <w:left w:val="single" w:color="auto" w:sz="4" w:space="0"/>
            </w:tcBorders>
            <w:vAlign w:val="center"/>
          </w:tcPr>
          <w:p w14:paraId="4877EE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应急</w:t>
            </w:r>
          </w:p>
          <w:p w14:paraId="378E88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措施方案</w:t>
            </w:r>
          </w:p>
        </w:tc>
        <w:tc>
          <w:tcPr>
            <w:tcW w:w="617" w:type="dxa"/>
            <w:tcBorders>
              <w:right w:val="single" w:color="auto" w:sz="4" w:space="0"/>
            </w:tcBorders>
            <w:vAlign w:val="center"/>
          </w:tcPr>
          <w:p w14:paraId="2CE1CF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3</w:t>
            </w:r>
          </w:p>
        </w:tc>
        <w:tc>
          <w:tcPr>
            <w:tcW w:w="6786" w:type="dxa"/>
            <w:tcBorders>
              <w:left w:val="single" w:color="auto" w:sz="4" w:space="0"/>
            </w:tcBorders>
            <w:vAlign w:val="top"/>
          </w:tcPr>
          <w:p w14:paraId="4BBEB961">
            <w:pPr>
              <w:pStyle w:val="21"/>
              <w:keepNext w:val="0"/>
              <w:keepLines w:val="0"/>
              <w:pageBreakBefore w:val="0"/>
              <w:widowControl/>
              <w:kinsoku/>
              <w:wordWrap/>
              <w:overflowPunct/>
              <w:topLinePunct w:val="0"/>
              <w:autoSpaceDE/>
              <w:autoSpaceDN/>
              <w:bidi w:val="0"/>
              <w:adjustRightInd/>
              <w:snapToGrid/>
              <w:spacing w:beforeLines="0" w:afterLines="0" w:line="312"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bCs w:val="0"/>
                <w:color w:val="auto"/>
                <w:kern w:val="0"/>
                <w:sz w:val="24"/>
                <w:szCs w:val="24"/>
                <w:lang w:val="en-US" w:eastAsia="zh-CN" w:bidi="ar"/>
              </w:rPr>
              <w:t>初步设计需</w:t>
            </w:r>
            <w:r>
              <w:rPr>
                <w:rFonts w:hint="eastAsia" w:ascii="仿宋_GB2312" w:hAnsi="仿宋_GB2312" w:eastAsia="仿宋_GB2312" w:cs="仿宋_GB2312"/>
                <w:color w:val="auto"/>
                <w:kern w:val="2"/>
                <w:sz w:val="24"/>
                <w:szCs w:val="24"/>
                <w:lang w:val="en-US" w:eastAsia="zh-CN" w:bidi="ar-SA"/>
              </w:rPr>
              <w:t>提供的应急措施方案，</w:t>
            </w:r>
            <w:r>
              <w:rPr>
                <w:rFonts w:hint="eastAsia" w:ascii="仿宋_GB2312" w:hAnsi="仿宋_GB2312" w:eastAsia="仿宋_GB2312" w:cs="仿宋_GB2312"/>
                <w:bCs w:val="0"/>
                <w:color w:val="auto"/>
                <w:kern w:val="0"/>
                <w:sz w:val="24"/>
                <w:szCs w:val="24"/>
                <w:lang w:val="en-US" w:eastAsia="zh-CN" w:bidi="ar"/>
              </w:rPr>
              <w:t>方案应</w:t>
            </w:r>
            <w:r>
              <w:rPr>
                <w:rFonts w:hint="eastAsia" w:ascii="仿宋_GB2312" w:hAnsi="仿宋_GB2312" w:eastAsia="仿宋_GB2312" w:cs="仿宋_GB2312"/>
                <w:color w:val="auto"/>
                <w:kern w:val="2"/>
                <w:sz w:val="24"/>
                <w:szCs w:val="24"/>
                <w:lang w:val="en-US" w:eastAsia="zh-CN" w:bidi="ar-SA"/>
              </w:rPr>
              <w:t>包括但不限于①应急预案；②应急措施等。</w:t>
            </w:r>
            <w:r>
              <w:rPr>
                <w:rFonts w:hint="eastAsia" w:ascii="仿宋_GB2312" w:hAnsi="仿宋_GB2312" w:eastAsia="仿宋_GB2312" w:cs="仿宋_GB2312"/>
                <w:bCs w:val="0"/>
                <w:color w:val="auto"/>
                <w:kern w:val="0"/>
                <w:sz w:val="24"/>
                <w:szCs w:val="24"/>
                <w:lang w:val="en-US" w:eastAsia="zh-CN" w:bidi="ar"/>
              </w:rPr>
              <w:t>所提供</w:t>
            </w:r>
            <w:r>
              <w:rPr>
                <w:rFonts w:hint="eastAsia" w:ascii="仿宋_GB2312" w:hAnsi="仿宋_GB2312" w:eastAsia="仿宋_GB2312" w:cs="仿宋_GB2312"/>
                <w:color w:val="auto"/>
                <w:kern w:val="2"/>
                <w:sz w:val="24"/>
                <w:szCs w:val="24"/>
                <w:lang w:val="en-US" w:eastAsia="zh-CN" w:bidi="ar-SA"/>
              </w:rPr>
              <w:t>方案内容与要点相符、且内容具体可行。</w:t>
            </w:r>
          </w:p>
        </w:tc>
      </w:tr>
      <w:tr w14:paraId="01A5F8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257" w:hRule="atLeast"/>
        </w:trPr>
        <w:tc>
          <w:tcPr>
            <w:tcW w:w="1100" w:type="dxa"/>
            <w:vMerge w:val="continue"/>
            <w:vAlign w:val="center"/>
          </w:tcPr>
          <w:p w14:paraId="7FEEF2E2">
            <w:pPr>
              <w:keepNext w:val="0"/>
              <w:keepLines w:val="0"/>
              <w:pageBreakBefore w:val="0"/>
              <w:kinsoku/>
              <w:wordWrap/>
              <w:overflowPunct/>
              <w:topLinePunct w:val="0"/>
              <w:bidi w:val="0"/>
              <w:spacing w:line="312" w:lineRule="auto"/>
              <w:ind w:left="28" w:leftChars="10" w:right="28" w:rightChars="10"/>
              <w:jc w:val="center"/>
              <w:textAlignment w:val="auto"/>
              <w:rPr>
                <w:rFonts w:hint="eastAsia" w:ascii="仿宋_GB2312" w:hAnsi="仿宋_GB2312" w:eastAsia="仿宋_GB2312" w:cs="仿宋_GB2312"/>
                <w:color w:val="auto"/>
                <w:sz w:val="24"/>
                <w:szCs w:val="24"/>
              </w:rPr>
            </w:pPr>
          </w:p>
        </w:tc>
        <w:tc>
          <w:tcPr>
            <w:tcW w:w="1166" w:type="dxa"/>
            <w:tcBorders>
              <w:top w:val="single" w:color="auto" w:sz="4" w:space="0"/>
              <w:left w:val="single" w:color="auto" w:sz="4" w:space="0"/>
              <w:bottom w:val="single" w:color="auto" w:sz="4" w:space="0"/>
            </w:tcBorders>
            <w:vAlign w:val="center"/>
          </w:tcPr>
          <w:p w14:paraId="5AA8E8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eastAsia" w:ascii="仿宋_GB2312" w:hAnsi="仿宋_GB2312" w:eastAsia="仿宋_GB2312" w:cs="仿宋_GB2312"/>
                <w:bCs/>
                <w:color w:val="auto"/>
                <w:sz w:val="24"/>
                <w:szCs w:val="24"/>
                <w:lang w:val="en-US" w:eastAsia="zh-CN"/>
              </w:rPr>
            </w:pPr>
            <w:r>
              <w:rPr>
                <w:rFonts w:hint="default" w:ascii="仿宋_GB2312" w:hAnsi="仿宋_GB2312" w:eastAsia="仿宋_GB2312" w:cs="仿宋_GB2312"/>
                <w:bCs/>
                <w:color w:val="auto"/>
                <w:sz w:val="24"/>
                <w:szCs w:val="24"/>
                <w:lang w:val="en-US" w:eastAsia="zh-CN"/>
              </w:rPr>
              <w:t>工程造价分析方案</w:t>
            </w:r>
          </w:p>
        </w:tc>
        <w:tc>
          <w:tcPr>
            <w:tcW w:w="617" w:type="dxa"/>
            <w:tcBorders>
              <w:bottom w:val="single" w:color="auto" w:sz="4" w:space="0"/>
              <w:right w:val="single" w:color="auto" w:sz="4" w:space="0"/>
            </w:tcBorders>
            <w:vAlign w:val="center"/>
          </w:tcPr>
          <w:p w14:paraId="27BEEB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3</w:t>
            </w:r>
          </w:p>
        </w:tc>
        <w:tc>
          <w:tcPr>
            <w:tcW w:w="6786" w:type="dxa"/>
            <w:tcBorders>
              <w:left w:val="single" w:color="auto" w:sz="4" w:space="0"/>
              <w:bottom w:val="single" w:color="auto" w:sz="4" w:space="0"/>
            </w:tcBorders>
            <w:vAlign w:val="top"/>
          </w:tcPr>
          <w:p w14:paraId="3AC75776">
            <w:pPr>
              <w:pStyle w:val="21"/>
              <w:keepNext w:val="0"/>
              <w:keepLines w:val="0"/>
              <w:pageBreakBefore w:val="0"/>
              <w:widowControl w:val="0"/>
              <w:kinsoku/>
              <w:wordWrap w:val="0"/>
              <w:overflowPunct/>
              <w:topLinePunct w:val="0"/>
              <w:autoSpaceDE/>
              <w:autoSpaceDN/>
              <w:bidi w:val="0"/>
              <w:adjustRightInd/>
              <w:snapToGrid/>
              <w:spacing w:beforeLines="-2147483648" w:after="100" w:afterLines="-2147483648" w:afterAutospacing="1" w:line="312"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bCs w:val="0"/>
                <w:color w:val="auto"/>
                <w:kern w:val="0"/>
                <w:sz w:val="24"/>
                <w:szCs w:val="24"/>
                <w:lang w:val="en-US" w:eastAsia="zh-CN" w:bidi="ar"/>
              </w:rPr>
              <w:t>投标人</w:t>
            </w:r>
            <w:r>
              <w:rPr>
                <w:rFonts w:hint="eastAsia" w:ascii="仿宋_GB2312" w:hAnsi="仿宋_GB2312" w:eastAsia="仿宋_GB2312" w:cs="仿宋_GB2312"/>
                <w:bCs/>
                <w:color w:val="auto"/>
                <w:sz w:val="24"/>
                <w:szCs w:val="24"/>
                <w:highlight w:val="none"/>
                <w:lang w:val="en-US" w:eastAsia="zh-CN"/>
              </w:rPr>
              <w:t>提供的技术经济分析指标</w:t>
            </w:r>
            <w:r>
              <w:rPr>
                <w:rFonts w:hint="eastAsia" w:ascii="仿宋_GB2312" w:hAnsi="仿宋_GB2312" w:eastAsia="仿宋_GB2312" w:cs="仿宋_GB2312"/>
                <w:color w:val="auto"/>
                <w:kern w:val="2"/>
                <w:sz w:val="24"/>
                <w:szCs w:val="24"/>
                <w:lang w:val="en-US" w:eastAsia="zh-CN" w:bidi="ar-SA"/>
              </w:rPr>
              <w:t>，</w:t>
            </w:r>
            <w:r>
              <w:rPr>
                <w:rFonts w:hint="eastAsia" w:ascii="仿宋_GB2312" w:hAnsi="仿宋_GB2312" w:eastAsia="仿宋_GB2312" w:cs="仿宋_GB2312"/>
                <w:bCs w:val="0"/>
                <w:color w:val="auto"/>
                <w:kern w:val="0"/>
                <w:sz w:val="24"/>
                <w:szCs w:val="24"/>
                <w:lang w:val="en-US" w:eastAsia="zh-CN" w:bidi="ar"/>
              </w:rPr>
              <w:t>方案应</w:t>
            </w:r>
            <w:r>
              <w:rPr>
                <w:rFonts w:hint="eastAsia" w:ascii="仿宋_GB2312" w:hAnsi="仿宋_GB2312" w:eastAsia="仿宋_GB2312" w:cs="仿宋_GB2312"/>
                <w:bCs/>
                <w:color w:val="auto"/>
                <w:sz w:val="24"/>
                <w:szCs w:val="24"/>
                <w:highlight w:val="none"/>
                <w:lang w:val="en-US" w:eastAsia="zh-CN"/>
              </w:rPr>
              <w:t>包含但不限于①经济效益（是否考虑造价节约成本）；②环境效益（是否采用环保材料</w:t>
            </w:r>
            <w:r>
              <w:rPr>
                <w:rFonts w:hint="eastAsia" w:ascii="仿宋_GB2312" w:hAnsi="仿宋_GB2312" w:eastAsia="仿宋_GB2312" w:cs="仿宋_GB2312"/>
                <w:color w:val="auto"/>
                <w:kern w:val="2"/>
                <w:sz w:val="24"/>
                <w:szCs w:val="24"/>
                <w:lang w:val="en-US" w:eastAsia="zh-CN" w:bidi="ar-SA"/>
              </w:rPr>
              <w:t>等，</w:t>
            </w:r>
            <w:r>
              <w:rPr>
                <w:rFonts w:hint="eastAsia" w:ascii="仿宋_GB2312" w:hAnsi="仿宋_GB2312" w:eastAsia="仿宋_GB2312" w:cs="仿宋_GB2312"/>
                <w:bCs w:val="0"/>
                <w:color w:val="auto"/>
                <w:kern w:val="0"/>
                <w:sz w:val="24"/>
                <w:szCs w:val="24"/>
                <w:lang w:val="en-US" w:eastAsia="zh-CN" w:bidi="ar"/>
              </w:rPr>
              <w:t>所提供</w:t>
            </w:r>
            <w:r>
              <w:rPr>
                <w:rFonts w:hint="eastAsia" w:ascii="仿宋_GB2312" w:hAnsi="仿宋_GB2312" w:eastAsia="仿宋_GB2312" w:cs="仿宋_GB2312"/>
                <w:color w:val="auto"/>
                <w:kern w:val="2"/>
                <w:sz w:val="24"/>
                <w:szCs w:val="24"/>
                <w:lang w:val="en-US" w:eastAsia="zh-CN" w:bidi="ar-SA"/>
              </w:rPr>
              <w:t>方案内容与要点相符、且内容具体可行。</w:t>
            </w:r>
            <w:r>
              <w:rPr>
                <w:rFonts w:hint="eastAsia" w:ascii="仿宋_GB2312" w:hAnsi="仿宋_GB2312" w:eastAsia="仿宋_GB2312" w:cs="仿宋_GB2312"/>
                <w:color w:val="auto"/>
                <w:kern w:val="0"/>
                <w:sz w:val="24"/>
                <w:szCs w:val="24"/>
                <w:lang w:val="en-US" w:eastAsia="zh-CN" w:bidi="ar"/>
              </w:rPr>
              <w:t>，有提供的得3分，未提供不得分。</w:t>
            </w:r>
          </w:p>
        </w:tc>
      </w:tr>
      <w:tr w14:paraId="7893FA9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191" w:hRule="atLeast"/>
        </w:trPr>
        <w:tc>
          <w:tcPr>
            <w:tcW w:w="1100" w:type="dxa"/>
            <w:vMerge w:val="continue"/>
            <w:tcBorders>
              <w:bottom w:val="single" w:color="auto" w:sz="4" w:space="0"/>
            </w:tcBorders>
            <w:vAlign w:val="center"/>
          </w:tcPr>
          <w:p w14:paraId="182D0AB9">
            <w:pPr>
              <w:keepNext w:val="0"/>
              <w:keepLines w:val="0"/>
              <w:pageBreakBefore w:val="0"/>
              <w:kinsoku/>
              <w:wordWrap/>
              <w:overflowPunct/>
              <w:topLinePunct w:val="0"/>
              <w:bidi w:val="0"/>
              <w:spacing w:line="312" w:lineRule="auto"/>
              <w:ind w:left="28" w:leftChars="10" w:right="28" w:rightChars="10"/>
              <w:jc w:val="center"/>
              <w:textAlignment w:val="auto"/>
              <w:rPr>
                <w:rFonts w:hint="eastAsia" w:ascii="仿宋_GB2312" w:hAnsi="仿宋_GB2312" w:eastAsia="仿宋_GB2312" w:cs="仿宋_GB2312"/>
                <w:color w:val="auto"/>
                <w:sz w:val="24"/>
                <w:szCs w:val="24"/>
              </w:rPr>
            </w:pPr>
          </w:p>
        </w:tc>
        <w:tc>
          <w:tcPr>
            <w:tcW w:w="1166" w:type="dxa"/>
            <w:tcBorders>
              <w:top w:val="single" w:color="auto" w:sz="4" w:space="0"/>
              <w:left w:val="single" w:color="auto" w:sz="4" w:space="0"/>
              <w:bottom w:val="single" w:color="auto" w:sz="4" w:space="0"/>
            </w:tcBorders>
            <w:vAlign w:val="center"/>
          </w:tcPr>
          <w:p w14:paraId="328C84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服务承诺函</w:t>
            </w:r>
          </w:p>
        </w:tc>
        <w:tc>
          <w:tcPr>
            <w:tcW w:w="617" w:type="dxa"/>
            <w:tcBorders>
              <w:top w:val="single" w:color="auto" w:sz="4" w:space="0"/>
              <w:right w:val="single" w:color="auto" w:sz="4" w:space="0"/>
            </w:tcBorders>
            <w:vAlign w:val="center"/>
          </w:tcPr>
          <w:p w14:paraId="1C7E42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2</w:t>
            </w:r>
          </w:p>
        </w:tc>
        <w:tc>
          <w:tcPr>
            <w:tcW w:w="6786" w:type="dxa"/>
            <w:tcBorders>
              <w:top w:val="single" w:color="auto" w:sz="4" w:space="0"/>
              <w:left w:val="single" w:color="auto" w:sz="4" w:space="0"/>
            </w:tcBorders>
            <w:vAlign w:val="top"/>
          </w:tcPr>
          <w:p w14:paraId="7B015921">
            <w:pPr>
              <w:pStyle w:val="21"/>
              <w:keepNext w:val="0"/>
              <w:keepLines w:val="0"/>
              <w:pageBreakBefore w:val="0"/>
              <w:widowControl w:val="0"/>
              <w:kinsoku/>
              <w:wordWrap w:val="0"/>
              <w:overflowPunct/>
              <w:topLinePunct w:val="0"/>
              <w:autoSpaceDE/>
              <w:autoSpaceDN/>
              <w:bidi w:val="0"/>
              <w:adjustRightInd/>
              <w:snapToGrid/>
              <w:spacing w:beforeLines="-2147483648" w:after="100" w:afterLines="-2147483648" w:afterAutospacing="1" w:line="312" w:lineRule="auto"/>
              <w:jc w:val="left"/>
              <w:textAlignment w:val="auto"/>
              <w:rPr>
                <w:rFonts w:hint="default"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val="en-US" w:eastAsia="zh-CN"/>
              </w:rPr>
              <w:t>投标人提供“在本项目服务期间，采购人通过电话、书面等方式提出现场服务需求，投标人技术人员2个小时内抵达采购人指定现场开展技术服务工作（不可抗力等客观因素除外）”的承诺函得2分，未提供不得分。</w:t>
            </w:r>
          </w:p>
        </w:tc>
      </w:tr>
      <w:tr w14:paraId="2D7315E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920" w:hRule="atLeast"/>
        </w:trPr>
        <w:tc>
          <w:tcPr>
            <w:tcW w:w="1100" w:type="dxa"/>
            <w:tcBorders>
              <w:top w:val="single" w:color="auto" w:sz="4" w:space="0"/>
            </w:tcBorders>
            <w:vAlign w:val="center"/>
          </w:tcPr>
          <w:p w14:paraId="4E52E8E3">
            <w:pPr>
              <w:keepNext w:val="0"/>
              <w:keepLines w:val="0"/>
              <w:pageBreakBefore w:val="0"/>
              <w:kinsoku/>
              <w:wordWrap/>
              <w:overflowPunct/>
              <w:topLinePunct w:val="0"/>
              <w:bidi w:val="0"/>
              <w:spacing w:line="312" w:lineRule="auto"/>
              <w:ind w:left="28" w:leftChars="10" w:right="28" w:rightChars="10"/>
              <w:jc w:val="center"/>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价格</w:t>
            </w:r>
            <w:r>
              <w:rPr>
                <w:rFonts w:hint="eastAsia" w:ascii="仿宋_GB2312" w:hAnsi="仿宋_GB2312" w:eastAsia="仿宋_GB2312" w:cs="仿宋_GB2312"/>
                <w:color w:val="auto"/>
                <w:sz w:val="24"/>
                <w:szCs w:val="24"/>
                <w:lang w:val="en-US" w:eastAsia="zh-CN"/>
              </w:rPr>
              <w:t>部分</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30</w:t>
            </w:r>
            <w:r>
              <w:rPr>
                <w:rFonts w:hint="eastAsia" w:ascii="仿宋_GB2312" w:hAnsi="仿宋_GB2312" w:eastAsia="仿宋_GB2312" w:cs="仿宋_GB2312"/>
                <w:color w:val="auto"/>
                <w:sz w:val="24"/>
                <w:szCs w:val="24"/>
              </w:rPr>
              <w:t>分</w:t>
            </w:r>
            <w:r>
              <w:rPr>
                <w:rFonts w:hint="eastAsia" w:ascii="仿宋_GB2312" w:hAnsi="仿宋_GB2312" w:eastAsia="仿宋_GB2312" w:cs="仿宋_GB2312"/>
                <w:color w:val="auto"/>
                <w:sz w:val="24"/>
                <w:szCs w:val="24"/>
                <w:lang w:eastAsia="zh-CN"/>
              </w:rPr>
              <w:t>）</w:t>
            </w:r>
          </w:p>
        </w:tc>
        <w:tc>
          <w:tcPr>
            <w:tcW w:w="1166" w:type="dxa"/>
            <w:tcBorders>
              <w:top w:val="single" w:color="auto" w:sz="4" w:space="0"/>
              <w:left w:val="single" w:color="auto" w:sz="4" w:space="0"/>
            </w:tcBorders>
            <w:vAlign w:val="center"/>
          </w:tcPr>
          <w:p w14:paraId="73352AE1">
            <w:pPr>
              <w:keepNext w:val="0"/>
              <w:keepLines w:val="0"/>
              <w:pageBreakBefore w:val="0"/>
              <w:kinsoku/>
              <w:wordWrap/>
              <w:overflowPunct/>
              <w:topLinePunct w:val="0"/>
              <w:bidi w:val="0"/>
              <w:spacing w:line="312" w:lineRule="auto"/>
              <w:ind w:left="28" w:leftChars="10" w:right="28" w:rightChars="10"/>
              <w:jc w:val="center"/>
              <w:textAlignment w:val="auto"/>
              <w:rPr>
                <w:rFonts w:hint="eastAsia" w:ascii="仿宋_GB2312" w:hAnsi="仿宋_GB2312" w:eastAsia="仿宋_GB2312" w:cs="仿宋_GB2312"/>
                <w:color w:val="auto"/>
                <w:sz w:val="24"/>
                <w:szCs w:val="24"/>
              </w:rPr>
            </w:pPr>
          </w:p>
        </w:tc>
        <w:tc>
          <w:tcPr>
            <w:tcW w:w="617" w:type="dxa"/>
            <w:tcBorders>
              <w:right w:val="single" w:color="auto" w:sz="4" w:space="0"/>
            </w:tcBorders>
            <w:vAlign w:val="center"/>
          </w:tcPr>
          <w:p w14:paraId="5BB62A8F">
            <w:pPr>
              <w:keepNext w:val="0"/>
              <w:keepLines w:val="0"/>
              <w:pageBreakBefore w:val="0"/>
              <w:kinsoku/>
              <w:wordWrap/>
              <w:overflowPunct/>
              <w:topLinePunct w:val="0"/>
              <w:bidi w:val="0"/>
              <w:spacing w:line="312" w:lineRule="auto"/>
              <w:ind w:left="28" w:leftChars="10" w:right="28" w:rightChars="10"/>
              <w:jc w:val="center"/>
              <w:textAlignment w:val="auto"/>
              <w:rPr>
                <w:rFonts w:hint="default" w:ascii="仿宋_GB2312" w:hAnsi="仿宋_GB2312" w:eastAsia="仿宋_GB2312" w:cs="仿宋_GB2312"/>
                <w:color w:val="auto"/>
                <w:sz w:val="24"/>
                <w:szCs w:val="24"/>
                <w:lang w:val="en-US"/>
              </w:rPr>
            </w:pPr>
            <w:r>
              <w:rPr>
                <w:rFonts w:hint="eastAsia" w:ascii="仿宋_GB2312" w:hAnsi="仿宋_GB2312" w:eastAsia="仿宋_GB2312" w:cs="仿宋_GB2312"/>
                <w:color w:val="auto"/>
                <w:sz w:val="24"/>
                <w:szCs w:val="24"/>
                <w:lang w:val="en-US" w:eastAsia="zh-CN"/>
              </w:rPr>
              <w:t>30</w:t>
            </w:r>
          </w:p>
        </w:tc>
        <w:tc>
          <w:tcPr>
            <w:tcW w:w="6786" w:type="dxa"/>
            <w:tcBorders>
              <w:left w:val="single" w:color="auto" w:sz="4" w:space="0"/>
            </w:tcBorders>
            <w:vAlign w:val="center"/>
          </w:tcPr>
          <w:p w14:paraId="327DFBDE">
            <w:pPr>
              <w:pStyle w:val="19"/>
              <w:keepNext w:val="0"/>
              <w:keepLines w:val="0"/>
              <w:pageBreakBefore w:val="0"/>
              <w:widowControl w:val="0"/>
              <w:kinsoku/>
              <w:wordWrap/>
              <w:overflowPunct/>
              <w:topLinePunct w:val="0"/>
              <w:bidi w:val="0"/>
              <w:snapToGrid/>
              <w:spacing w:line="312" w:lineRule="auto"/>
              <w:textAlignment w:val="auto"/>
              <w:rPr>
                <w:rFonts w:hint="eastAsia" w:ascii="仿宋_GB2312" w:hAnsi="仿宋_GB2312" w:eastAsia="仿宋_GB2312" w:cs="仿宋_GB2312"/>
                <w:color w:val="auto"/>
                <w:sz w:val="24"/>
                <w:szCs w:val="24"/>
              </w:rPr>
            </w:pPr>
            <w:r>
              <w:rPr>
                <w:rFonts w:hint="eastAsia" w:ascii="仿宋_GB2312" w:eastAsia="仿宋_GB2312"/>
                <w:color w:val="auto"/>
                <w:sz w:val="24"/>
                <w:szCs w:val="24"/>
              </w:rPr>
              <w:t>(有效投标人的最低报价／投标人报价)×</w:t>
            </w:r>
            <w:r>
              <w:rPr>
                <w:rFonts w:hint="eastAsia" w:ascii="仿宋_GB2312" w:eastAsia="仿宋_GB2312"/>
                <w:color w:val="auto"/>
                <w:sz w:val="24"/>
                <w:szCs w:val="24"/>
                <w:lang w:val="en-US" w:eastAsia="zh-CN"/>
              </w:rPr>
              <w:t>30</w:t>
            </w:r>
            <w:r>
              <w:rPr>
                <w:rFonts w:hint="eastAsia" w:ascii="仿宋_GB2312" w:eastAsia="仿宋_GB2312"/>
                <w:color w:val="auto"/>
                <w:sz w:val="24"/>
                <w:szCs w:val="24"/>
              </w:rPr>
              <w:t>计算，由此算出各个通过审查的投标人的价格得分(计算分数时四舍五入保留小数点后2位数)。</w:t>
            </w:r>
          </w:p>
        </w:tc>
      </w:tr>
    </w:tbl>
    <w:p w14:paraId="7CD63DE8">
      <w:pPr>
        <w:pStyle w:val="14"/>
        <w:keepNext w:val="0"/>
        <w:keepLines w:val="0"/>
        <w:pageBreakBefore w:val="0"/>
        <w:widowControl/>
        <w:shd w:val="clear" w:color="auto" w:fill="auto"/>
        <w:kinsoku/>
        <w:wordWrap/>
        <w:overflowPunct/>
        <w:topLinePunct w:val="0"/>
        <w:bidi w:val="0"/>
        <w:snapToGrid/>
        <w:spacing w:before="0" w:beforeAutospacing="0" w:after="0" w:afterAutospacing="0" w:line="360" w:lineRule="auto"/>
        <w:ind w:firstLine="643" w:firstLineChars="200"/>
        <w:textAlignment w:val="auto"/>
        <w:rPr>
          <w:rFonts w:hint="eastAsia" w:ascii="仿宋_GB2312" w:hAnsi="仿宋_GB2312" w:eastAsia="仿宋_GB2312" w:cs="仿宋_GB2312"/>
          <w:b/>
          <w:bCs/>
          <w:color w:val="auto"/>
          <w:sz w:val="32"/>
          <w:szCs w:val="32"/>
          <w:shd w:val="clear" w:color="auto" w:fill="auto"/>
          <w:lang w:eastAsia="zh-CN"/>
        </w:rPr>
      </w:pPr>
      <w:r>
        <w:rPr>
          <w:rFonts w:hint="eastAsia" w:ascii="仿宋_GB2312" w:hAnsi="仿宋_GB2312" w:eastAsia="仿宋_GB2312" w:cs="仿宋_GB2312"/>
          <w:b/>
          <w:bCs/>
          <w:color w:val="auto"/>
          <w:sz w:val="32"/>
          <w:szCs w:val="32"/>
          <w:shd w:val="clear" w:color="auto" w:fill="auto"/>
          <w:lang w:val="en-US" w:eastAsia="zh-CN"/>
        </w:rPr>
        <w:t>五、初步</w:t>
      </w:r>
      <w:r>
        <w:rPr>
          <w:rFonts w:hint="eastAsia" w:ascii="仿宋_GB2312" w:hAnsi="仿宋_GB2312" w:eastAsia="仿宋_GB2312" w:cs="仿宋_GB2312"/>
          <w:b/>
          <w:bCs/>
          <w:color w:val="auto"/>
          <w:sz w:val="32"/>
          <w:szCs w:val="32"/>
          <w:shd w:val="clear" w:color="auto" w:fill="auto"/>
          <w:lang w:eastAsia="zh-CN"/>
        </w:rPr>
        <w:t>设计项目要求</w:t>
      </w:r>
    </w:p>
    <w:p w14:paraId="0F1E6AA2">
      <w:pPr>
        <w:pStyle w:val="19"/>
        <w:keepNext w:val="0"/>
        <w:keepLines w:val="0"/>
        <w:pageBreakBefore w:val="0"/>
        <w:numPr>
          <w:ilvl w:val="0"/>
          <w:numId w:val="0"/>
        </w:numPr>
        <w:kinsoku/>
        <w:wordWrap/>
        <w:overflowPunct/>
        <w:topLinePunct w:val="0"/>
        <w:bidi w:val="0"/>
        <w:snapToGrid w:val="0"/>
        <w:spacing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本项目设计服务内容包括编制初步设计文件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含方案设计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项目</w:t>
      </w:r>
      <w:r>
        <w:rPr>
          <w:rFonts w:hint="eastAsia" w:ascii="仿宋_GB2312" w:hAnsi="仿宋_GB2312" w:eastAsia="仿宋_GB2312" w:cs="仿宋_GB2312"/>
          <w:color w:val="auto"/>
          <w:sz w:val="32"/>
          <w:szCs w:val="32"/>
        </w:rPr>
        <w:t>概算、</w:t>
      </w:r>
      <w:r>
        <w:rPr>
          <w:rFonts w:hint="eastAsia" w:ascii="仿宋_GB2312" w:hAnsi="仿宋_GB2312" w:eastAsia="仿宋_GB2312" w:cs="仿宋_GB2312"/>
          <w:color w:val="auto"/>
          <w:sz w:val="32"/>
          <w:szCs w:val="32"/>
          <w:lang w:val="en-US" w:eastAsia="zh-CN"/>
        </w:rPr>
        <w:t>初步</w:t>
      </w:r>
      <w:r>
        <w:rPr>
          <w:rFonts w:hint="eastAsia" w:ascii="仿宋_GB2312" w:hAnsi="仿宋_GB2312" w:eastAsia="仿宋_GB2312" w:cs="仿宋_GB2312"/>
          <w:color w:val="auto"/>
          <w:sz w:val="32"/>
          <w:szCs w:val="32"/>
        </w:rPr>
        <w:t>设计技术交底和</w:t>
      </w:r>
      <w:r>
        <w:rPr>
          <w:rFonts w:hint="eastAsia" w:ascii="仿宋_GB2312" w:hAnsi="仿宋_GB2312" w:eastAsia="仿宋_GB2312" w:cs="仿宋_GB2312"/>
          <w:color w:val="auto"/>
          <w:sz w:val="32"/>
          <w:szCs w:val="32"/>
          <w:lang w:val="en-US" w:eastAsia="zh-CN"/>
        </w:rPr>
        <w:t>配合采购单位委托的第三方进行财审的工作</w:t>
      </w:r>
      <w:r>
        <w:rPr>
          <w:rFonts w:hint="eastAsia" w:ascii="仿宋_GB2312" w:hAnsi="仿宋_GB2312" w:eastAsia="仿宋_GB2312" w:cs="仿宋_GB2312"/>
          <w:color w:val="auto"/>
          <w:sz w:val="32"/>
          <w:szCs w:val="32"/>
          <w:lang w:eastAsia="zh-CN"/>
        </w:rPr>
        <w:t>。</w:t>
      </w:r>
    </w:p>
    <w:p w14:paraId="5F1F7749">
      <w:pPr>
        <w:pStyle w:val="19"/>
        <w:keepNext w:val="0"/>
        <w:keepLines w:val="0"/>
        <w:pageBreakBefore w:val="0"/>
        <w:numPr>
          <w:ilvl w:val="0"/>
          <w:numId w:val="0"/>
        </w:numPr>
        <w:kinsoku/>
        <w:wordWrap/>
        <w:overflowPunct/>
        <w:topLinePunct w:val="0"/>
        <w:bidi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中标人应于合同签订后1</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个工作日提供初步设计文件</w:t>
      </w:r>
      <w:r>
        <w:rPr>
          <w:rFonts w:hint="eastAsia" w:ascii="仿宋_GB2312" w:hAnsi="仿宋_GB2312" w:eastAsia="仿宋_GB2312" w:cs="仿宋_GB2312"/>
          <w:color w:val="auto"/>
          <w:sz w:val="32"/>
          <w:szCs w:val="32"/>
          <w:lang w:val="en-US" w:eastAsia="zh-CN"/>
        </w:rPr>
        <w:t>及</w:t>
      </w:r>
      <w:r>
        <w:rPr>
          <w:rFonts w:hint="eastAsia" w:ascii="仿宋_GB2312" w:hAnsi="仿宋_GB2312" w:eastAsia="仿宋_GB2312" w:cs="仿宋_GB2312"/>
          <w:color w:val="auto"/>
          <w:sz w:val="32"/>
          <w:szCs w:val="32"/>
          <w:lang w:eastAsia="zh-CN"/>
        </w:rPr>
        <w:t>项目</w:t>
      </w:r>
      <w:r>
        <w:rPr>
          <w:rFonts w:hint="eastAsia" w:ascii="仿宋_GB2312" w:hAnsi="仿宋_GB2312" w:eastAsia="仿宋_GB2312" w:cs="仿宋_GB2312"/>
          <w:color w:val="auto"/>
          <w:sz w:val="32"/>
          <w:szCs w:val="32"/>
        </w:rPr>
        <w:t>概算。</w:t>
      </w:r>
    </w:p>
    <w:p w14:paraId="78EF164F">
      <w:pPr>
        <w:pStyle w:val="19"/>
        <w:keepNext w:val="0"/>
        <w:keepLines w:val="0"/>
        <w:pageBreakBefore w:val="0"/>
        <w:numPr>
          <w:ilvl w:val="0"/>
          <w:numId w:val="0"/>
        </w:numPr>
        <w:kinsoku/>
        <w:wordWrap/>
        <w:overflowPunct/>
        <w:topLinePunct w:val="0"/>
        <w:bidi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本项目初步设计编制深度严格执行《建筑工程设计文件编制深度规定（2016 版）》（建质函〔2016〕247 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结构加固设计执行 《既有建筑鉴定与加固通用规范》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GB 55021-2021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、《混凝土结构加固设计规范》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GB 50367</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、《建筑抗震加固技术规程》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JGJ116</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等现行国家强制性规范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概算编制执行福建省现行工程概算定额</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同时满足闽建筑〔2024〕20 号工程总承包管理规定及福建省施工图审查相关要求。</w:t>
      </w:r>
    </w:p>
    <w:p w14:paraId="775B7331">
      <w:pPr>
        <w:pStyle w:val="19"/>
        <w:keepNext w:val="0"/>
        <w:keepLines w:val="0"/>
        <w:pageBreakBefore w:val="0"/>
        <w:numPr>
          <w:ilvl w:val="0"/>
          <w:numId w:val="0"/>
        </w:numPr>
        <w:kinsoku/>
        <w:wordWrap/>
        <w:overflowPunct/>
        <w:topLinePunct w:val="0"/>
        <w:bidi w:val="0"/>
        <w:snapToGrid w:val="0"/>
        <w:spacing w:line="360" w:lineRule="auto"/>
        <w:ind w:firstLine="640" w:firstLineChars="200"/>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vertAlign w:val="baseline"/>
          <w:lang w:val="en-US" w:eastAsia="zh-CN"/>
        </w:rPr>
        <w:t>配合开展财审、后续设计交底、现场指导、设计修改完善等后期设计、施工阶段需要配合的所有工作，确保设计方案符合项目要求及相关规范标准，满足大楼实际使用需求。</w:t>
      </w:r>
    </w:p>
    <w:p w14:paraId="586FDE8E">
      <w:pPr>
        <w:pStyle w:val="19"/>
        <w:keepNext w:val="0"/>
        <w:keepLines w:val="0"/>
        <w:pageBreakBefore w:val="0"/>
        <w:numPr>
          <w:ilvl w:val="0"/>
          <w:numId w:val="0"/>
        </w:numPr>
        <w:kinsoku/>
        <w:wordWrap/>
        <w:overflowPunct/>
        <w:topLinePunct w:val="0"/>
        <w:bidi w:val="0"/>
        <w:snapToGrid w:val="0"/>
        <w:spacing w:line="360" w:lineRule="auto"/>
        <w:ind w:firstLine="640" w:firstLineChars="200"/>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5.本项目初步设计需完成：结构加固初步设计图纸及配套的结构计算书、完整项目概算、加固方案专家论证（如需），满足后续施工图设计、图审、施工招标全部技术依据要求。</w:t>
      </w:r>
    </w:p>
    <w:p w14:paraId="23D166EE">
      <w:pPr>
        <w:pStyle w:val="19"/>
        <w:keepNext w:val="0"/>
        <w:keepLines w:val="0"/>
        <w:pageBreakBefore w:val="0"/>
        <w:numPr>
          <w:ilvl w:val="0"/>
          <w:numId w:val="0"/>
        </w:numPr>
        <w:kinsoku/>
        <w:wordWrap/>
        <w:overflowPunct/>
        <w:topLinePunct w:val="0"/>
        <w:bidi w:val="0"/>
        <w:snapToGrid w:val="0"/>
        <w:spacing w:line="360" w:lineRule="auto"/>
        <w:ind w:firstLine="640" w:firstLineChars="200"/>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6.提交设计说明书、全套初步设计图纸、项目概算等文件纸质版及电子版，本项目提交材料须符合财审及后期设计、施工招标要求，如需要其他材料，中标人须按要求完成。</w:t>
      </w:r>
    </w:p>
    <w:p w14:paraId="6707D809">
      <w:pPr>
        <w:spacing w:line="500" w:lineRule="exact"/>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vertAlign w:val="baseline"/>
          <w:lang w:val="en-US" w:eastAsia="zh-CN"/>
        </w:rPr>
        <w:t>7.</w:t>
      </w:r>
      <w:r>
        <w:rPr>
          <w:rFonts w:hint="eastAsia" w:ascii="仿宋_GB2312" w:hAnsi="仿宋_GB2312" w:eastAsia="仿宋_GB2312" w:cs="仿宋_GB2312"/>
          <w:color w:val="auto"/>
          <w:kern w:val="0"/>
          <w:sz w:val="32"/>
          <w:szCs w:val="32"/>
        </w:rPr>
        <w:t>设计时应注重控制成本，充分考虑到使用及日常维护经济合理的要求。</w:t>
      </w:r>
    </w:p>
    <w:p w14:paraId="301C2C9D">
      <w:pPr>
        <w:pStyle w:val="19"/>
        <w:keepNext w:val="0"/>
        <w:keepLines w:val="0"/>
        <w:pageBreakBefore w:val="0"/>
        <w:numPr>
          <w:ilvl w:val="0"/>
          <w:numId w:val="0"/>
        </w:numPr>
        <w:kinsoku/>
        <w:wordWrap/>
        <w:overflowPunct/>
        <w:topLinePunct w:val="0"/>
        <w:bidi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vertAlign w:val="baseline"/>
          <w:lang w:val="en-US" w:eastAsia="zh-CN"/>
        </w:rPr>
        <w:t>8.投标人</w:t>
      </w:r>
      <w:r>
        <w:rPr>
          <w:rFonts w:hint="eastAsia" w:ascii="仿宋_GB2312" w:hAnsi="仿宋_GB2312" w:eastAsia="仿宋_GB2312" w:cs="仿宋_GB2312"/>
          <w:color w:val="auto"/>
          <w:sz w:val="32"/>
          <w:szCs w:val="32"/>
        </w:rPr>
        <w:t>所做的设计应当符合设计标准和规范要求，由于设计严重错误造成采购人工程质量事故损失的，</w:t>
      </w:r>
      <w:r>
        <w:rPr>
          <w:rFonts w:hint="eastAsia" w:ascii="仿宋_GB2312" w:hAnsi="仿宋_GB2312" w:eastAsia="仿宋_GB2312" w:cs="仿宋_GB2312"/>
          <w:color w:val="auto"/>
          <w:sz w:val="32"/>
          <w:szCs w:val="32"/>
          <w:lang w:val="en-US" w:eastAsia="zh-CN"/>
        </w:rPr>
        <w:t>投标人</w:t>
      </w:r>
      <w:r>
        <w:rPr>
          <w:rFonts w:hint="eastAsia" w:ascii="仿宋_GB2312" w:hAnsi="仿宋_GB2312" w:eastAsia="仿宋_GB2312" w:cs="仿宋_GB2312"/>
          <w:color w:val="auto"/>
          <w:sz w:val="32"/>
          <w:szCs w:val="32"/>
        </w:rPr>
        <w:t>应负责采取补救措施，并承担相应的法律责任。</w:t>
      </w:r>
    </w:p>
    <w:p w14:paraId="1FDAA1B4">
      <w:pPr>
        <w:pStyle w:val="19"/>
        <w:keepNext w:val="0"/>
        <w:keepLines w:val="0"/>
        <w:pageBreakBefore w:val="0"/>
        <w:numPr>
          <w:ilvl w:val="0"/>
          <w:numId w:val="0"/>
        </w:numPr>
        <w:kinsoku/>
        <w:wordWrap/>
        <w:overflowPunct/>
        <w:topLinePunct w:val="0"/>
        <w:bidi w:val="0"/>
        <w:snapToGrid w:val="0"/>
        <w:spacing w:line="360" w:lineRule="auto"/>
        <w:ind w:firstLine="640" w:firstLineChars="200"/>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9.</w:t>
      </w:r>
      <w:r>
        <w:rPr>
          <w:rFonts w:hint="eastAsia" w:ascii="仿宋_GB2312" w:hAnsi="仿宋_GB2312" w:eastAsia="仿宋_GB2312" w:cs="仿宋_GB2312"/>
          <w:color w:val="auto"/>
          <w:sz w:val="32"/>
          <w:szCs w:val="32"/>
        </w:rPr>
        <w:t>承担</w:t>
      </w:r>
      <w:r>
        <w:rPr>
          <w:rFonts w:hint="eastAsia" w:ascii="仿宋_GB2312" w:hAnsi="仿宋_GB2312" w:eastAsia="仿宋_GB2312" w:cs="仿宋_GB2312"/>
          <w:color w:val="auto"/>
          <w:sz w:val="32"/>
          <w:szCs w:val="32"/>
          <w:lang w:val="en-US" w:eastAsia="zh-CN"/>
        </w:rPr>
        <w:t>初步</w:t>
      </w:r>
      <w:r>
        <w:rPr>
          <w:rFonts w:hint="eastAsia" w:ascii="仿宋_GB2312" w:hAnsi="仿宋_GB2312" w:eastAsia="仿宋_GB2312" w:cs="仿宋_GB2312"/>
          <w:color w:val="auto"/>
          <w:sz w:val="32"/>
          <w:szCs w:val="32"/>
        </w:rPr>
        <w:t>设计服务的</w:t>
      </w:r>
      <w:r>
        <w:rPr>
          <w:rFonts w:hint="eastAsia" w:ascii="仿宋_GB2312" w:hAnsi="仿宋_GB2312" w:eastAsia="仿宋_GB2312" w:cs="仿宋_GB2312"/>
          <w:color w:val="auto"/>
          <w:sz w:val="32"/>
          <w:szCs w:val="32"/>
          <w:lang w:val="en-US" w:eastAsia="zh-CN"/>
        </w:rPr>
        <w:t>投标人</w:t>
      </w:r>
      <w:r>
        <w:rPr>
          <w:rFonts w:hint="eastAsia" w:ascii="仿宋_GB2312" w:hAnsi="仿宋_GB2312" w:eastAsia="仿宋_GB2312" w:cs="仿宋_GB2312"/>
          <w:color w:val="auto"/>
          <w:sz w:val="32"/>
          <w:szCs w:val="32"/>
        </w:rPr>
        <w:t>，若采购人或其上级主管部门认为有必要的话，则应按其要求进行技术设计，编制技术设计文件及相应修正概算，</w:t>
      </w:r>
      <w:r>
        <w:rPr>
          <w:rFonts w:hint="eastAsia" w:ascii="仿宋_GB2312" w:hAnsi="仿宋_GB2312" w:eastAsia="仿宋_GB2312" w:cs="仿宋_GB2312"/>
          <w:color w:val="auto"/>
          <w:sz w:val="32"/>
          <w:szCs w:val="32"/>
          <w:lang w:val="en-US" w:eastAsia="zh-CN"/>
        </w:rPr>
        <w:t>投标人</w:t>
      </w:r>
      <w:r>
        <w:rPr>
          <w:rFonts w:hint="eastAsia" w:ascii="仿宋_GB2312" w:hAnsi="仿宋_GB2312" w:eastAsia="仿宋_GB2312" w:cs="仿宋_GB2312"/>
          <w:color w:val="auto"/>
          <w:sz w:val="32"/>
          <w:szCs w:val="32"/>
        </w:rPr>
        <w:t>应无条件执行，且编制费用已包括在</w:t>
      </w:r>
      <w:r>
        <w:rPr>
          <w:rFonts w:hint="eastAsia" w:ascii="仿宋_GB2312" w:hAnsi="仿宋_GB2312" w:eastAsia="仿宋_GB2312" w:cs="仿宋_GB2312"/>
          <w:color w:val="auto"/>
          <w:sz w:val="32"/>
          <w:szCs w:val="32"/>
          <w:lang w:val="en-US" w:eastAsia="zh-CN"/>
        </w:rPr>
        <w:t>投标</w:t>
      </w:r>
      <w:r>
        <w:rPr>
          <w:rFonts w:hint="eastAsia" w:ascii="仿宋_GB2312" w:hAnsi="仿宋_GB2312" w:eastAsia="仿宋_GB2312" w:cs="仿宋_GB2312"/>
          <w:color w:val="auto"/>
          <w:sz w:val="32"/>
          <w:szCs w:val="32"/>
        </w:rPr>
        <w:t>总额中。</w:t>
      </w:r>
    </w:p>
    <w:p w14:paraId="3AD34A6A">
      <w:pPr>
        <w:pStyle w:val="14"/>
        <w:keepNext w:val="0"/>
        <w:keepLines w:val="0"/>
        <w:pageBreakBefore w:val="0"/>
        <w:widowControl/>
        <w:shd w:val="clear" w:color="auto" w:fill="auto"/>
        <w:kinsoku/>
        <w:wordWrap/>
        <w:overflowPunct/>
        <w:topLinePunct w:val="0"/>
        <w:bidi w:val="0"/>
        <w:snapToGrid/>
        <w:spacing w:before="0" w:beforeAutospacing="0" w:after="0" w:afterAutospacing="0"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vertAlign w:val="baseline"/>
          <w:lang w:val="en-US" w:eastAsia="zh-CN"/>
        </w:rPr>
        <w:t>10.</w:t>
      </w:r>
      <w:r>
        <w:rPr>
          <w:rFonts w:hint="eastAsia" w:ascii="仿宋_GB2312" w:hAnsi="仿宋_GB2312" w:eastAsia="仿宋_GB2312" w:cs="仿宋_GB2312"/>
          <w:color w:val="auto"/>
          <w:sz w:val="32"/>
          <w:szCs w:val="32"/>
          <w:lang w:val="en-US" w:eastAsia="zh-CN"/>
        </w:rPr>
        <w:t>投标人中标后，拟派</w:t>
      </w:r>
      <w:r>
        <w:rPr>
          <w:rFonts w:hint="eastAsia" w:ascii="仿宋_GB2312" w:hAnsi="仿宋_GB2312" w:eastAsia="仿宋_GB2312" w:cs="仿宋_GB2312"/>
          <w:color w:val="auto"/>
          <w:sz w:val="32"/>
          <w:szCs w:val="32"/>
        </w:rPr>
        <w:t>人员应有良好的职业道德和严谨的工作作风，在设计过程中不得向</w:t>
      </w:r>
      <w:r>
        <w:rPr>
          <w:rFonts w:hint="eastAsia" w:ascii="仿宋_GB2312" w:hAnsi="仿宋_GB2312" w:eastAsia="仿宋_GB2312" w:cs="仿宋_GB2312"/>
          <w:color w:val="auto"/>
          <w:sz w:val="32"/>
          <w:szCs w:val="32"/>
          <w:lang w:val="en-US" w:eastAsia="zh-CN"/>
        </w:rPr>
        <w:t>采购人</w:t>
      </w:r>
      <w:r>
        <w:rPr>
          <w:rFonts w:hint="eastAsia" w:ascii="仿宋_GB2312" w:hAnsi="仿宋_GB2312" w:eastAsia="仿宋_GB2312" w:cs="仿宋_GB2312"/>
          <w:color w:val="auto"/>
          <w:sz w:val="32"/>
          <w:szCs w:val="32"/>
        </w:rPr>
        <w:t>介绍指定分包商和供应商。</w:t>
      </w:r>
    </w:p>
    <w:p w14:paraId="40FA4EB3">
      <w:pPr>
        <w:ind w:firstLine="640" w:firstLineChars="200"/>
        <w:rPr>
          <w:rFonts w:ascii="黑体" w:hAnsi="黑体" w:eastAsia="黑体"/>
          <w:sz w:val="32"/>
          <w:szCs w:val="32"/>
        </w:rPr>
      </w:pPr>
      <w:r>
        <w:rPr>
          <w:rFonts w:hint="eastAsia" w:ascii="黑体" w:hAnsi="黑体" w:eastAsia="黑体"/>
          <w:sz w:val="32"/>
          <w:szCs w:val="32"/>
          <w:lang w:val="en-US" w:eastAsia="zh-CN"/>
        </w:rPr>
        <w:t>六</w:t>
      </w:r>
      <w:r>
        <w:rPr>
          <w:rFonts w:hint="eastAsia" w:ascii="黑体" w:hAnsi="黑体" w:eastAsia="黑体"/>
          <w:sz w:val="32"/>
          <w:szCs w:val="32"/>
        </w:rPr>
        <w:t>、评审原则</w:t>
      </w:r>
    </w:p>
    <w:p w14:paraId="314FF909">
      <w:pPr>
        <w:spacing w:line="240" w:lineRule="auto"/>
        <w:ind w:firstLine="561"/>
        <w:jc w:val="left"/>
        <w:rPr>
          <w:rFonts w:hint="eastAsia" w:ascii="仿宋_GB2312" w:hAnsi="仿宋_GB2312" w:eastAsia="仿宋_GB2312" w:cs="仿宋_GB2312"/>
          <w:strike/>
          <w:sz w:val="32"/>
          <w:szCs w:val="32"/>
        </w:rPr>
      </w:pPr>
      <w:r>
        <w:rPr>
          <w:rFonts w:hint="eastAsia" w:ascii="仿宋_GB2312" w:hAnsi="仿宋_GB2312" w:eastAsia="仿宋_GB2312" w:cs="仿宋_GB2312"/>
          <w:sz w:val="32"/>
          <w:szCs w:val="32"/>
        </w:rPr>
        <w:t>需要有三家及以上符合条件的</w:t>
      </w:r>
      <w:r>
        <w:rPr>
          <w:rFonts w:hint="eastAsia" w:ascii="仿宋_GB2312" w:hAnsi="仿宋_GB2312" w:eastAsia="仿宋_GB2312" w:cs="仿宋_GB2312"/>
          <w:sz w:val="32"/>
          <w:szCs w:val="32"/>
          <w:lang w:eastAsia="zh-CN"/>
        </w:rPr>
        <w:t>供应商</w:t>
      </w:r>
      <w:r>
        <w:rPr>
          <w:rFonts w:hint="eastAsia" w:ascii="仿宋_GB2312" w:hAnsi="仿宋_GB2312" w:eastAsia="仿宋_GB2312" w:cs="仿宋_GB2312"/>
          <w:sz w:val="32"/>
          <w:szCs w:val="32"/>
        </w:rPr>
        <w:t>，才符合评标条件。</w:t>
      </w:r>
    </w:p>
    <w:p w14:paraId="59C0DCAF">
      <w:pPr>
        <w:spacing w:line="240" w:lineRule="auto"/>
        <w:ind w:firstLine="561" w:firstLineChars="0"/>
        <w:jc w:val="left"/>
        <w:rPr>
          <w:rFonts w:ascii="仿宋" w:hAnsi="仿宋" w:eastAsia="仿宋"/>
          <w:sz w:val="28"/>
          <w:szCs w:val="28"/>
        </w:rPr>
      </w:pPr>
      <w:r>
        <w:rPr>
          <w:rFonts w:hint="eastAsia" w:ascii="黑体" w:hAnsi="黑体" w:eastAsia="黑体"/>
          <w:sz w:val="32"/>
          <w:szCs w:val="32"/>
          <w:lang w:val="en-US" w:eastAsia="zh-CN"/>
        </w:rPr>
        <w:t>七</w:t>
      </w:r>
      <w:r>
        <w:rPr>
          <w:rFonts w:hint="eastAsia" w:ascii="黑体" w:hAnsi="黑体" w:eastAsia="黑体"/>
          <w:sz w:val="32"/>
          <w:szCs w:val="32"/>
        </w:rPr>
        <w:t>、评审事项</w:t>
      </w:r>
    </w:p>
    <w:p w14:paraId="2AD1E1F1">
      <w:pPr>
        <w:spacing w:line="240" w:lineRule="auto"/>
        <w:ind w:firstLine="561"/>
        <w:jc w:val="left"/>
        <w:rPr>
          <w:rFonts w:ascii="仿宋" w:hAnsi="仿宋" w:eastAsia="仿宋"/>
          <w:sz w:val="28"/>
          <w:szCs w:val="28"/>
        </w:rPr>
      </w:pPr>
      <w:r>
        <w:rPr>
          <w:rFonts w:hint="eastAsia" w:ascii="仿宋_GB2312" w:hAnsi="仿宋_GB2312" w:eastAsia="仿宋_GB2312" w:cs="仿宋_GB2312"/>
          <w:sz w:val="32"/>
          <w:szCs w:val="32"/>
        </w:rPr>
        <w:t>本次邀请报价本着公开、公平、公正的原则，由我站组织专家组进行评定。评审结果公示</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个工作日无异议后，与我站签订</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合同（协议）。</w:t>
      </w:r>
    </w:p>
    <w:p w14:paraId="3798D0D2">
      <w:pPr>
        <w:ind w:firstLine="640" w:firstLineChars="200"/>
        <w:rPr>
          <w:rFonts w:ascii="黑体" w:hAnsi="黑体" w:eastAsia="黑体"/>
          <w:sz w:val="32"/>
          <w:szCs w:val="32"/>
        </w:rPr>
      </w:pPr>
      <w:r>
        <w:rPr>
          <w:rFonts w:hint="eastAsia" w:ascii="黑体" w:hAnsi="黑体" w:eastAsia="黑体"/>
          <w:sz w:val="32"/>
          <w:szCs w:val="32"/>
          <w:lang w:val="en-US" w:eastAsia="zh-CN"/>
        </w:rPr>
        <w:t>八</w:t>
      </w:r>
      <w:r>
        <w:rPr>
          <w:rFonts w:hint="eastAsia" w:ascii="黑体" w:hAnsi="黑体" w:eastAsia="黑体"/>
          <w:sz w:val="32"/>
          <w:szCs w:val="32"/>
        </w:rPr>
        <w:t>、结算方式</w:t>
      </w:r>
    </w:p>
    <w:p w14:paraId="1E26EB5C">
      <w:pPr>
        <w:pStyle w:val="19"/>
        <w:keepNext w:val="0"/>
        <w:keepLines w:val="0"/>
        <w:pageBreakBefore w:val="0"/>
        <w:numPr>
          <w:ilvl w:val="0"/>
          <w:numId w:val="0"/>
        </w:numPr>
        <w:tabs>
          <w:tab w:val="center" w:pos="4680"/>
        </w:tabs>
        <w:kinsoku/>
        <w:wordWrap/>
        <w:overflowPunct/>
        <w:topLinePunct w:val="0"/>
        <w:bidi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1.项目通过财审后10</w:t>
      </w:r>
      <w:r>
        <w:rPr>
          <w:rFonts w:hint="eastAsia" w:ascii="仿宋_GB2312" w:hAnsi="仿宋_GB2312" w:eastAsia="仿宋_GB2312" w:cs="仿宋_GB2312"/>
          <w:color w:val="auto"/>
          <w:sz w:val="32"/>
          <w:szCs w:val="32"/>
        </w:rPr>
        <w:t>个工作日且开具足额合法有效发票后</w:t>
      </w:r>
      <w:r>
        <w:rPr>
          <w:rFonts w:hint="eastAsia" w:ascii="仿宋_GB2312" w:hAnsi="仿宋_GB2312" w:eastAsia="仿宋_GB2312" w:cs="仿宋_GB2312"/>
          <w:color w:val="auto"/>
          <w:sz w:val="32"/>
          <w:szCs w:val="32"/>
          <w:lang w:val="en-US" w:eastAsia="zh-CN"/>
        </w:rPr>
        <w:t>支付至合同款项的70%。</w:t>
      </w:r>
    </w:p>
    <w:p w14:paraId="47DB4E77">
      <w:pPr>
        <w:pStyle w:val="19"/>
        <w:keepNext w:val="0"/>
        <w:keepLines w:val="0"/>
        <w:pageBreakBefore w:val="0"/>
        <w:numPr>
          <w:ilvl w:val="0"/>
          <w:numId w:val="0"/>
        </w:numPr>
        <w:tabs>
          <w:tab w:val="center" w:pos="4680"/>
        </w:tabs>
        <w:kinsoku/>
        <w:wordWrap/>
        <w:overflowPunct/>
        <w:topLinePunct w:val="0"/>
        <w:bidi w:val="0"/>
        <w:snapToGrid w:val="0"/>
        <w:spacing w:line="360" w:lineRule="auto"/>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2.项目后期施工图设计完成且投标人通过图审后10</w:t>
      </w:r>
      <w:r>
        <w:rPr>
          <w:rFonts w:hint="eastAsia" w:ascii="仿宋_GB2312" w:hAnsi="仿宋_GB2312" w:eastAsia="仿宋_GB2312" w:cs="仿宋_GB2312"/>
          <w:color w:val="auto"/>
          <w:sz w:val="32"/>
          <w:szCs w:val="32"/>
        </w:rPr>
        <w:t>个工作日</w:t>
      </w:r>
      <w:r>
        <w:rPr>
          <w:rFonts w:hint="eastAsia" w:ascii="仿宋_GB2312" w:hAnsi="仿宋_GB2312" w:eastAsia="仿宋_GB2312" w:cs="仿宋_GB2312"/>
          <w:color w:val="auto"/>
          <w:sz w:val="32"/>
          <w:szCs w:val="32"/>
          <w:lang w:val="en-US" w:eastAsia="zh-CN"/>
        </w:rPr>
        <w:t>内支付剩余30%合同款。</w:t>
      </w:r>
    </w:p>
    <w:p w14:paraId="64DC1FBC">
      <w:pPr>
        <w:widowControl/>
        <w:ind w:firstLine="640" w:firstLineChars="200"/>
        <w:jc w:val="left"/>
        <w:rPr>
          <w:rFonts w:ascii="仿宋" w:hAnsi="仿宋" w:eastAsia="仿宋" w:cs="Times New Roman"/>
          <w:sz w:val="28"/>
          <w:szCs w:val="28"/>
        </w:rPr>
      </w:pPr>
      <w:r>
        <w:rPr>
          <w:rFonts w:hint="eastAsia" w:ascii="黑体" w:hAnsi="黑体" w:eastAsia="黑体"/>
          <w:sz w:val="32"/>
          <w:szCs w:val="32"/>
          <w:lang w:val="en-US" w:eastAsia="zh-CN"/>
        </w:rPr>
        <w:t>九</w:t>
      </w:r>
      <w:r>
        <w:rPr>
          <w:rFonts w:hint="eastAsia" w:ascii="黑体" w:hAnsi="黑体" w:eastAsia="黑体"/>
          <w:sz w:val="32"/>
          <w:szCs w:val="32"/>
        </w:rPr>
        <w:t>、本次评审福建省福州环境监测中心站保留最终解释权。</w:t>
      </w:r>
    </w:p>
    <w:p w14:paraId="70D8CA54">
      <w:pPr>
        <w:pStyle w:val="14"/>
        <w:keepNext w:val="0"/>
        <w:keepLines w:val="0"/>
        <w:pageBreakBefore w:val="0"/>
        <w:widowControl/>
        <w:shd w:val="clear" w:color="auto" w:fill="auto"/>
        <w:kinsoku/>
        <w:wordWrap/>
        <w:overflowPunct/>
        <w:topLinePunct w:val="0"/>
        <w:bidi w:val="0"/>
        <w:snapToGrid/>
        <w:spacing w:before="0" w:beforeAutospacing="0" w:after="0" w:afterAutospacing="0" w:line="360" w:lineRule="auto"/>
        <w:ind w:firstLine="640" w:firstLineChars="200"/>
        <w:textAlignment w:val="auto"/>
        <w:rPr>
          <w:rFonts w:hint="eastAsia" w:ascii="仿宋_GB2312" w:hAnsi="仿宋_GB2312" w:eastAsia="仿宋_GB2312" w:cs="仿宋_GB2312"/>
          <w:color w:val="auto"/>
          <w:sz w:val="32"/>
          <w:szCs w:val="32"/>
          <w:lang w:eastAsia="zh-CN"/>
        </w:rPr>
      </w:pPr>
    </w:p>
    <w:p w14:paraId="2F45166F">
      <w:pPr>
        <w:pStyle w:val="19"/>
        <w:keepNext w:val="0"/>
        <w:keepLines w:val="0"/>
        <w:pageBreakBefore w:val="0"/>
        <w:numPr>
          <w:ilvl w:val="0"/>
          <w:numId w:val="0"/>
        </w:numPr>
        <w:tabs>
          <w:tab w:val="center" w:pos="4680"/>
        </w:tabs>
        <w:kinsoku/>
        <w:wordWrap/>
        <w:overflowPunct/>
        <w:topLinePunct w:val="0"/>
        <w:bidi w:val="0"/>
        <w:snapToGrid w:val="0"/>
        <w:spacing w:line="360" w:lineRule="auto"/>
        <w:ind w:firstLine="600" w:firstLineChars="200"/>
        <w:textAlignment w:val="auto"/>
        <w:rPr>
          <w:rFonts w:hint="eastAsia" w:ascii="仿宋_GB2312" w:hAnsi="仿宋_GB2312" w:eastAsia="仿宋_GB2312" w:cs="仿宋_GB2312"/>
          <w:color w:val="auto"/>
          <w:sz w:val="30"/>
          <w:szCs w:val="30"/>
          <w:lang w:eastAsia="zh-CN"/>
        </w:rPr>
      </w:pPr>
    </w:p>
    <w:sectPr>
      <w:pgSz w:w="12240" w:h="15840"/>
      <w:pgMar w:top="1440" w:right="1440" w:bottom="1440" w:left="1440" w:header="708" w:footer="708"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2F2F8C2-0E20-4BB6-99C1-3D21146A745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隶书">
    <w:panose1 w:val="02010509060101010101"/>
    <w:charset w:val="86"/>
    <w:family w:val="modern"/>
    <w:pitch w:val="default"/>
    <w:sig w:usb0="00000001" w:usb1="080E0000" w:usb2="00000000" w:usb3="00000000" w:csb0="00040000" w:csb1="00000000"/>
    <w:embedRegular r:id="rId2" w:fontKey="{5D3D2571-6F85-41B6-8537-1F87C8A074C1}"/>
  </w:font>
  <w:font w:name="华文中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script"/>
    <w:pitch w:val="default"/>
    <w:sig w:usb0="00000001" w:usb1="08000000" w:usb2="00000000" w:usb3="00000000" w:csb0="00040000" w:csb1="00000000"/>
    <w:embedRegular r:id="rId3" w:fontKey="{2AEA743B-9037-4C48-BBE2-B631B1243974}"/>
  </w:font>
  <w:font w:name="仿宋_GB2312">
    <w:altName w:val="仿宋"/>
    <w:panose1 w:val="02010609030101010101"/>
    <w:charset w:val="86"/>
    <w:family w:val="auto"/>
    <w:pitch w:val="default"/>
    <w:sig w:usb0="00000000" w:usb1="00000000" w:usb2="00000000" w:usb3="00000000" w:csb0="00040000" w:csb1="00000000"/>
    <w:embedRegular r:id="rId4" w:fontKey="{78A60ED2-4A43-4721-85E6-370160AD5C46}"/>
  </w:font>
  <w:font w:name="仿宋">
    <w:panose1 w:val="02010609060101010101"/>
    <w:charset w:val="86"/>
    <w:family w:val="modern"/>
    <w:pitch w:val="default"/>
    <w:sig w:usb0="800002BF" w:usb1="38CF7CFA" w:usb2="00000016" w:usb3="00000000" w:csb0="00040001" w:csb1="00000000"/>
    <w:embedRegular r:id="rId5" w:fontKey="{5027F9A0-AD2B-4488-94E8-15D75739134F}"/>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彩虹">
    <w15:presenceInfo w15:providerId="WPS Office" w15:userId="19713455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HorizontalSpacing w:val="140"/>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rsids>
    <w:rsidRoot w:val="00D8280C"/>
    <w:rsid w:val="00183B1E"/>
    <w:rsid w:val="002E6570"/>
    <w:rsid w:val="00B65F1D"/>
    <w:rsid w:val="00BC2CEF"/>
    <w:rsid w:val="00BF7756"/>
    <w:rsid w:val="00D104CE"/>
    <w:rsid w:val="00D8280C"/>
    <w:rsid w:val="00FC6AC5"/>
    <w:rsid w:val="03A00716"/>
    <w:rsid w:val="0A19060D"/>
    <w:rsid w:val="0D6E4DCD"/>
    <w:rsid w:val="0DDA5B86"/>
    <w:rsid w:val="0E930E61"/>
    <w:rsid w:val="102534EC"/>
    <w:rsid w:val="12937C63"/>
    <w:rsid w:val="1559528F"/>
    <w:rsid w:val="16671A5F"/>
    <w:rsid w:val="178219F6"/>
    <w:rsid w:val="184471F8"/>
    <w:rsid w:val="19256AC7"/>
    <w:rsid w:val="193F7F66"/>
    <w:rsid w:val="199F06D2"/>
    <w:rsid w:val="1BFBF169"/>
    <w:rsid w:val="1D212D4F"/>
    <w:rsid w:val="1D422582"/>
    <w:rsid w:val="1D807E56"/>
    <w:rsid w:val="1E227565"/>
    <w:rsid w:val="21D721C7"/>
    <w:rsid w:val="23623B5A"/>
    <w:rsid w:val="240916CA"/>
    <w:rsid w:val="25EF70DB"/>
    <w:rsid w:val="2635037A"/>
    <w:rsid w:val="285A6A75"/>
    <w:rsid w:val="2B5739CA"/>
    <w:rsid w:val="30CA4AFB"/>
    <w:rsid w:val="31EC6A80"/>
    <w:rsid w:val="3209716A"/>
    <w:rsid w:val="33C5258B"/>
    <w:rsid w:val="373F540A"/>
    <w:rsid w:val="37FFD853"/>
    <w:rsid w:val="39FF00AB"/>
    <w:rsid w:val="3C377C01"/>
    <w:rsid w:val="3DF44D46"/>
    <w:rsid w:val="3E0E373E"/>
    <w:rsid w:val="3E6D4C8E"/>
    <w:rsid w:val="3EDF6C78"/>
    <w:rsid w:val="3F2B1BC4"/>
    <w:rsid w:val="43543CCF"/>
    <w:rsid w:val="444F1465"/>
    <w:rsid w:val="45C26532"/>
    <w:rsid w:val="469730DC"/>
    <w:rsid w:val="4ACD666F"/>
    <w:rsid w:val="4BD62420"/>
    <w:rsid w:val="4E484B1E"/>
    <w:rsid w:val="4EF37062"/>
    <w:rsid w:val="53780C68"/>
    <w:rsid w:val="562634C6"/>
    <w:rsid w:val="56F6381B"/>
    <w:rsid w:val="57AFAC56"/>
    <w:rsid w:val="5AD91D18"/>
    <w:rsid w:val="5AF76822"/>
    <w:rsid w:val="5B182920"/>
    <w:rsid w:val="5B3650E3"/>
    <w:rsid w:val="5E3E7EF8"/>
    <w:rsid w:val="5EFC5769"/>
    <w:rsid w:val="60AC2CB9"/>
    <w:rsid w:val="61364C63"/>
    <w:rsid w:val="63E51866"/>
    <w:rsid w:val="655D3BA6"/>
    <w:rsid w:val="68A55ECC"/>
    <w:rsid w:val="6B7A1394"/>
    <w:rsid w:val="6BF439BE"/>
    <w:rsid w:val="6C7047B5"/>
    <w:rsid w:val="72C5587D"/>
    <w:rsid w:val="73FE4458"/>
    <w:rsid w:val="742C5D11"/>
    <w:rsid w:val="78AA01B7"/>
    <w:rsid w:val="7A4C132C"/>
    <w:rsid w:val="7B1854C4"/>
    <w:rsid w:val="7BA9D82F"/>
    <w:rsid w:val="7C8D730E"/>
    <w:rsid w:val="7D3C7328"/>
    <w:rsid w:val="7EC12BF7"/>
    <w:rsid w:val="85BFE556"/>
    <w:rsid w:val="BFFB5E02"/>
    <w:rsid w:val="EF9D350A"/>
    <w:rsid w:val="F7F53F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99"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next w:val="1"/>
    <w:unhideWhenUsed/>
    <w:qFormat/>
    <w:uiPriority w:val="0"/>
    <w:pPr>
      <w:spacing w:after="120"/>
    </w:pPr>
    <w:rPr>
      <w:szCs w:val="20"/>
    </w:rPr>
  </w:style>
  <w:style w:type="paragraph" w:styleId="6">
    <w:name w:val="Body Text Indent"/>
    <w:basedOn w:val="1"/>
    <w:unhideWhenUsed/>
    <w:qFormat/>
    <w:uiPriority w:val="99"/>
    <w:pPr>
      <w:spacing w:after="120"/>
      <w:ind w:left="420" w:leftChars="200"/>
    </w:pPr>
  </w:style>
  <w:style w:type="paragraph" w:styleId="7">
    <w:name w:val="Plain Text"/>
    <w:qFormat/>
    <w:uiPriority w:val="0"/>
    <w:pPr>
      <w:widowControl w:val="0"/>
      <w:jc w:val="both"/>
    </w:pPr>
    <w:rPr>
      <w:rFonts w:ascii="宋体" w:hAnsi="Times New Roman" w:eastAsia="宋体" w:cs="Times New Roman"/>
      <w:kern w:val="2"/>
      <w:sz w:val="21"/>
      <w:lang w:val="en-US" w:eastAsia="zh-CN" w:bidi="ar-SA"/>
    </w:rPr>
  </w:style>
  <w:style w:type="paragraph" w:styleId="8">
    <w:name w:val="Balloon Text"/>
    <w:basedOn w:val="1"/>
    <w:next w:val="9"/>
    <w:semiHidden/>
    <w:qFormat/>
    <w:uiPriority w:val="0"/>
    <w:rPr>
      <w:sz w:val="18"/>
      <w:szCs w:val="18"/>
    </w:rPr>
  </w:style>
  <w:style w:type="paragraph" w:customStyle="1" w:styleId="9">
    <w:name w:val="正文缩进311"/>
    <w:next w:val="1"/>
    <w:qFormat/>
    <w:uiPriority w:val="0"/>
    <w:pPr>
      <w:wordWrap w:val="0"/>
      <w:ind w:left="3400"/>
      <w:jc w:val="both"/>
    </w:pPr>
    <w:rPr>
      <w:rFonts w:ascii="Calibri" w:hAnsi="Calibri" w:eastAsia="宋体" w:cs="Times New Roman"/>
      <w:sz w:val="21"/>
      <w:szCs w:val="22"/>
      <w:lang w:val="en-US" w:eastAsia="zh-CN" w:bidi="ar-SA"/>
    </w:rPr>
  </w:style>
  <w:style w:type="paragraph" w:styleId="10">
    <w:name w:val="footer"/>
    <w:basedOn w:val="1"/>
    <w:qFormat/>
    <w:uiPriority w:val="0"/>
    <w:pPr>
      <w:tabs>
        <w:tab w:val="center" w:pos="4513"/>
        <w:tab w:val="right" w:pos="9026"/>
      </w:tabs>
      <w:snapToGrid w:val="0"/>
      <w:jc w:val="left"/>
    </w:pPr>
    <w:rPr>
      <w:rFonts w:ascii="Calibri" w:hAnsi="Calibri" w:eastAsia="等线" w:cs="Arial"/>
      <w:sz w:val="18"/>
      <w:szCs w:val="18"/>
    </w:rPr>
  </w:style>
  <w:style w:type="paragraph" w:styleId="11">
    <w:name w:val="header"/>
    <w:basedOn w:val="1"/>
    <w:qFormat/>
    <w:uiPriority w:val="0"/>
    <w:pPr>
      <w:pBdr>
        <w:bottom w:val="single" w:color="auto" w:sz="6" w:space="1"/>
      </w:pBdr>
      <w:tabs>
        <w:tab w:val="center" w:pos="4513"/>
        <w:tab w:val="right" w:pos="9026"/>
      </w:tabs>
      <w:snapToGrid w:val="0"/>
      <w:jc w:val="center"/>
    </w:pPr>
    <w:rPr>
      <w:rFonts w:ascii="Calibri" w:hAnsi="Calibri" w:eastAsia="等线" w:cs="Arial"/>
      <w:sz w:val="18"/>
      <w:szCs w:val="18"/>
    </w:rPr>
  </w:style>
  <w:style w:type="paragraph" w:styleId="12">
    <w:name w:val="toc 2"/>
    <w:basedOn w:val="1"/>
    <w:next w:val="1"/>
    <w:semiHidden/>
    <w:qFormat/>
    <w:uiPriority w:val="99"/>
    <w:pPr>
      <w:spacing w:line="220" w:lineRule="exact"/>
      <w:ind w:firstLine="720" w:firstLineChars="200"/>
    </w:pPr>
    <w:rPr>
      <w:rFonts w:eastAsia="隶书"/>
      <w:sz w:val="24"/>
      <w:szCs w:val="24"/>
    </w:rPr>
  </w:style>
  <w:style w:type="paragraph" w:styleId="13">
    <w:name w:val="Body Text 2"/>
    <w:basedOn w:val="1"/>
    <w:semiHidden/>
    <w:unhideWhenUsed/>
    <w:qFormat/>
    <w:uiPriority w:val="99"/>
    <w:pPr>
      <w:spacing w:after="120" w:line="480" w:lineRule="auto"/>
    </w:pPr>
  </w:style>
  <w:style w:type="paragraph" w:styleId="14">
    <w:name w:val="Normal (Web)"/>
    <w:basedOn w:val="1"/>
    <w:qFormat/>
    <w:uiPriority w:val="0"/>
    <w:pPr>
      <w:spacing w:before="100" w:beforeAutospacing="1" w:after="100" w:afterAutospacing="1"/>
    </w:pPr>
    <w:rPr>
      <w:rFonts w:ascii="宋体" w:cs="宋体"/>
      <w:sz w:val="24"/>
    </w:rPr>
  </w:style>
  <w:style w:type="character" w:styleId="17">
    <w:name w:val="Strong"/>
    <w:basedOn w:val="16"/>
    <w:qFormat/>
    <w:uiPriority w:val="0"/>
    <w:rPr>
      <w:b/>
    </w:rPr>
  </w:style>
  <w:style w:type="paragraph" w:customStyle="1" w:styleId="18">
    <w:name w:val="样式 标题 3 + (中文) 黑体 小四 非加粗 段前: 7.8 磅 段后: 0 磅 行距: 固定值 20 磅"/>
    <w:basedOn w:val="4"/>
    <w:qFormat/>
    <w:uiPriority w:val="0"/>
    <w:pPr>
      <w:tabs>
        <w:tab w:val="left" w:pos="425"/>
      </w:tabs>
      <w:adjustRightInd/>
      <w:spacing w:before="0" w:after="0" w:line="400" w:lineRule="exact"/>
      <w:textAlignment w:val="auto"/>
    </w:pPr>
    <w:rPr>
      <w:rFonts w:ascii="Times New Roman" w:hAnsi="Times New Roman" w:eastAsia="黑体" w:cs="宋体"/>
      <w:b w:val="0"/>
      <w:kern w:val="2"/>
      <w:sz w:val="24"/>
      <w:szCs w:val="20"/>
    </w:rPr>
  </w:style>
  <w:style w:type="paragraph" w:customStyle="1" w:styleId="19">
    <w:name w:val="Default"/>
    <w:qFormat/>
    <w:uiPriority w:val="0"/>
    <w:pPr>
      <w:widowControl w:val="0"/>
      <w:autoSpaceDE w:val="0"/>
      <w:autoSpaceDN w:val="0"/>
      <w:adjustRightInd w:val="0"/>
    </w:pPr>
    <w:rPr>
      <w:rFonts w:ascii="华文中宋" w:hAnsi="Calibri" w:eastAsia="华文中宋" w:cs="Times New Roman"/>
      <w:color w:val="000000"/>
      <w:sz w:val="24"/>
      <w:szCs w:val="24"/>
      <w:lang w:val="en-US" w:eastAsia="zh-CN" w:bidi="ar-SA"/>
    </w:rPr>
  </w:style>
  <w:style w:type="paragraph" w:customStyle="1" w:styleId="20">
    <w:name w:val="首行缩进"/>
    <w:basedOn w:val="1"/>
    <w:qFormat/>
    <w:uiPriority w:val="0"/>
    <w:pPr>
      <w:spacing w:line="360" w:lineRule="auto"/>
      <w:ind w:firstLine="480" w:firstLineChars="200"/>
    </w:pPr>
    <w:rPr>
      <w:rFonts w:ascii="宋体" w:hAnsi="宋体" w:cs="宋体"/>
      <w:kern w:val="0"/>
      <w:sz w:val="24"/>
    </w:rPr>
  </w:style>
  <w:style w:type="paragraph" w:customStyle="1" w:styleId="21">
    <w:name w:val="null3"/>
    <w:qFormat/>
    <w:uiPriority w:val="0"/>
    <w:rPr>
      <w:rFonts w:ascii="Calibri" w:hAnsi="Calibri" w:eastAsia="宋体" w:cs="Times New Roman"/>
      <w:lang w:val="en-US" w:eastAsia="zh-Hans" w:bidi="ar-SA"/>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de57de6b-8331-458f-bff8-9da69e762171</errorID>
      <errorWord>:</errorWord>
      <group>L1_Format</group>
      <groupName>格式问题</groupName>
      <ability>L2_HalfPunc_CN</ability>
      <abilityName>全半角问题</abilityName>
      <candidateList>
        <item>：</item>
      </candidateList>
      <explain>文本全半角错误。</explain>
      <paraID>42E45970</paraID>
      <start>8</start>
      <end>9</end>
      <status>unmodified</status>
      <modifiedWord/>
      <trackRevisions>false</trackRevisions>
    </reviewItem>
    <reviewItem>
      <errorID>09b3bb2e-ad52-4eb5-98a9-706ee1e7ecb7</errorID>
      <errorWord>:</errorWord>
      <group>L1_Format</group>
      <groupName>格式问题</groupName>
      <ability>L2_HalfPunc_CN</ability>
      <abilityName>全半角问题</abilityName>
      <candidateList>
        <item>：</item>
      </candidateList>
      <explain>文本全半角错误。</explain>
      <paraID>1FBE6650</paraID>
      <start>12</start>
      <end>13</end>
      <status>unmodified</status>
      <modifiedWord/>
      <trackRevisions>false</trackRevisions>
    </reviewItem>
    <reviewItem>
      <errorID>acb8a0c5-136f-4da5-a91f-f94d4e38c253</errorID>
      <errorWord>法律、法规</errorWord>
      <group>L1_Word</group>
      <groupName>字词问题</groupName>
      <ability>L2_Typo</ability>
      <abilityName>字词错误</abilityName>
      <candidateList>
        <item>法律法规</item>
      </candidateList>
      <explain/>
      <paraID>1FBE6650</paraID>
      <start>188</start>
      <end>193</end>
      <status>unmodified</status>
      <modifiedWord/>
      <trackRevisions>false</trackRevisions>
    </reviewItem>
    <reviewItem>
      <errorID>336c7f11-0723-4248-9367-e9a5aa5f6d23</errorID>
      <errorWord>(</errorWord>
      <group>L1_Format</group>
      <groupName>格式问题</groupName>
      <ability>L2_HalfPunc_CN</ability>
      <abilityName>全半角问题</abilityName>
      <candidateList>
        <item>（</item>
      </candidateList>
      <explain>文本全半角错误。</explain>
      <paraID>35CFABDD</paraID>
      <start>134</start>
      <end>135</end>
      <status>unmodified</status>
      <modifiedWord/>
      <trackRevisions>false</trackRevisions>
    </reviewItem>
    <reviewItem>
      <errorID>dc71fa58-fdf0-4890-9145-68d399b09f2b</errorID>
      <errorWord>)</errorWord>
      <group>L1_Format</group>
      <groupName>格式问题</groupName>
      <ability>L2_HalfPunc_CN</ability>
      <abilityName>全半角问题</abilityName>
      <candidateList>
        <item>）</item>
      </candidateList>
      <explain>文本全半角错误。</explain>
      <paraID>35CFABDD</paraID>
      <start>141</start>
      <end>142</end>
      <status>unmodified</status>
      <modifiedWord/>
      <trackRevisions>false</trackRevisions>
    </reviewItem>
    <reviewItem>
      <errorID>1a08742f-703d-4f51-a82c-5c00ee13485c</errorID>
      <errorWord>(</errorWord>
      <group>L1_Format</group>
      <groupName>格式问题</groupName>
      <ability>L2_HalfPunc_CN</ability>
      <abilityName>全半角问题</abilityName>
      <candidateList>
        <item>（</item>
      </candidateList>
      <explain>文本全半角错误。</explain>
      <paraID>221863DE</paraID>
      <start>18</start>
      <end>19</end>
      <status>unmodified</status>
      <modifiedWord/>
      <trackRevisions>false</trackRevisions>
    </reviewItem>
    <reviewItem>
      <errorID>034021ba-6b86-427e-9703-15bd77524d26</errorID>
      <errorWord>)</errorWord>
      <group>L1_Format</group>
      <groupName>格式问题</groupName>
      <ability>L2_HalfPunc_CN</ability>
      <abilityName>全半角问题</abilityName>
      <candidateList>
        <item>）</item>
      </candidateList>
      <explain>文本全半角错误。</explain>
      <paraID>221863DE</paraID>
      <start>43</start>
      <end>44</end>
      <status>unmodified</status>
      <modifiedWord/>
      <trackRevisions>false</trackRevisions>
    </reviewItem>
    <reviewItem>
      <errorID>b26a07d7-61ab-4a8e-94d9-1a76bed44e3c</errorID>
      <errorWord>(</errorWord>
      <group>L1_Format</group>
      <groupName>格式问题</groupName>
      <ability>L2_HalfPunc_CN</ability>
      <abilityName>全半角问题</abilityName>
      <candidateList>
        <item>（</item>
      </candidateList>
      <explain>文本全半角错误。</explain>
      <paraID>6BFCCCCA</paraID>
      <start>86</start>
      <end>87</end>
      <status>unmodified</status>
      <modifiedWord/>
      <trackRevisions>false</trackRevisions>
    </reviewItem>
    <reviewItem>
      <errorID>910608a1-7635-4d9e-9b36-3694bd21885f</errorID>
      <errorWord>)</errorWord>
      <group>L1_Format</group>
      <groupName>格式问题</groupName>
      <ability>L2_HalfPunc_CN</ability>
      <abilityName>全半角问题</abilityName>
      <candidateList>
        <item>）</item>
      </candidateList>
      <explain>文本全半角错误。</explain>
      <paraID>6BFCCCCA</paraID>
      <start>112</start>
      <end>113</end>
      <status>unmodified</status>
      <modifiedWord/>
      <trackRevisions>false</trackRevisions>
    </reviewItem>
    <reviewItem>
      <errorID>78522490-90f9-4792-b1ea-cff684812433</errorID>
      <errorWord>(</errorWord>
      <group>L1_Format</group>
      <groupName>格式问题</groupName>
      <ability>L2_HalfPunc_CN</ability>
      <abilityName>全半角问题</abilityName>
      <candidateList>
        <item>（</item>
      </candidateList>
      <explain>文本全半角错误。</explain>
      <paraID>132D3716</paraID>
      <start>78</start>
      <end>79</end>
      <status>unmodified</status>
      <modifiedWord/>
      <trackRevisions>false</trackRevisions>
    </reviewItem>
    <reviewItem>
      <errorID>94027c0b-0b8f-4a04-8ef5-e80246efea6a</errorID>
      <errorWord>)</errorWord>
      <group>L1_Format</group>
      <groupName>格式问题</groupName>
      <ability>L2_HalfPunc_CN</ability>
      <abilityName>全半角问题</abilityName>
      <candidateList>
        <item>）</item>
      </candidateList>
      <explain>文本全半角错误。</explain>
      <paraID>132D3716</paraID>
      <start>104</start>
      <end>105</end>
      <status>unmodified</status>
      <modifiedWord/>
      <trackRevisions>false</trackRevisions>
    </reviewItem>
    <reviewItem>
      <errorID>37fc989f-9a4e-43c3-a105-7cae7acbaea2</errorID>
      <errorWord>承</errorWord>
      <group>L1_Word</group>
      <groupName>字词问题</groupName>
      <ability>L2_Typo</ability>
      <abilityName>字词错误</abilityName>
      <candidateList>
        <item>承诺</item>
      </candidateList>
      <explain/>
      <paraID>3FF65CD4</paraID>
      <start>3</start>
      <end>4</end>
      <status>unmodified</status>
      <modifiedWord/>
      <trackRevisions>false</trackRevisions>
    </reviewItem>
    <reviewItem>
      <errorID>bc88a152-a0d9-4cda-9950-5d9ec122da41</errorID>
      <errorWord>、且</errorWord>
      <group>L1_Word</group>
      <groupName>字词问题</groupName>
      <ability>L2_Typo</ability>
      <abilityName>字词错误</abilityName>
      <candidateList>
        <item>且</item>
      </candidateList>
      <explain/>
      <paraID>1FED1F4A</paraID>
      <start>58</start>
      <end>60</end>
      <status>unmodified</status>
      <modifiedWord/>
      <trackRevisions>false</trackRevisions>
    </reviewItem>
    <reviewItem>
      <errorID>94655bec-11d2-40ff-ab5f-35012b9d2b9a</errorID>
      <errorWord>、且</errorWord>
      <group>L1_Word</group>
      <groupName>字词问题</groupName>
      <ability>L2_Typo</ability>
      <abilityName>字词错误</abilityName>
      <candidateList>
        <item>且</item>
      </candidateList>
      <explain/>
      <paraID>29518A9C</paraID>
      <start>59</start>
      <end>61</end>
      <status>unmodified</status>
      <modifiedWord/>
      <trackRevisions>false</trackRevisions>
    </reviewItem>
    <reviewItem>
      <errorID>aaadd034-759b-4901-9fac-2fa152d1e648</errorID>
      <errorWord>、且</errorWord>
      <group>L1_Word</group>
      <groupName>字词问题</groupName>
      <ability>L2_Typo</ability>
      <abilityName>字词错误</abilityName>
      <candidateList>
        <item>且</item>
      </candidateList>
      <explain/>
      <paraID>336220DC</paraID>
      <start>68</start>
      <end>70</end>
      <status>unmodified</status>
      <modifiedWord/>
      <trackRevisions>false</trackRevisions>
    </reviewItem>
    <reviewItem>
      <errorID>545e2c76-4d4f-432c-ad78-b7935f8ada2d</errorID>
      <errorWord>、且</errorWord>
      <group>L1_Word</group>
      <groupName>字词问题</groupName>
      <ability>L2_Typo</ability>
      <abilityName>字词错误</abilityName>
      <candidateList>
        <item>且</item>
      </candidateList>
      <explain/>
      <paraID>620A8107</paraID>
      <start>66</start>
      <end>68</end>
      <status>unmodified</status>
      <modifiedWord/>
      <trackRevisions>false</trackRevisions>
    </reviewItem>
    <reviewItem>
      <errorID>504d1d63-4a16-4b12-b439-9b9746681ad5</errorID>
      <errorWord>、且</errorWord>
      <group>L1_Word</group>
      <groupName>字词问题</groupName>
      <ability>L2_Typo</ability>
      <abilityName>字词错误</abilityName>
      <candidateList>
        <item>且</item>
      </candidateList>
      <explain/>
      <paraID>4BBEB961</paraID>
      <start>49</start>
      <end>51</end>
      <status>unmodified</status>
      <modifiedWord/>
      <trackRevisions>false</trackRevisions>
    </reviewItem>
    <reviewItem>
      <errorID>478f1a59-1fd9-466b-ac3b-e6511baf3cbe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3AC75776</paraID>
      <start>47</start>
      <end>48</end>
      <status>unmodified</status>
      <modifiedWord/>
      <trackRevisions>false</trackRevisions>
    </reviewItem>
    <reviewItem>
      <errorID>680a7789-45cb-47c8-bb51-e522b4727fbd</errorID>
      <errorWord>、且</errorWord>
      <group>L1_Word</group>
      <groupName>字词问题</groupName>
      <ability>L2_Typo</ability>
      <abilityName>字词错误</abilityName>
      <candidateList>
        <item>且</item>
      </candidateList>
      <explain/>
      <paraID>3AC75776</paraID>
      <start>70</start>
      <end>72</end>
      <status>unmodified</status>
      <modifiedWord/>
      <trackRevisions>false</trackRevisions>
    </reviewItem>
    <reviewItem>
      <errorID>bb9df661-392a-4cb7-b1a1-b6e022d7fe29</errorID>
      <errorWord>。，</errorWord>
      <group>L1_Punc</group>
      <groupName>标点问题</groupName>
      <ability>L2_Punc_CN</ability>
      <abilityName>标点符号问题</abilityName>
      <candidateList>
        <item>。</item>
      </candidateList>
      <explain/>
      <paraID>3AC75776</paraID>
      <start>78</start>
      <end>80</end>
      <status>unmodified</status>
      <modifiedWord/>
      <trackRevisions>false</trackRevisions>
    </reviewItem>
    <reviewItem>
      <errorID>152197b6-1040-4164-9d74-26c74ca28f1a</errorID>
      <errorWord>(</errorWord>
      <group>L1_Format</group>
      <groupName>格式问题</groupName>
      <ability>L2_HalfPunc_CN</ability>
      <abilityName>全半角问题</abilityName>
      <candidateList>
        <item>（</item>
      </candidateList>
      <explain>文本全半角错误。</explain>
      <paraID>4E52E8E3</paraID>
      <start>4</start>
      <end>5</end>
      <status>unmodified</status>
      <modifiedWord/>
      <trackRevisions>false</trackRevisions>
    </reviewItem>
    <reviewItem>
      <errorID>b11beab4-8b41-485c-a28b-5c1e1d15a930</errorID>
      <errorWord>(</errorWord>
      <group>L1_Format</group>
      <groupName>格式问题</groupName>
      <ability>L2_HalfPunc_CN</ability>
      <abilityName>全半角问题</abilityName>
      <candidateList>
        <item>（</item>
      </candidateList>
      <explain>文本全半角错误。</explain>
      <paraID>327DFBDE</paraID>
      <start>0</start>
      <end>1</end>
      <status>unmodified</status>
      <modifiedWord/>
      <trackRevisions>false</trackRevisions>
    </reviewItem>
    <reviewItem>
      <errorID>4412a3ed-fd02-4adf-948d-56c91283524a</errorID>
      <errorWord>)</errorWord>
      <group>L1_Format</group>
      <groupName>格式问题</groupName>
      <ability>L2_HalfPunc_CN</ability>
      <abilityName>全半角问题</abilityName>
      <candidateList>
        <item>）</item>
      </candidateList>
      <explain>文本全半角错误。</explain>
      <paraID>327DFBDE</paraID>
      <start>17</start>
      <end>18</end>
      <status>unmodified</status>
      <modifiedWord/>
      <trackRevisions>false</trackRevisions>
    </reviewItem>
    <reviewItem>
      <errorID>6d63ca37-ef17-45a8-b500-a7e29d60d05e</errorID>
      <errorWord>(</errorWord>
      <group>L1_Format</group>
      <groupName>格式问题</groupName>
      <ability>L2_HalfPunc_CN</ability>
      <abilityName>全半角问题</abilityName>
      <candidateList>
        <item>（</item>
      </candidateList>
      <explain>文本全半角错误。</explain>
      <paraID>327DFBDE</paraID>
      <start>43</start>
      <end>44</end>
      <status>unmodified</status>
      <modifiedWord/>
      <trackRevisions>false</trackRevisions>
    </reviewItem>
    <reviewItem>
      <errorID>0349465e-249a-4998-a08f-091a6757f567</errorID>
      <errorWord>)</errorWord>
      <group>L1_Format</group>
      <groupName>格式问题</groupName>
      <ability>L2_HalfPunc_CN</ability>
      <abilityName>全半角问题</abilityName>
      <candidateList>
        <item>）</item>
      </candidateList>
      <explain>文本全半角错误。</explain>
      <paraID>327DFBDE</paraID>
      <start>62</start>
      <end>63</end>
      <status>unmodified</status>
      <modifiedWord/>
      <trackRevisions>false</trackRevisions>
    </reviewItem>
    <reviewItem>
      <errorID>e2d6c554-b46c-41c0-b985-015bde0c0495</errorID>
      <errorWord>日</errorWord>
      <group>L1_Word</group>
      <groupName>字词问题</groupName>
      <ability>L2_Typo</ability>
      <abilityName>字词错误</abilityName>
      <candidateList>
        <item>日内</item>
      </candidateList>
      <explain/>
      <paraID>5F1F7749</paraID>
      <start>17</start>
      <end>18</end>
      <status>unmodified</status>
      <modifiedWord/>
      <trackRevisions>false</trackRevisions>
    </reviewItem>
  </reviewItems>
  <config/>
</contractReview>
</file>

<file path=customXml/itemProps1.xml><?xml version="1.0" encoding="utf-8"?>
<ds:datastoreItem xmlns:ds="http://schemas.openxmlformats.org/officeDocument/2006/customXml" ds:itemID="{4184a784-a956-4a00-9f75-c52cd9f6490e}">
  <ds:schemaRefs/>
</ds:datastoreItem>
</file>

<file path=docProps/app.xml><?xml version="1.0" encoding="utf-8"?>
<Properties xmlns="http://schemas.openxmlformats.org/officeDocument/2006/extended-properties" xmlns:vt="http://schemas.openxmlformats.org/officeDocument/2006/docPropsVTypes">
  <Template>Normal</Template>
  <Pages>14</Pages>
  <Words>5792</Words>
  <Characters>5997</Characters>
  <Lines>36</Lines>
  <Paragraphs>10</Paragraphs>
  <TotalTime>10</TotalTime>
  <ScaleCrop>false</ScaleCrop>
  <LinksUpToDate>false</LinksUpToDate>
  <CharactersWithSpaces>6074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2021-11-27T23:36:00Z</dcterms:created>
  <dc:creator>LIU,YUN-LING (Agilent CHN)</dc:creator>
  <cp:lastModifiedBy>彩虹</cp:lastModifiedBy>
  <cp:lastPrinted>2026-07-20T00:50:00Z</cp:lastPrinted>
  <dcterms:modified xsi:type="dcterms:W3CDTF">2026-07-22T02:10:29Z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A6209F824510496280DC9AC3776E90B8_13</vt:lpwstr>
  </property>
  <property fmtid="{D5CDD505-2E9C-101B-9397-08002B2CF9AE}" pid="4" name="KSOTemplateDocerSaveRecord">
    <vt:lpwstr>eyJoZGlkIjoiM2RkOTc3OWNmN2I4YTNmZDAxZTRmZGUzOWNlOTEyMDciLCJ1c2VySWQiOiIxMDQ0MjkxMTYxIn0=</vt:lpwstr>
  </property>
</Properties>
</file>