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numPr>
          <w:ilvl w:val="0"/>
          <w:numId w:val="0"/>
        </w:numPr>
        <w:suppressLineNumbers w:val="0"/>
        <w:spacing w:before="0" w:beforeAutospacing="0" w:after="0" w:afterAutospacing="0" w:line="500" w:lineRule="exact"/>
        <w:ind w:leftChars="0" w:right="0" w:rightChars="0"/>
        <w:jc w:val="center"/>
        <w:outlineLvl w:val="1"/>
        <w:rPr>
          <w:rFonts w:hint="eastAsia"/>
          <w:b/>
          <w:bCs/>
          <w:sz w:val="32"/>
          <w:szCs w:val="32"/>
        </w:rPr>
      </w:pPr>
      <w:bookmarkStart w:id="0" w:name="_Toc15610"/>
      <w:bookmarkStart w:id="1" w:name="_Toc6461"/>
      <w:r>
        <w:rPr>
          <w:rFonts w:hint="eastAsia"/>
          <w:b/>
          <w:bCs/>
          <w:sz w:val="32"/>
          <w:szCs w:val="32"/>
        </w:rPr>
        <w:t>气相色谱串联质谱联用仪</w:t>
      </w:r>
    </w:p>
    <w:p>
      <w:pPr>
        <w:keepNext w:val="0"/>
        <w:keepLines w:val="0"/>
        <w:widowControl w:val="0"/>
        <w:numPr>
          <w:ilvl w:val="0"/>
          <w:numId w:val="0"/>
        </w:numPr>
        <w:suppressLineNumbers w:val="0"/>
        <w:spacing w:before="0" w:beforeAutospacing="0" w:after="0" w:afterAutospacing="0" w:line="500" w:lineRule="exact"/>
        <w:ind w:leftChars="0" w:right="0" w:rightChars="0"/>
        <w:jc w:val="both"/>
        <w:outlineLvl w:val="1"/>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技术参数要求</w:t>
      </w:r>
      <w:bookmarkEnd w:id="0"/>
      <w:bookmarkEnd w:id="1"/>
    </w:p>
    <w:p>
      <w:pPr>
        <w:keepNext w:val="0"/>
        <w:keepLines w:val="0"/>
        <w:widowControl w:val="0"/>
        <w:suppressLineNumbers w:val="0"/>
        <w:spacing w:before="0" w:beforeAutospacing="0" w:after="0" w:afterAutospacing="0"/>
        <w:ind w:right="0"/>
        <w:jc w:val="both"/>
        <w:rPr>
          <w:rFonts w:hint="eastAsia" w:ascii="宋体" w:hAnsi="宋体" w:eastAsia="宋体" w:cs="仿宋"/>
          <w:kern w:val="2"/>
          <w:sz w:val="24"/>
          <w:szCs w:val="24"/>
          <w:lang w:val="en-US" w:eastAsia="zh-CN" w:bidi="ar"/>
        </w:rPr>
      </w:pPr>
      <w:r>
        <w:rPr>
          <w:rFonts w:hint="eastAsia" w:ascii="宋体" w:hAnsi="宋体" w:eastAsia="宋体" w:cs="仿宋"/>
          <w:b/>
          <w:bCs/>
          <w:kern w:val="2"/>
          <w:sz w:val="24"/>
          <w:szCs w:val="24"/>
          <w:lang w:val="en-US" w:eastAsia="zh-CN" w:bidi="ar"/>
        </w:rPr>
        <w:t>1.仪器用途</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仪器类型为三重四极杆型气相色谱质谱联用仪，能对目标农残化合物进行高灵敏度、高选择性的筛查和对痕量化合物的准确定量。满足GB 23200.113-2018 植物源性食品中208种农药及其代谢物残留量的测定、气相色谱-质谱联用法等标准检测要求。</w:t>
      </w:r>
    </w:p>
    <w:p>
      <w:pPr>
        <w:keepNext w:val="0"/>
        <w:keepLines w:val="0"/>
        <w:widowControl w:val="0"/>
        <w:suppressLineNumbers w:val="0"/>
        <w:spacing w:before="0" w:beforeAutospacing="0" w:after="0" w:afterAutospacing="0"/>
        <w:ind w:left="0" w:right="0"/>
        <w:jc w:val="both"/>
        <w:rPr>
          <w:rFonts w:hint="eastAsia" w:ascii="宋体" w:hAnsi="宋体" w:eastAsia="宋体" w:cs="仿宋"/>
          <w:b/>
          <w:bCs/>
          <w:sz w:val="24"/>
          <w:szCs w:val="24"/>
          <w:lang w:val="en-US"/>
        </w:rPr>
      </w:pPr>
      <w:r>
        <w:rPr>
          <w:rFonts w:hint="eastAsia" w:ascii="宋体" w:hAnsi="宋体" w:eastAsia="宋体" w:cs="仿宋"/>
          <w:b/>
          <w:bCs/>
          <w:kern w:val="2"/>
          <w:sz w:val="24"/>
          <w:szCs w:val="24"/>
          <w:lang w:val="en-US" w:eastAsia="zh-CN" w:bidi="ar"/>
        </w:rPr>
        <w:t>2.气相色谱仪部分</w:t>
      </w:r>
    </w:p>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4"/>
          <w:szCs w:val="24"/>
          <w:lang w:val="en-US" w:eastAsia="zh-CN" w:bidi="ar"/>
        </w:rPr>
      </w:pPr>
      <w:r>
        <w:rPr>
          <w:rFonts w:hint="eastAsia" w:ascii="宋体" w:hAnsi="宋体" w:eastAsia="宋体" w:cs="仿宋"/>
          <w:kern w:val="2"/>
          <w:sz w:val="24"/>
          <w:szCs w:val="24"/>
          <w:lang w:val="en-US" w:eastAsia="zh-CN" w:bidi="ar"/>
        </w:rPr>
        <w:t>2.1 气相色谱主机采用彩色触摸屏进行操控，标配触摸笔；</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2.2 柱温箱可设定升温速率≥±220℃/min（无需升级），以0.01℃/min增加；</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2.3 冷却速度：从 450 降到 50℃ ≤3.5min（210s）；</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2.4 标配一键设置柱温箱降温速率功能，可依据不同色谱柱自由设置降温速率(有高速、中速、低速、自定义模式可选；</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2.5 具备智能技术（包含智能锁、智能扣、智能规、智能灯），不使用任何工具即可打开/关闭进样口，不使用任何工具即可安装/更换色谱柱；</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2.6 程序升温的阶数≥32阶33平台；</w:t>
      </w:r>
    </w:p>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4"/>
          <w:szCs w:val="24"/>
          <w:lang w:val="en-US" w:eastAsia="zh-CN" w:bidi="ar"/>
        </w:rPr>
      </w:pPr>
      <w:r>
        <w:rPr>
          <w:rFonts w:hint="eastAsia" w:ascii="宋体" w:hAnsi="宋体" w:eastAsia="宋体" w:cs="仿宋"/>
          <w:kern w:val="2"/>
          <w:sz w:val="24"/>
          <w:szCs w:val="24"/>
          <w:lang w:val="en-US" w:eastAsia="zh-CN" w:bidi="ar"/>
        </w:rPr>
        <w:t>2.7 主机触摸屏支持显示配置 3条流路通道；</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2.8 主机具有“参数锁定”和“显示屏锁定功能”，从而避免误操作和意外操作；这些功能均可在主机彩色触摸屏上进行设置；</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2.9  主机具有载气漏气检查功能，可在主机触摸屏上显示漏气检查的结果；</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2.10 柱温箱内置耐高温智能灯，柱箱门开启时自动点亮，照亮柱箱内空间方便安装和更换色谱柱；</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2.11 AFC高精度全电子控制单元：具有恒流，恒压，程序增加流速，程序升压、恒线速度等操作模式的电子气路控制，最大运行时间：≥9900分钟；</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2.12 流路系统，支持双柱双流路系统，支持升级色谱柱柱后反吹，提升分析效率；</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2.13 主机具有Eco模式和自动开始关闭功能设置功能；</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2.14 最高温度：≥450℃，压力设定范围：0 ～ 1035kPa；</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2.15  主机≥ 4种载气类型可选（H</w:t>
      </w:r>
      <w:r>
        <w:rPr>
          <w:rFonts w:hint="eastAsia" w:ascii="宋体" w:hAnsi="宋体" w:eastAsia="宋体" w:cs="仿宋"/>
          <w:kern w:val="2"/>
          <w:sz w:val="24"/>
          <w:szCs w:val="24"/>
          <w:vertAlign w:val="subscript"/>
          <w:lang w:val="en-US" w:eastAsia="zh-CN" w:bidi="ar"/>
        </w:rPr>
        <w:t>2</w:t>
      </w:r>
      <w:r>
        <w:rPr>
          <w:rFonts w:hint="eastAsia" w:ascii="宋体" w:hAnsi="宋体" w:eastAsia="宋体" w:cs="仿宋"/>
          <w:kern w:val="2"/>
          <w:sz w:val="24"/>
          <w:szCs w:val="24"/>
          <w:lang w:val="en-US" w:eastAsia="zh-CN" w:bidi="ar"/>
        </w:rPr>
        <w:t>/N</w:t>
      </w:r>
      <w:r>
        <w:rPr>
          <w:rFonts w:hint="eastAsia" w:ascii="宋体" w:hAnsi="宋体" w:eastAsia="宋体" w:cs="仿宋"/>
          <w:kern w:val="2"/>
          <w:sz w:val="24"/>
          <w:szCs w:val="24"/>
          <w:vertAlign w:val="subscript"/>
          <w:lang w:val="en-US" w:eastAsia="zh-CN" w:bidi="ar"/>
        </w:rPr>
        <w:t>2</w:t>
      </w:r>
      <w:r>
        <w:rPr>
          <w:rFonts w:hint="eastAsia" w:ascii="宋体" w:hAnsi="宋体" w:eastAsia="宋体" w:cs="仿宋"/>
          <w:kern w:val="2"/>
          <w:sz w:val="24"/>
          <w:szCs w:val="24"/>
          <w:lang w:val="en-US" w:eastAsia="zh-CN" w:bidi="ar"/>
        </w:rPr>
        <w:t>/He/Ar）；</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2.16 流量设定范围：≥0 ～ 1300mL/min，隔垫吹扫流量设置范围：≥0 ～ 1200ml/min；</w:t>
      </w:r>
    </w:p>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4"/>
          <w:szCs w:val="24"/>
          <w:lang w:val="en-US" w:eastAsia="zh-CN" w:bidi="ar"/>
        </w:rPr>
      </w:pPr>
      <w:r>
        <w:rPr>
          <w:rFonts w:hint="eastAsia" w:ascii="宋体" w:hAnsi="宋体" w:eastAsia="宋体" w:cs="仿宋"/>
          <w:kern w:val="2"/>
          <w:sz w:val="24"/>
          <w:szCs w:val="24"/>
          <w:lang w:val="en-US" w:eastAsia="zh-CN" w:bidi="ar"/>
        </w:rPr>
        <w:t>2.17自动进样器单元：圆盘形支架设计；</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 xml:space="preserve">2.18 进样量范围：0.1～200 uL，10μL 注射器以0.1μL 步进； </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2.19 具有样品优先模式：当进行样品批处理进样时, 可对某样品进行优先进样设定, 而后继续完成批处理设定；</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2.20保留时间重复性：≤0.0008min,  峰面积重复性：≤1% RSD；</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2.21进样塔状态LED灯直观显示AOC状态；</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kern w:val="2"/>
          <w:sz w:val="24"/>
          <w:szCs w:val="24"/>
          <w:lang w:val="en-US" w:eastAsia="zh-CN" w:bidi="ar"/>
        </w:rPr>
        <w:t>2.22 包含至少六种进样方法：标准模式、最小化交叉污染模式、溶剂节省模式、样品节省模式、粘性样品模式和多层进样模式；</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2.23 具有样品瓶传感器功能，可自动感知样品瓶的存在与否；如果漏放，可提前设定跳过继续分析或分析暂停；</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2.24 具有进样助手功能，仅需设置进样体积和洗针溶剂类型，一键选择预置的进样参数；采用图标显示真实操作流程；</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2.25支持重叠进样功能；</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2.26针杆速度可调：至少三档可选：低速、中速、高速；</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其他设定：进样前/后洗针次数设定：≥0 – 99；</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样品洗针次数设定：≥0 –99；</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样品泵吸次数设定：≥0 – 99；</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粘度延迟时间设定：≥0 - 99.9 s；</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进样后停留时间设定：≥0 - 99.9 s；</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累加进样次数设定：≥1 – 99；</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kern w:val="2"/>
          <w:sz w:val="24"/>
          <w:szCs w:val="24"/>
          <w:lang w:val="en-US" w:eastAsia="zh-CN" w:bidi="ar"/>
        </w:rPr>
      </w:pPr>
      <w:r>
        <w:rPr>
          <w:rFonts w:hint="eastAsia" w:ascii="宋体" w:hAnsi="宋体" w:eastAsia="宋体" w:cs="仿宋"/>
          <w:color w:val="000000"/>
          <w:kern w:val="2"/>
          <w:sz w:val="24"/>
          <w:szCs w:val="24"/>
          <w:lang w:val="en-US" w:eastAsia="zh-CN" w:bidi="ar"/>
        </w:rPr>
        <w:t>2.27样品位：≥30位（1.5mL）。</w:t>
      </w:r>
    </w:p>
    <w:p>
      <w:pPr>
        <w:keepNext w:val="0"/>
        <w:keepLines w:val="0"/>
        <w:widowControl w:val="0"/>
        <w:suppressLineNumbers w:val="0"/>
        <w:spacing w:before="0" w:beforeAutospacing="0" w:after="0" w:afterAutospacing="0"/>
        <w:ind w:left="0" w:right="0"/>
        <w:jc w:val="both"/>
        <w:rPr>
          <w:rFonts w:hint="eastAsia" w:ascii="宋体" w:hAnsi="宋体" w:eastAsia="宋体" w:cs="仿宋"/>
          <w:b/>
          <w:bCs/>
          <w:color w:val="000000"/>
          <w:sz w:val="24"/>
          <w:szCs w:val="24"/>
          <w:lang w:val="en-US"/>
        </w:rPr>
      </w:pPr>
      <w:r>
        <w:rPr>
          <w:rFonts w:hint="eastAsia" w:ascii="宋体" w:hAnsi="宋体" w:eastAsia="宋体" w:cs="仿宋"/>
          <w:b/>
          <w:bCs/>
          <w:color w:val="000000"/>
          <w:kern w:val="2"/>
          <w:sz w:val="24"/>
          <w:szCs w:val="24"/>
          <w:lang w:val="en-US" w:eastAsia="zh-CN" w:bidi="ar"/>
        </w:rPr>
        <w:t>3.质谱部分</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3.1 涡轮分子泵须采用双入口差动式涡轮分子泵排气系统，抽力≥190L/sec +190L/sec；</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3.2 质量数范围: 2 ～ 1090 u；</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3.3 灵敏度：</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EI Scan : 1pg OFN, S/N ≥ 1500（氦气做载气），须采用30米毛细柱；</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EI MRM  : 100fg OFN, S/N ≥ 18000 ，须采用30米毛细柱；</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IDL(MRM): 10fg OFN 连续8次进样，统计学上99%置信度水平，IDL≤4fg；</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3.4 分辨率：0.4 ～ 3.0u，可调；碰撞能：0～60eV，可调；</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 xml:space="preserve">3.5 软件支持显示扫描速度数值，最大扫描速度：≥20,000 u/sec； </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3.6 最小驻留时间(Dwell Time)：≤0.5ms；</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3.7 最大MRM速度：≥888通道/sec；</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pt-BR"/>
        </w:rPr>
      </w:pPr>
      <w:r>
        <w:rPr>
          <w:rFonts w:hint="eastAsia" w:ascii="宋体" w:hAnsi="宋体" w:eastAsia="宋体" w:cs="仿宋"/>
          <w:color w:val="000000"/>
          <w:kern w:val="2"/>
          <w:sz w:val="24"/>
          <w:szCs w:val="24"/>
          <w:lang w:val="en-US" w:eastAsia="zh-CN" w:bidi="ar"/>
        </w:rPr>
        <w:t>3.8 离子化能量：10 ～ 200eV， 离子源温度：独立控温，140 ～ 350℃；</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3.9  灯丝电流：5 ～ 250μA（发射电流）；</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3.10  双灯丝设计，且双灯丝分别安装在离子源盒的两侧，位置完全对称，非双灯丝在同侧；（从而当灯丝切换使用时，保证了数据的可靠性）</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3.11 离子源采用前开门式设计，非侧开门式；可从仪器正前面简单拆装，方便离子源清洗维护和灯丝更换。维护离子源和灯丝时无需暴露四极杆，杜绝因此造成的四极杆损伤风险；</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3.12 GCMS 接口温度：≥50 ～ 350℃；</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3.13 质量分析器：</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 xml:space="preserve">3.13.1 预四极可转动，主四极杆可清洗打磨，有效抗污染；预四极杆要求为非S型，避免出现死体积点和污染点； </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3.13.2 四极杆以不控温为优，无需控温即可实现0.1amu/48h稳定；</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3.14 四极杆具有自动优化加速功能：对于高质量端离子的自动电场补偿技术，提升离子通过四极杆的速度，以提升全质量范围的信号质量，在高速扫描时保证数据灵敏度和质谱图正确性；</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3.15  Q2采用≥八极杆超快速碰撞室，实现快速MRM性能，能有效消除记忆效应和交叉污染。碰撞池采用氩气作为碰撞气,无需使用昂贵的氦气，Q3离轴设计，降低中性分子引起的背景噪声；</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3.16 扫描功能:</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全扫描(Full Scan)、子离子扫描( Product Ion Scan)、母离子扫描(Precursor Ion Scan)、中性丢失扫描(Neutral Loss Scan)、选择离子扫描模式(SIM)、多反应扫描模式（MRM），以任意多种采集模式为组合进行同时扫描，例如Scan/MRM同时扫描、Scan/Product Ion Scan同时扫描等等；</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3.17  支持多种监测模式的同时扫描,例如Scan/MRM同时扫描、Scan/Product Ion Scan同时扫描等等，获得高灵敏度定量数据的同时不丢失化合物的质谱信息（同时配备ASSP功能，最大程度的减小高速扫描时数据灵敏度下降和质谱图正确性下降的问题）；</w:t>
      </w:r>
    </w:p>
    <w:p>
      <w:pPr>
        <w:keepNext w:val="0"/>
        <w:keepLines w:val="0"/>
        <w:widowControl w:val="0"/>
        <w:suppressLineNumbers w:val="0"/>
        <w:spacing w:before="0" w:beforeAutospacing="0" w:after="0" w:afterAutospacing="0"/>
        <w:ind w:left="0" w:right="0"/>
        <w:jc w:val="both"/>
        <w:rPr>
          <w:rFonts w:hint="eastAsia" w:ascii="宋体" w:hAnsi="宋体" w:eastAsia="宋体" w:cs="仿宋"/>
          <w:color w:val="000000"/>
          <w:sz w:val="24"/>
          <w:szCs w:val="24"/>
          <w:lang w:val="en-US"/>
        </w:rPr>
      </w:pPr>
      <w:r>
        <w:rPr>
          <w:rFonts w:hint="eastAsia" w:ascii="宋体" w:hAnsi="宋体" w:eastAsia="宋体" w:cs="仿宋"/>
          <w:color w:val="000000"/>
          <w:kern w:val="2"/>
          <w:sz w:val="24"/>
          <w:szCs w:val="24"/>
          <w:lang w:val="en-US" w:eastAsia="zh-CN" w:bidi="ar"/>
        </w:rPr>
        <w:t>3.18 检测系统:</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3.18.1 二次电子倍增管和转换打拿极，须配备能去除中性噪声的透镜系统；</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3.18.2 离轴连续打拿电子倍增器；</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3.18.3 动态范围：≥8×106；</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3.18.4 低真空：≥30L/min（60Hz）机械泵；</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3.18.5标配皮拉尼真空规和离子规，可实时监测低真空度和高真空度，实时判断质谱运行情况，避免泄露等安全事故及实验误判其他；</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3.19 配备生态学模式Eco Mode，有效降低耗电量与装置的运行成本，并可在批处理完成后自动运行；</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3.20 支持氦气节省模块，实现待机时氦气零消耗。</w:t>
      </w:r>
    </w:p>
    <w:p>
      <w:pPr>
        <w:keepNext w:val="0"/>
        <w:keepLines w:val="0"/>
        <w:widowControl w:val="0"/>
        <w:suppressLineNumbers w:val="0"/>
        <w:spacing w:before="0" w:beforeAutospacing="0" w:after="0" w:afterAutospacing="0"/>
        <w:ind w:left="0" w:right="0"/>
        <w:jc w:val="both"/>
        <w:rPr>
          <w:rFonts w:hint="eastAsia" w:ascii="宋体" w:hAnsi="宋体" w:eastAsia="宋体" w:cs="仿宋"/>
          <w:b/>
          <w:bCs/>
          <w:sz w:val="24"/>
          <w:szCs w:val="24"/>
          <w:lang w:val="en-US"/>
        </w:rPr>
      </w:pPr>
      <w:r>
        <w:rPr>
          <w:rFonts w:hint="eastAsia" w:ascii="宋体" w:hAnsi="宋体" w:eastAsia="宋体" w:cs="仿宋"/>
          <w:b/>
          <w:bCs/>
          <w:kern w:val="2"/>
          <w:sz w:val="24"/>
          <w:szCs w:val="24"/>
          <w:lang w:val="en-US" w:eastAsia="zh-CN" w:bidi="ar"/>
        </w:rPr>
        <w:t>4.数据处理系统</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4.1 GCMSMS工作站，可进行数据采集、数据处理、定性分析和定量分析；可调入单极GCMS方法，支持Excel表格与 MRM 表格的互相拷贝粘贴；支持自建库及谱库检索功能，支持AART保留时间自动调整功能；</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4.2 具有MRM自动优化工具，支持任意设置碰撞池CE能量范围和间隔，可自动创建批处理表格，自动处理相关数据文件，自动添加新增MRM参数至数据库中。须提供设置CE能量范围/间隔的软件截图和MRM自动优化工具优化过程的说明；</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4.3 工作站采用一体化数据结构，数据文件中可调出仪器方法，定量方法，报告格式，批处理、调谐文件等相应信息；</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4.4 CID碰撞气ON和CID碰撞气OFF支持同时调谐，保存在一个调谐文件中；一个批处理中软件可自动切换碰撞气ON/OFF；</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4.5 同一套软件可自由设置成单极四极杆模式及串联四极杆模式切换使用，串联四极杆仪器当做单极四极杆模式使用时，无离子信号损失，检测灵敏度与同品牌单极四极杆高端型号相当，支持中/英文工作站，一套软件即可安装成中文，亦可安装成英文；</w:t>
      </w:r>
    </w:p>
    <w:p>
      <w:pPr>
        <w:keepNext w:val="0"/>
        <w:keepLines w:val="0"/>
        <w:widowControl w:val="0"/>
        <w:suppressLineNumbers w:val="0"/>
        <w:spacing w:before="0" w:beforeAutospacing="0" w:after="0" w:afterAutospacing="0"/>
        <w:ind w:left="0" w:right="0"/>
        <w:jc w:val="both"/>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4.6 支持智能钟功能；</w:t>
      </w:r>
      <w:bookmarkStart w:id="2" w:name="_GoBack"/>
      <w:bookmarkEnd w:id="2"/>
      <w:r>
        <w:rPr>
          <w:rFonts w:hint="eastAsia" w:ascii="宋体" w:hAnsi="宋体" w:eastAsia="宋体" w:cs="仿宋"/>
          <w:kern w:val="2"/>
          <w:sz w:val="24"/>
          <w:szCs w:val="24"/>
          <w:lang w:val="en-US" w:eastAsia="zh-CN" w:bidi="ar"/>
        </w:rPr>
        <w:t>系统启动后真空状态、调谐结果自动判定，无需人为确认即可直接开始分析工作，序列运行、维护时间直观显示，便于用户合理工作时间，提升工作效率。</w:t>
      </w:r>
    </w:p>
    <w:p>
      <w:pPr>
        <w:rPr>
          <w:rFonts w:hint="default" w:eastAsiaTheme="minorEastAsia"/>
          <w:lang w:val="en-US" w:eastAsia="zh-CN"/>
        </w:rPr>
      </w:pP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Droid Sans Fallback"/>
    <w:panose1 w:val="02010609060101010101"/>
    <w:charset w:val="86"/>
    <w:family w:val="auto"/>
    <w:pitch w:val="default"/>
    <w:sig w:usb0="00000000" w:usb1="00000000" w:usb2="00000016" w:usb3="00000000" w:csb0="00040001"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AR PL UKai CN">
    <w:panose1 w:val="02000503000000000000"/>
    <w:charset w:val="86"/>
    <w:family w:val="auto"/>
    <w:pitch w:val="default"/>
    <w:sig w:usb0="A00002FF" w:usb1="3ACFFDFF" w:usb2="00000036" w:usb3="00000000" w:csb0="2016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705FA7"/>
    <w:rsid w:val="7FD94CCD"/>
    <w:rsid w:val="ABFF0CCF"/>
    <w:rsid w:val="FBFFF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4">
    <w:name w:val="表格文字"/>
    <w:basedOn w:val="1"/>
    <w:qFormat/>
    <w:uiPriority w:val="0"/>
    <w:pPr>
      <w:keepNext w:val="0"/>
      <w:keepLines w:val="0"/>
      <w:widowControl w:val="0"/>
      <w:suppressLineNumbers w:val="0"/>
      <w:spacing w:before="0" w:beforeAutospacing="0" w:after="0" w:afterAutospacing="0" w:line="420" w:lineRule="atLeast"/>
      <w:ind w:left="0" w:right="0"/>
      <w:jc w:val="both"/>
    </w:pPr>
    <w:rPr>
      <w:rFonts w:hint="default" w:ascii="Times New Roman" w:hAnsi="Times New Roman" w:eastAsia="宋体" w:cs="Times New Roman"/>
      <w:kern w:val="2"/>
      <w:sz w:val="21"/>
      <w:szCs w:val="20"/>
      <w:lang w:val="en-US" w:eastAsia="zh-CN" w:bidi="ar"/>
    </w:rPr>
  </w:style>
  <w:style w:type="paragraph" w:customStyle="1" w:styleId="5">
    <w:name w:val="0"/>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2022-03-11T17:09:00Z</dcterms:created>
  <dc:creator>123</dc:creator>
  <cp:lastModifiedBy>liukaiguo</cp:lastModifiedBy>
  <dcterms:modified xsi:type="dcterms:W3CDTF">2022-03-11T16:47:36Z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2052-11.1.0.10920</vt:lpwstr>
  </property>
  <property fmtid="{D5CDD505-2E9C-101B-9397-08002B2CF9AE}" pid="3" name="ICV">
    <vt:lpwstr>7F8DF42FFDE649408F7F30ACA6822F04</vt:lpwstr>
  </property>
</Properties>
</file>