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Times New Roman"/>
          <w:b/>
          <w:sz w:val="32"/>
          <w:szCs w:val="21"/>
          <w:lang w:eastAsia="zh-CN"/>
        </w:rPr>
      </w:pPr>
      <w:r>
        <w:rPr>
          <w:rFonts w:hint="eastAsia" w:ascii="Times New Roman"/>
          <w:b/>
          <w:sz w:val="32"/>
          <w:szCs w:val="21"/>
          <w:lang w:eastAsia="zh-CN"/>
        </w:rPr>
        <w:t>低本底液体闪烁谱仪</w:t>
      </w:r>
    </w:p>
    <w:p>
      <w:pPr>
        <w:pStyle w:val="9"/>
        <w:jc w:val="center"/>
        <w:rPr>
          <w:rFonts w:hint="eastAsia" w:ascii="Times New Roman"/>
          <w:b/>
          <w:sz w:val="32"/>
          <w:szCs w:val="21"/>
          <w:lang w:eastAsia="zh-CN"/>
        </w:rPr>
      </w:pPr>
      <w:bookmarkStart w:id="0" w:name="_GoBack"/>
      <w:bookmarkEnd w:id="0"/>
    </w:p>
    <w:p>
      <w:pPr>
        <w:pStyle w:val="40"/>
        <w:numPr>
          <w:ilvl w:val="0"/>
          <w:numId w:val="3"/>
        </w:numPr>
        <w:ind w:left="0" w:firstLine="0"/>
        <w:rPr>
          <w:rFonts w:ascii="Times New Roman" w:hAnsi="Times New Roman" w:cs="Times New Roman"/>
          <w:sz w:val="21"/>
          <w:szCs w:val="21"/>
        </w:rPr>
      </w:pPr>
      <w:r>
        <w:rPr>
          <w:rFonts w:ascii="Times New Roman" w:hAnsi="Times New Roman" w:cs="Times New Roman"/>
          <w:sz w:val="21"/>
          <w:szCs w:val="21"/>
        </w:rPr>
        <w:t>应用要求：测量极低浓度人工、宇宙和其它天然放射性核素。主要用于对环境样品（如水、空气、土壤、动物及植物）低水平和超低水平α、β核素的测量，以及低水平H-3和C-14的测定。符合《水中氚的分析方法》（HJ1126-2020）等国家标准中对仪器的基本要求。</w:t>
      </w:r>
    </w:p>
    <w:p>
      <w:pPr>
        <w:pStyle w:val="52"/>
        <w:numPr>
          <w:ilvl w:val="0"/>
          <w:numId w:val="3"/>
        </w:numPr>
        <w:spacing w:after="0" w:line="240" w:lineRule="auto"/>
        <w:rPr>
          <w:rFonts w:ascii="Times New Roman" w:hAnsi="Times New Roman"/>
          <w:sz w:val="21"/>
          <w:szCs w:val="21"/>
        </w:rPr>
      </w:pPr>
      <w:r>
        <w:rPr>
          <w:rFonts w:ascii="Times New Roman" w:hAnsi="Times New Roman"/>
          <w:sz w:val="21"/>
          <w:szCs w:val="21"/>
        </w:rPr>
        <w:t>以主动和被动双重降噪技术排除外环境放射性元素对检测的干扰，降低仪器本底，增强检测灵敏度。</w:t>
      </w:r>
    </w:p>
    <w:p>
      <w:pPr>
        <w:pStyle w:val="52"/>
        <w:numPr>
          <w:ilvl w:val="0"/>
          <w:numId w:val="3"/>
        </w:numPr>
        <w:spacing w:after="0" w:line="240" w:lineRule="auto"/>
        <w:rPr>
          <w:rFonts w:ascii="Times New Roman" w:hAnsi="Times New Roman"/>
          <w:sz w:val="21"/>
          <w:szCs w:val="21"/>
        </w:rPr>
      </w:pPr>
      <w:r>
        <w:rPr>
          <w:rFonts w:ascii="Times New Roman" w:hAnsi="Times New Roman"/>
          <w:sz w:val="21"/>
          <w:szCs w:val="21"/>
        </w:rPr>
        <w:t>一次性装载30个以上样品瓶，全自动测量；在测量过程中可增加测量样品。</w:t>
      </w:r>
    </w:p>
    <w:p>
      <w:pPr>
        <w:pStyle w:val="52"/>
        <w:numPr>
          <w:ilvl w:val="0"/>
          <w:numId w:val="3"/>
        </w:numPr>
        <w:spacing w:after="0" w:line="240" w:lineRule="auto"/>
        <w:rPr>
          <w:rFonts w:ascii="Times New Roman" w:hAnsi="Times New Roman"/>
          <w:sz w:val="21"/>
          <w:szCs w:val="21"/>
        </w:rPr>
      </w:pPr>
      <w:r>
        <w:rPr>
          <w:rFonts w:ascii="Times New Roman" w:hAnsi="Times New Roman"/>
          <w:sz w:val="21"/>
          <w:szCs w:val="21"/>
        </w:rPr>
        <w:t>稳定性：计数变化小于0.2%/24小时。</w:t>
      </w:r>
    </w:p>
    <w:p>
      <w:pPr>
        <w:pStyle w:val="52"/>
        <w:numPr>
          <w:ilvl w:val="0"/>
          <w:numId w:val="3"/>
        </w:numPr>
        <w:spacing w:after="0" w:line="240" w:lineRule="auto"/>
        <w:rPr>
          <w:rFonts w:ascii="Times New Roman" w:hAnsi="Times New Roman"/>
          <w:sz w:val="21"/>
          <w:szCs w:val="21"/>
        </w:rPr>
      </w:pPr>
      <w:r>
        <w:rPr>
          <w:rFonts w:ascii="Times New Roman" w:hAnsi="Times New Roman"/>
          <w:sz w:val="21"/>
          <w:szCs w:val="21"/>
        </w:rPr>
        <w:t>温度控制系统：可控制仪器内部和样品室温度，确保最优的样品检测条件，同时提高仪器稳定性。</w:t>
      </w:r>
    </w:p>
    <w:p>
      <w:pPr>
        <w:pStyle w:val="52"/>
        <w:numPr>
          <w:ilvl w:val="0"/>
          <w:numId w:val="3"/>
        </w:numPr>
        <w:spacing w:after="0" w:line="240" w:lineRule="auto"/>
        <w:rPr>
          <w:rFonts w:ascii="Times New Roman" w:hAnsi="Times New Roman"/>
          <w:sz w:val="21"/>
          <w:szCs w:val="21"/>
        </w:rPr>
      </w:pPr>
      <w:r>
        <w:rPr>
          <w:rFonts w:ascii="Times New Roman" w:hAnsi="Times New Roman"/>
          <w:sz w:val="21"/>
          <w:szCs w:val="21"/>
        </w:rPr>
        <w:t>计数效率：H-3（0–18.6 keV）非淬灭样品≥ 58％；C-14（0–156 keV）非淬灭样品≥94％。</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计数本底：H-3≤1 CPM（采用10ml水+10ml闪烁液，塑料瓶）；</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检测限：H-3水样测量最小检测活度≤1Bq/L，</w:t>
      </w:r>
      <w:r>
        <w:rPr>
          <w:rFonts w:ascii="Times New Roman" w:hAnsi="Times New Roman" w:cs="Times New Roman"/>
          <w:color w:val="auto"/>
          <w:sz w:val="21"/>
          <w:szCs w:val="21"/>
        </w:rPr>
        <w:t>提供经国家法定计量检定机构出具的报告证明；</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测量能量范围：β能量范围为0-5000 keV，</w:t>
      </w:r>
      <w:r>
        <w:rPr>
          <w:rFonts w:hint="eastAsia" w:ascii="Times New Roman" w:hAnsi="Times New Roman" w:cs="Times New Roman"/>
          <w:sz w:val="21"/>
          <w:szCs w:val="21"/>
        </w:rPr>
        <w:t>α能量范围</w:t>
      </w:r>
      <w:r>
        <w:rPr>
          <w:rFonts w:ascii="Times New Roman" w:hAnsi="Times New Roman" w:cs="Times New Roman"/>
          <w:sz w:val="21"/>
          <w:szCs w:val="21"/>
        </w:rPr>
        <w:t>3-10</w:t>
      </w:r>
      <w:r>
        <w:rPr>
          <w:rFonts w:hint="eastAsia" w:ascii="Times New Roman" w:hAnsi="Times New Roman" w:cs="Times New Roman"/>
          <w:sz w:val="21"/>
          <w:szCs w:val="21"/>
        </w:rPr>
        <w:t>MeV</w:t>
      </w:r>
      <w:r>
        <w:rPr>
          <w:rFonts w:ascii="Times New Roman" w:hAnsi="Times New Roman" w:cs="Times New Roman"/>
          <w:sz w:val="21"/>
          <w:szCs w:val="21"/>
        </w:rPr>
        <w:t>；</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需配置静电消除器，能够消除样品瓶表面的静电，消除静电对计数的影响；</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配置Alpha/Beta甄别功能，在Alpha/Beta混合核素中，同时测定Alpha计数和Beta计数。</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样品异常监测功能：可以检测样品是否发生异变。</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可对设置的实验程序进行密码保护，防止对保存的实验程序进行不必要的更改。</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分析核素：H-3、C-14、Si-32、Cs-137、Sr-89、Sr-90、Pu、Po、Pa、U、Th和Ra；</w:t>
      </w:r>
    </w:p>
    <w:p>
      <w:pPr>
        <w:numPr>
          <w:ilvl w:val="0"/>
          <w:numId w:val="3"/>
        </w:numPr>
        <w:ind w:left="0" w:firstLine="0"/>
        <w:rPr>
          <w:color w:val="000000"/>
          <w:kern w:val="0"/>
          <w:szCs w:val="21"/>
        </w:rPr>
      </w:pPr>
      <w:r>
        <w:rPr>
          <w:color w:val="000000"/>
          <w:kern w:val="0"/>
          <w:szCs w:val="21"/>
        </w:rPr>
        <w:t>仪器配有性能评估功能，有运行平均值和基线图表，能够通过数据库监测仪器使用期间的检测效率、背景、品质因子和卡方值等数据；</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操作软件：</w:t>
      </w:r>
    </w:p>
    <w:p>
      <w:pPr>
        <w:pStyle w:val="40"/>
        <w:widowControl/>
        <w:rPr>
          <w:rFonts w:ascii="Times New Roman" w:hAnsi="Times New Roman" w:cs="Times New Roman"/>
          <w:sz w:val="21"/>
          <w:szCs w:val="21"/>
        </w:rPr>
      </w:pPr>
      <w:r>
        <w:rPr>
          <w:rFonts w:ascii="Times New Roman" w:hAnsi="Times New Roman" w:cs="Times New Roman"/>
          <w:sz w:val="21"/>
          <w:szCs w:val="21"/>
        </w:rPr>
        <w:t>16.1、计数软件：具备对液体闪烁计数系统内所有硬件进行控制、数据处理、数据管理等功能，能在终端屏幕上以不同的颜色显示不同的能谱，具有强大的多任务功能，在安全的多用户环境和简单的网络环境下具有无限制的实验程序数量。</w:t>
      </w:r>
    </w:p>
    <w:p>
      <w:pPr>
        <w:pStyle w:val="40"/>
        <w:widowControl/>
        <w:rPr>
          <w:rFonts w:ascii="Times New Roman" w:hAnsi="Times New Roman" w:cs="Times New Roman"/>
          <w:sz w:val="21"/>
          <w:szCs w:val="21"/>
        </w:rPr>
      </w:pPr>
      <w:r>
        <w:rPr>
          <w:rFonts w:ascii="Times New Roman" w:hAnsi="Times New Roman" w:cs="Times New Roman"/>
          <w:sz w:val="21"/>
          <w:szCs w:val="21"/>
        </w:rPr>
        <w:t>16.2、解谱软件：能够确定最佳计数区域，并自动计算品质因子，同时能够计算仪器的检测下限。</w:t>
      </w:r>
    </w:p>
    <w:p>
      <w:pPr>
        <w:pStyle w:val="40"/>
        <w:widowControl/>
        <w:numPr>
          <w:ilvl w:val="0"/>
          <w:numId w:val="3"/>
        </w:numPr>
        <w:ind w:left="0" w:firstLine="6"/>
        <w:rPr>
          <w:rFonts w:ascii="Times New Roman" w:hAnsi="Times New Roman" w:cs="Times New Roman"/>
          <w:sz w:val="21"/>
          <w:szCs w:val="21"/>
        </w:rPr>
      </w:pPr>
      <w:r>
        <w:rPr>
          <w:rFonts w:hint="eastAsia" w:ascii="Times New Roman" w:hAnsi="Times New Roman" w:cs="Times New Roman"/>
          <w:sz w:val="21"/>
          <w:szCs w:val="21"/>
        </w:rPr>
        <w:t>若</w:t>
      </w:r>
      <w:r>
        <w:rPr>
          <w:rFonts w:ascii="Times New Roman" w:hAnsi="Times New Roman" w:cs="Times New Roman"/>
          <w:sz w:val="21"/>
          <w:szCs w:val="21"/>
        </w:rPr>
        <w:t>采用</w:t>
      </w:r>
      <w:r>
        <w:rPr>
          <w:rFonts w:hint="eastAsia" w:ascii="Times New Roman" w:hAnsi="Times New Roman" w:cs="Times New Roman"/>
          <w:sz w:val="21"/>
          <w:szCs w:val="21"/>
        </w:rPr>
        <w:t>反转外标准谱指示</w:t>
      </w:r>
      <w:r>
        <w:rPr>
          <w:rFonts w:ascii="Times New Roman" w:hAnsi="Times New Roman" w:cs="Times New Roman"/>
          <w:sz w:val="21"/>
          <w:szCs w:val="21"/>
        </w:rPr>
        <w:t>方法对样品计数进行淬灭校正</w:t>
      </w:r>
      <w:r>
        <w:rPr>
          <w:rFonts w:hint="eastAsia" w:ascii="Times New Roman" w:hAnsi="Times New Roman" w:cs="Times New Roman"/>
          <w:sz w:val="21"/>
          <w:szCs w:val="21"/>
        </w:rPr>
        <w:t>的</w:t>
      </w:r>
      <w:r>
        <w:rPr>
          <w:rFonts w:ascii="Times New Roman" w:hAnsi="Times New Roman" w:cs="Times New Roman"/>
          <w:sz w:val="21"/>
          <w:szCs w:val="21"/>
        </w:rPr>
        <w:t>，</w:t>
      </w:r>
      <w:r>
        <w:rPr>
          <w:rFonts w:hint="eastAsia" w:ascii="Times New Roman" w:hAnsi="Times New Roman" w:cs="Times New Roman"/>
          <w:sz w:val="21"/>
          <w:szCs w:val="21"/>
        </w:rPr>
        <w:t>需</w:t>
      </w:r>
      <w:r>
        <w:rPr>
          <w:rFonts w:ascii="Times New Roman" w:hAnsi="Times New Roman" w:cs="Times New Roman"/>
          <w:sz w:val="21"/>
          <w:szCs w:val="21"/>
        </w:rPr>
        <w:t>标配豁免级别的标准源Ba-133，精确计算样品DPM值。</w:t>
      </w:r>
      <w:r>
        <w:rPr>
          <w:rFonts w:hint="eastAsia" w:ascii="Times New Roman" w:hAnsi="Times New Roman" w:cs="Times New Roman"/>
          <w:sz w:val="21"/>
          <w:szCs w:val="21"/>
        </w:rPr>
        <w:t>若采用淬灭标准源进行淬灭校正的需提供淬灭标准源。</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配件要求：</w:t>
      </w:r>
    </w:p>
    <w:p>
      <w:pPr>
        <w:pStyle w:val="40"/>
        <w:widowControl/>
        <w:rPr>
          <w:rFonts w:ascii="Times New Roman" w:hAnsi="Times New Roman" w:cs="Times New Roman"/>
          <w:sz w:val="21"/>
          <w:szCs w:val="21"/>
        </w:rPr>
      </w:pPr>
      <w:r>
        <w:rPr>
          <w:rFonts w:ascii="Times New Roman" w:hAnsi="Times New Roman" w:cs="Times New Roman"/>
          <w:sz w:val="21"/>
          <w:szCs w:val="21"/>
        </w:rPr>
        <w:t>18.1 计算机工作站配置：仪器内置计算机，具有Win 10 （64位）操作系统，4 GB RAM和250 GB硬盘，3个高速USB端口和双千兆以太网支持（包括显示器、键盘、鼠标等电脑配件）和人性化支撑臂，</w:t>
      </w:r>
      <w:r>
        <w:rPr>
          <w:rFonts w:hint="eastAsia" w:ascii="Times New Roman" w:hAnsi="Times New Roman" w:cs="Times New Roman"/>
          <w:sz w:val="21"/>
          <w:szCs w:val="21"/>
        </w:rPr>
        <w:t>移动工作站一台（预装W</w:t>
      </w:r>
      <w:r>
        <w:rPr>
          <w:rFonts w:ascii="Times New Roman" w:hAnsi="Times New Roman" w:cs="Times New Roman"/>
          <w:sz w:val="21"/>
          <w:szCs w:val="21"/>
        </w:rPr>
        <w:t>IN10</w:t>
      </w:r>
      <w:r>
        <w:rPr>
          <w:rFonts w:hint="eastAsia" w:ascii="Times New Roman" w:hAnsi="Times New Roman" w:cs="Times New Roman"/>
          <w:sz w:val="21"/>
          <w:szCs w:val="21"/>
        </w:rPr>
        <w:t>操作系统、正版office办公软件，</w:t>
      </w:r>
      <w:r>
        <w:rPr>
          <w:rFonts w:ascii="Times New Roman" w:hAnsi="Times New Roman" w:cs="Times New Roman"/>
          <w:sz w:val="21"/>
          <w:szCs w:val="21"/>
        </w:rPr>
        <w:t>I7</w:t>
      </w:r>
      <w:r>
        <w:rPr>
          <w:rFonts w:hint="eastAsia" w:ascii="Times New Roman" w:hAnsi="Times New Roman" w:cs="Times New Roman"/>
          <w:sz w:val="21"/>
          <w:szCs w:val="21"/>
        </w:rPr>
        <w:t>以上处理器，内存大于16</w:t>
      </w:r>
      <w:r>
        <w:rPr>
          <w:rFonts w:ascii="Times New Roman" w:hAnsi="Times New Roman" w:cs="Times New Roman"/>
          <w:sz w:val="21"/>
          <w:szCs w:val="21"/>
        </w:rPr>
        <w:t>GB，</w:t>
      </w:r>
      <w:r>
        <w:rPr>
          <w:rFonts w:hint="eastAsia" w:ascii="Times New Roman" w:hAnsi="Times New Roman" w:cs="Times New Roman"/>
          <w:sz w:val="21"/>
          <w:szCs w:val="21"/>
        </w:rPr>
        <w:t>硬盘大于512</w:t>
      </w:r>
      <w:r>
        <w:rPr>
          <w:rFonts w:ascii="Times New Roman" w:hAnsi="Times New Roman" w:cs="Times New Roman"/>
          <w:sz w:val="21"/>
          <w:szCs w:val="21"/>
        </w:rPr>
        <w:t>GB</w:t>
      </w:r>
      <w:r>
        <w:rPr>
          <w:rFonts w:hint="eastAsia" w:ascii="Times New Roman" w:hAnsi="Times New Roman" w:cs="Times New Roman"/>
          <w:sz w:val="21"/>
          <w:szCs w:val="21"/>
        </w:rPr>
        <w:t>），</w:t>
      </w:r>
      <w:r>
        <w:rPr>
          <w:rFonts w:ascii="Times New Roman" w:hAnsi="Times New Roman" w:cs="Times New Roman"/>
          <w:sz w:val="21"/>
          <w:szCs w:val="21"/>
        </w:rPr>
        <w:t>激光打印机一台；</w:t>
      </w:r>
    </w:p>
    <w:p>
      <w:pPr>
        <w:pStyle w:val="40"/>
        <w:widowControl/>
        <w:rPr>
          <w:rFonts w:ascii="Times New Roman" w:hAnsi="Times New Roman" w:cs="Times New Roman"/>
          <w:sz w:val="21"/>
          <w:szCs w:val="21"/>
        </w:rPr>
      </w:pPr>
      <w:r>
        <w:rPr>
          <w:rFonts w:ascii="Times New Roman" w:hAnsi="Times New Roman" w:cs="Times New Roman"/>
          <w:sz w:val="21"/>
          <w:szCs w:val="21"/>
        </w:rPr>
        <w:t>18.2</w:t>
      </w:r>
      <w:r>
        <w:rPr>
          <w:rFonts w:hint="eastAsia" w:ascii="Times New Roman" w:hAnsi="Times New Roman" w:cs="Times New Roman"/>
          <w:sz w:val="21"/>
          <w:szCs w:val="21"/>
        </w:rPr>
        <w:t xml:space="preserve"> </w:t>
      </w:r>
      <w:r>
        <w:rPr>
          <w:rFonts w:ascii="Times New Roman" w:hAnsi="Times New Roman" w:cs="Times New Roman"/>
          <w:sz w:val="21"/>
          <w:szCs w:val="21"/>
        </w:rPr>
        <w:t>非淬灭校准源：本底校准源；3H校准源；14C校准源；</w:t>
      </w:r>
    </w:p>
    <w:p>
      <w:pPr>
        <w:pStyle w:val="40"/>
        <w:widowControl/>
        <w:rPr>
          <w:rFonts w:ascii="Times New Roman" w:hAnsi="Times New Roman" w:cs="Times New Roman"/>
          <w:sz w:val="21"/>
          <w:szCs w:val="21"/>
        </w:rPr>
      </w:pPr>
      <w:r>
        <w:rPr>
          <w:rFonts w:ascii="Times New Roman" w:hAnsi="Times New Roman" w:cs="Times New Roman"/>
          <w:sz w:val="21"/>
          <w:szCs w:val="21"/>
        </w:rPr>
        <w:t>18.3</w:t>
      </w:r>
      <w:r>
        <w:rPr>
          <w:rFonts w:hint="eastAsia" w:ascii="Times New Roman" w:hAnsi="Times New Roman" w:cs="Times New Roman"/>
          <w:sz w:val="21"/>
          <w:szCs w:val="21"/>
        </w:rPr>
        <w:t xml:space="preserve"> </w:t>
      </w:r>
      <w:r>
        <w:rPr>
          <w:rFonts w:ascii="Times New Roman" w:hAnsi="Times New Roman" w:cs="Times New Roman"/>
          <w:sz w:val="21"/>
          <w:szCs w:val="21"/>
        </w:rPr>
        <w:t>通用安全性闪烁液：至少10L，适用于各种水样和非水性样品（需根据使用情况在三年内分批提供）；</w:t>
      </w:r>
    </w:p>
    <w:p>
      <w:pPr>
        <w:pStyle w:val="40"/>
        <w:widowControl/>
        <w:rPr>
          <w:rFonts w:ascii="Times New Roman" w:hAnsi="Times New Roman" w:cs="Times New Roman"/>
          <w:sz w:val="21"/>
          <w:szCs w:val="21"/>
        </w:rPr>
      </w:pPr>
      <w:r>
        <w:rPr>
          <w:rFonts w:ascii="Times New Roman" w:hAnsi="Times New Roman" w:cs="Times New Roman"/>
          <w:sz w:val="21"/>
          <w:szCs w:val="21"/>
        </w:rPr>
        <w:t>18.4</w:t>
      </w:r>
      <w:r>
        <w:rPr>
          <w:rFonts w:hint="eastAsia" w:ascii="Times New Roman" w:hAnsi="Times New Roman" w:cs="Times New Roman"/>
          <w:sz w:val="21"/>
          <w:szCs w:val="21"/>
        </w:rPr>
        <w:t xml:space="preserve"> </w:t>
      </w:r>
      <w:r>
        <w:rPr>
          <w:rFonts w:ascii="Times New Roman" w:hAnsi="Times New Roman" w:cs="Times New Roman"/>
          <w:sz w:val="21"/>
          <w:szCs w:val="21"/>
        </w:rPr>
        <w:t>20ml聚乙烯样品瓶：3000个；</w:t>
      </w:r>
    </w:p>
    <w:p>
      <w:pPr>
        <w:pStyle w:val="40"/>
        <w:widowControl/>
        <w:rPr>
          <w:rFonts w:ascii="Times New Roman" w:hAnsi="Times New Roman" w:cs="Times New Roman"/>
          <w:sz w:val="21"/>
          <w:szCs w:val="21"/>
        </w:rPr>
      </w:pPr>
      <w:r>
        <w:rPr>
          <w:rFonts w:ascii="Times New Roman" w:hAnsi="Times New Roman" w:cs="Times New Roman"/>
          <w:sz w:val="21"/>
          <w:szCs w:val="21"/>
        </w:rPr>
        <w:t>18.5</w:t>
      </w:r>
      <w:r>
        <w:rPr>
          <w:rFonts w:hint="eastAsia" w:ascii="Times New Roman" w:hAnsi="Times New Roman" w:cs="Times New Roman"/>
          <w:sz w:val="21"/>
          <w:szCs w:val="21"/>
        </w:rPr>
        <w:t xml:space="preserve"> </w:t>
      </w:r>
      <w:r>
        <w:rPr>
          <w:rFonts w:ascii="Times New Roman" w:hAnsi="Times New Roman" w:cs="Times New Roman"/>
          <w:sz w:val="21"/>
          <w:szCs w:val="21"/>
        </w:rPr>
        <w:t>20ml低钾玻璃瓶：1000个；</w:t>
      </w:r>
    </w:p>
    <w:p>
      <w:pPr>
        <w:pStyle w:val="40"/>
        <w:widowControl/>
        <w:rPr>
          <w:rFonts w:ascii="Times New Roman" w:hAnsi="Times New Roman" w:cs="Times New Roman"/>
          <w:sz w:val="21"/>
          <w:szCs w:val="21"/>
        </w:rPr>
      </w:pPr>
      <w:r>
        <w:rPr>
          <w:rFonts w:ascii="Times New Roman" w:hAnsi="Times New Roman" w:cs="Times New Roman"/>
          <w:sz w:val="21"/>
          <w:szCs w:val="21"/>
        </w:rPr>
        <w:t>18.6</w:t>
      </w:r>
      <w:r>
        <w:rPr>
          <w:rFonts w:hint="eastAsia" w:ascii="Times New Roman" w:hAnsi="Times New Roman" w:cs="Times New Roman"/>
          <w:sz w:val="21"/>
          <w:szCs w:val="21"/>
        </w:rPr>
        <w:t xml:space="preserve"> </w:t>
      </w:r>
      <w:r>
        <w:rPr>
          <w:rFonts w:ascii="Times New Roman" w:hAnsi="Times New Roman" w:cs="Times New Roman"/>
          <w:sz w:val="21"/>
          <w:szCs w:val="21"/>
        </w:rPr>
        <w:t>瓶口分液器：1个，量程1-10ml，可提供快速、可再现的试剂精确定量分配；</w:t>
      </w:r>
    </w:p>
    <w:p>
      <w:pPr>
        <w:pStyle w:val="40"/>
        <w:widowControl/>
        <w:rPr>
          <w:rFonts w:ascii="Times New Roman" w:hAnsi="Times New Roman" w:cs="Times New Roman"/>
          <w:sz w:val="21"/>
          <w:szCs w:val="21"/>
        </w:rPr>
      </w:pPr>
      <w:r>
        <w:rPr>
          <w:rFonts w:ascii="Times New Roman" w:hAnsi="Times New Roman" w:cs="Times New Roman"/>
          <w:sz w:val="21"/>
          <w:szCs w:val="21"/>
        </w:rPr>
        <w:t>18.7</w:t>
      </w:r>
      <w:r>
        <w:rPr>
          <w:rFonts w:hint="eastAsia" w:ascii="Times New Roman" w:hAnsi="Times New Roman" w:cs="Times New Roman"/>
          <w:sz w:val="21"/>
          <w:szCs w:val="21"/>
        </w:rPr>
        <w:t xml:space="preserve"> 手动数字可调移液器：2个，量程0.01-10.00ml；</w:t>
      </w:r>
    </w:p>
    <w:p>
      <w:pPr>
        <w:pStyle w:val="40"/>
        <w:widowControl/>
        <w:rPr>
          <w:rFonts w:ascii="Times New Roman" w:hAnsi="Times New Roman" w:cs="Times New Roman"/>
          <w:sz w:val="21"/>
          <w:szCs w:val="21"/>
        </w:rPr>
      </w:pPr>
      <w:r>
        <w:rPr>
          <w:rFonts w:ascii="Times New Roman" w:hAnsi="Times New Roman" w:cs="Times New Roman"/>
          <w:sz w:val="21"/>
          <w:szCs w:val="21"/>
        </w:rPr>
        <w:t>18.8</w:t>
      </w:r>
      <w:r>
        <w:rPr>
          <w:rFonts w:hint="eastAsia" w:ascii="Times New Roman" w:hAnsi="Times New Roman" w:cs="Times New Roman"/>
          <w:sz w:val="21"/>
          <w:szCs w:val="21"/>
        </w:rPr>
        <w:t xml:space="preserve"> </w:t>
      </w:r>
      <w:r>
        <w:rPr>
          <w:rFonts w:ascii="Times New Roman" w:hAnsi="Times New Roman" w:cs="Times New Roman"/>
          <w:sz w:val="21"/>
          <w:szCs w:val="21"/>
        </w:rPr>
        <w:t>分析天平：感量0.0001g，量程大于100g；</w:t>
      </w:r>
    </w:p>
    <w:p>
      <w:pPr>
        <w:pStyle w:val="40"/>
        <w:widowControl/>
        <w:rPr>
          <w:rFonts w:ascii="Times New Roman" w:hAnsi="Times New Roman" w:cs="Times New Roman"/>
          <w:sz w:val="21"/>
          <w:szCs w:val="21"/>
        </w:rPr>
      </w:pPr>
      <w:r>
        <w:rPr>
          <w:rFonts w:ascii="Times New Roman" w:hAnsi="Times New Roman" w:cs="Times New Roman"/>
          <w:sz w:val="21"/>
          <w:szCs w:val="21"/>
        </w:rPr>
        <w:t>18.9</w:t>
      </w:r>
      <w:r>
        <w:rPr>
          <w:rFonts w:hint="eastAsia" w:ascii="Times New Roman" w:hAnsi="Times New Roman" w:cs="Times New Roman"/>
          <w:sz w:val="21"/>
          <w:szCs w:val="21"/>
        </w:rPr>
        <w:t xml:space="preserve"> </w:t>
      </w:r>
      <w:r>
        <w:rPr>
          <w:rFonts w:ascii="Times New Roman" w:hAnsi="Times New Roman" w:cs="Times New Roman"/>
          <w:sz w:val="21"/>
          <w:szCs w:val="21"/>
        </w:rPr>
        <w:t>电导率仪：测量范围0-2×10</w:t>
      </w:r>
      <w:r>
        <w:rPr>
          <w:rFonts w:ascii="Times New Roman" w:hAnsi="Times New Roman" w:cs="Times New Roman"/>
          <w:sz w:val="21"/>
          <w:szCs w:val="21"/>
          <w:vertAlign w:val="superscript"/>
        </w:rPr>
        <w:t>5</w:t>
      </w:r>
      <w:r>
        <w:rPr>
          <w:rFonts w:ascii="Times New Roman" w:hAnsi="Times New Roman" w:cs="Times New Roman"/>
          <w:sz w:val="21"/>
          <w:szCs w:val="21"/>
        </w:rPr>
        <w:t>μS/cm，</w:t>
      </w:r>
      <w:r>
        <w:rPr>
          <w:rFonts w:hint="eastAsia" w:ascii="Times New Roman" w:hAnsi="Times New Roman" w:cs="Times New Roman"/>
          <w:sz w:val="21"/>
          <w:szCs w:val="21"/>
        </w:rPr>
        <w:t>误差≤±1%；</w:t>
      </w:r>
    </w:p>
    <w:p>
      <w:pPr>
        <w:pStyle w:val="40"/>
        <w:widowControl/>
        <w:rPr>
          <w:rFonts w:ascii="Times New Roman" w:hAnsi="Times New Roman" w:cs="Times New Roman"/>
          <w:sz w:val="21"/>
          <w:szCs w:val="21"/>
        </w:rPr>
      </w:pPr>
      <w:r>
        <w:rPr>
          <w:rFonts w:ascii="Times New Roman" w:hAnsi="Times New Roman" w:cs="Times New Roman"/>
          <w:sz w:val="21"/>
          <w:szCs w:val="21"/>
        </w:rPr>
        <w:t>18.10</w:t>
      </w:r>
      <w:r>
        <w:rPr>
          <w:rFonts w:hint="eastAsia" w:ascii="Times New Roman" w:hAnsi="Times New Roman" w:cs="Times New Roman"/>
          <w:sz w:val="21"/>
          <w:szCs w:val="21"/>
        </w:rPr>
        <w:t xml:space="preserve"> </w:t>
      </w:r>
      <w:r>
        <w:rPr>
          <w:rFonts w:ascii="Times New Roman" w:hAnsi="Times New Roman" w:cs="Times New Roman"/>
          <w:sz w:val="21"/>
          <w:szCs w:val="21"/>
        </w:rPr>
        <w:t>UPS电源一套，要求在断电条件下保障设备至少正常运行</w:t>
      </w:r>
      <w:r>
        <w:rPr>
          <w:rFonts w:hint="eastAsia" w:ascii="Times New Roman" w:hAnsi="Times New Roman" w:cs="Times New Roman"/>
          <w:sz w:val="21"/>
          <w:szCs w:val="21"/>
        </w:rPr>
        <w:t>一</w:t>
      </w:r>
      <w:r>
        <w:rPr>
          <w:rFonts w:ascii="Times New Roman" w:hAnsi="Times New Roman" w:cs="Times New Roman"/>
          <w:sz w:val="21"/>
          <w:szCs w:val="21"/>
        </w:rPr>
        <w:t>小时以上；</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水中氚前处理设备</w:t>
      </w:r>
    </w:p>
    <w:p>
      <w:pPr>
        <w:rPr>
          <w:color w:val="000000"/>
          <w:kern w:val="0"/>
          <w:szCs w:val="21"/>
        </w:rPr>
      </w:pPr>
      <w:r>
        <w:rPr>
          <w:color w:val="000000"/>
          <w:kern w:val="0"/>
          <w:szCs w:val="21"/>
        </w:rPr>
        <w:t>19.1水中氚电解浓集装置</w:t>
      </w:r>
    </w:p>
    <w:p>
      <w:pPr>
        <w:rPr>
          <w:color w:val="000000"/>
          <w:kern w:val="0"/>
          <w:szCs w:val="21"/>
        </w:rPr>
      </w:pPr>
      <w:r>
        <w:rPr>
          <w:color w:val="000000"/>
          <w:kern w:val="0"/>
          <w:szCs w:val="21"/>
        </w:rPr>
        <w:t>19.1.1原理：采用电解浓集法，将采集到的环境水样品进行浓缩富集，通过浓缩降低样品体积，进而使得样品的放射性浓度提高，使得样品的放射性浓度高于实验室低本底测量设备的探测限，达到测量目的。</w:t>
      </w:r>
    </w:p>
    <w:p>
      <w:pPr>
        <w:rPr>
          <w:color w:val="000000"/>
          <w:kern w:val="0"/>
          <w:szCs w:val="21"/>
        </w:rPr>
      </w:pPr>
      <w:r>
        <w:rPr>
          <w:color w:val="000000"/>
          <w:kern w:val="0"/>
          <w:szCs w:val="21"/>
        </w:rPr>
        <w:t>19.1.2电解浓集方式:固体聚合物电解质（SPE）电解</w:t>
      </w:r>
      <w:r>
        <w:rPr>
          <w:rFonts w:hint="eastAsia"/>
          <w:color w:val="000000"/>
          <w:kern w:val="0"/>
          <w:szCs w:val="21"/>
        </w:rPr>
        <w:t>或碱式电解</w:t>
      </w:r>
      <w:r>
        <w:rPr>
          <w:color w:val="000000"/>
          <w:kern w:val="0"/>
          <w:szCs w:val="21"/>
        </w:rPr>
        <w:t>；</w:t>
      </w:r>
    </w:p>
    <w:p>
      <w:pPr>
        <w:rPr>
          <w:color w:val="000000"/>
          <w:kern w:val="0"/>
          <w:szCs w:val="21"/>
        </w:rPr>
      </w:pPr>
      <w:r>
        <w:rPr>
          <w:color w:val="000000"/>
          <w:kern w:val="0"/>
          <w:szCs w:val="21"/>
        </w:rPr>
        <w:t>19.1.3</w:t>
      </w:r>
      <w:r>
        <w:rPr>
          <w:rFonts w:hint="eastAsia"/>
          <w:color w:val="000000"/>
          <w:kern w:val="0"/>
          <w:szCs w:val="21"/>
        </w:rPr>
        <w:t>若采用碱式电解，电解池数量不少于12个；</w:t>
      </w:r>
    </w:p>
    <w:p>
      <w:pPr>
        <w:rPr>
          <w:color w:val="000000"/>
          <w:kern w:val="0"/>
          <w:szCs w:val="21"/>
        </w:rPr>
      </w:pPr>
      <w:r>
        <w:rPr>
          <w:color w:val="000000"/>
          <w:kern w:val="0"/>
          <w:szCs w:val="21"/>
        </w:rPr>
        <w:t>19.1.4</w:t>
      </w:r>
      <w:r>
        <w:rPr>
          <w:rFonts w:hint="eastAsia"/>
          <w:color w:val="000000"/>
          <w:kern w:val="0"/>
          <w:szCs w:val="21"/>
        </w:rPr>
        <w:t>电解初始水量≥400ml，电解结束剩余水量≤25ml；</w:t>
      </w:r>
    </w:p>
    <w:p>
      <w:pPr>
        <w:rPr>
          <w:color w:val="000000"/>
          <w:kern w:val="0"/>
          <w:szCs w:val="21"/>
        </w:rPr>
      </w:pPr>
      <w:r>
        <w:rPr>
          <w:color w:val="000000"/>
          <w:kern w:val="0"/>
          <w:szCs w:val="21"/>
        </w:rPr>
        <w:t>19.1.5</w:t>
      </w:r>
      <w:r>
        <w:rPr>
          <w:rFonts w:hint="eastAsia"/>
          <w:color w:val="000000"/>
          <w:kern w:val="0"/>
          <w:szCs w:val="21"/>
        </w:rPr>
        <w:t>分离系数≥6</w:t>
      </w:r>
      <w:r>
        <w:rPr>
          <w:color w:val="000000"/>
          <w:kern w:val="0"/>
          <w:szCs w:val="21"/>
        </w:rPr>
        <w:t>;</w:t>
      </w:r>
    </w:p>
    <w:p>
      <w:pPr>
        <w:rPr>
          <w:color w:val="000000"/>
          <w:kern w:val="0"/>
          <w:szCs w:val="21"/>
        </w:rPr>
      </w:pPr>
      <w:r>
        <w:rPr>
          <w:color w:val="000000"/>
          <w:kern w:val="0"/>
          <w:szCs w:val="21"/>
        </w:rPr>
        <w:t>19.1.6</w:t>
      </w:r>
      <w:r>
        <w:rPr>
          <w:rFonts w:hint="eastAsia"/>
          <w:color w:val="000000"/>
          <w:kern w:val="0"/>
          <w:szCs w:val="21"/>
        </w:rPr>
        <w:t>浓集倍数：≥10倍（700ml样品，浓集倍数=（Nf-Nb）/（Ni-Nb）计算， Nf为样品电解后总计数率（cpm）；Nb：本底计数率（cpm）；Ni：样品电解前总计数率(cpm) ）；</w:t>
      </w:r>
    </w:p>
    <w:p>
      <w:pPr>
        <w:rPr>
          <w:color w:val="000000"/>
          <w:kern w:val="0"/>
          <w:szCs w:val="21"/>
        </w:rPr>
      </w:pPr>
      <w:r>
        <w:rPr>
          <w:color w:val="000000"/>
          <w:kern w:val="0"/>
          <w:szCs w:val="21"/>
        </w:rPr>
        <w:t>19.1.7智能程度:在显示屏上一键</w:t>
      </w:r>
      <w:r>
        <w:rPr>
          <w:rFonts w:hint="eastAsia"/>
          <w:color w:val="000000"/>
          <w:kern w:val="0"/>
          <w:szCs w:val="21"/>
        </w:rPr>
        <w:t>可</w:t>
      </w:r>
      <w:r>
        <w:rPr>
          <w:color w:val="000000"/>
          <w:kern w:val="0"/>
          <w:szCs w:val="21"/>
        </w:rPr>
        <w:t>完成所有操作;也可自行设置各种参数（电解温度、电解时间等)，便于</w:t>
      </w:r>
      <w:r>
        <w:rPr>
          <w:rFonts w:hint="eastAsia"/>
          <w:color w:val="000000"/>
          <w:kern w:val="0"/>
          <w:szCs w:val="21"/>
        </w:rPr>
        <w:t>操作</w:t>
      </w:r>
      <w:r>
        <w:rPr>
          <w:color w:val="000000"/>
          <w:kern w:val="0"/>
          <w:szCs w:val="21"/>
        </w:rPr>
        <w:t>需求;</w:t>
      </w:r>
    </w:p>
    <w:p>
      <w:pPr>
        <w:rPr>
          <w:color w:val="000000"/>
          <w:kern w:val="0"/>
          <w:szCs w:val="21"/>
        </w:rPr>
      </w:pPr>
      <w:r>
        <w:rPr>
          <w:color w:val="000000"/>
          <w:kern w:val="0"/>
          <w:szCs w:val="21"/>
        </w:rPr>
        <w:t>19.2常</w:t>
      </w:r>
      <w:r>
        <w:rPr>
          <w:rFonts w:hint="eastAsia"/>
          <w:color w:val="000000"/>
          <w:kern w:val="0"/>
          <w:szCs w:val="21"/>
        </w:rPr>
        <w:t>压</w:t>
      </w:r>
      <w:r>
        <w:rPr>
          <w:color w:val="000000"/>
          <w:kern w:val="0"/>
          <w:szCs w:val="21"/>
        </w:rPr>
        <w:t>蒸馏装置：至少6个蒸馏位；</w:t>
      </w:r>
    </w:p>
    <w:p>
      <w:pPr>
        <w:rPr>
          <w:rFonts w:hint="eastAsia"/>
          <w:color w:val="000000"/>
          <w:kern w:val="0"/>
          <w:szCs w:val="21"/>
        </w:rPr>
      </w:pPr>
      <w:r>
        <w:rPr>
          <w:color w:val="000000"/>
          <w:kern w:val="0"/>
          <w:szCs w:val="21"/>
        </w:rPr>
        <w:t>19.3</w:t>
      </w:r>
      <w:r>
        <w:rPr>
          <w:rFonts w:hint="eastAsia"/>
          <w:color w:val="000000"/>
          <w:kern w:val="0"/>
          <w:szCs w:val="21"/>
        </w:rPr>
        <w:t>若采用碱式电解，应配备真空蒸馏设备；</w:t>
      </w:r>
    </w:p>
    <w:p>
      <w:pPr>
        <w:pStyle w:val="40"/>
        <w:widowControl/>
        <w:numPr>
          <w:ilvl w:val="0"/>
          <w:numId w:val="3"/>
        </w:numPr>
        <w:rPr>
          <w:rFonts w:ascii="Times New Roman" w:hAnsi="Times New Roman" w:cs="Times New Roman"/>
          <w:sz w:val="21"/>
          <w:szCs w:val="21"/>
        </w:rPr>
      </w:pPr>
      <w:r>
        <w:rPr>
          <w:rFonts w:hint="eastAsia" w:ascii="Times New Roman" w:hAnsi="Times New Roman" w:cs="Times New Roman"/>
          <w:sz w:val="21"/>
          <w:szCs w:val="21"/>
        </w:rPr>
        <w:t>有机氚碳制样系统</w:t>
      </w:r>
    </w:p>
    <w:p>
      <w:pPr>
        <w:pStyle w:val="40"/>
        <w:widowControl/>
        <w:rPr>
          <w:rFonts w:ascii="Times New Roman" w:hAnsi="Times New Roman" w:cs="Times New Roman"/>
          <w:sz w:val="21"/>
          <w:szCs w:val="21"/>
        </w:rPr>
      </w:pPr>
      <w:r>
        <w:rPr>
          <w:rFonts w:ascii="Times New Roman" w:hAnsi="Times New Roman" w:cs="Times New Roman"/>
          <w:sz w:val="21"/>
          <w:szCs w:val="21"/>
        </w:rPr>
        <w:t xml:space="preserve">20.1 </w:t>
      </w:r>
      <w:r>
        <w:rPr>
          <w:rFonts w:hint="eastAsia" w:ascii="Times New Roman" w:hAnsi="Times New Roman" w:cs="Times New Roman"/>
          <w:sz w:val="21"/>
          <w:szCs w:val="21"/>
        </w:rPr>
        <w:t>用于提取生物、植物、土壤等样品中的有机氚和有机碳-14；</w:t>
      </w:r>
    </w:p>
    <w:p>
      <w:pPr>
        <w:pStyle w:val="40"/>
        <w:widowControl/>
        <w:rPr>
          <w:rFonts w:ascii="Times New Roman" w:hAnsi="Times New Roman" w:cs="Times New Roman"/>
          <w:sz w:val="21"/>
          <w:szCs w:val="21"/>
        </w:rPr>
      </w:pPr>
      <w:r>
        <w:rPr>
          <w:rFonts w:ascii="Times New Roman" w:hAnsi="Times New Roman" w:cs="Times New Roman"/>
          <w:sz w:val="21"/>
          <w:szCs w:val="21"/>
        </w:rPr>
        <w:t xml:space="preserve">20.2 </w:t>
      </w:r>
      <w:r>
        <w:rPr>
          <w:rFonts w:hint="eastAsia" w:ascii="Times New Roman" w:hAnsi="Times New Roman" w:cs="Times New Roman"/>
          <w:sz w:val="21"/>
          <w:szCs w:val="21"/>
        </w:rPr>
        <w:t>最高工作温度≥1200℃；</w:t>
      </w:r>
    </w:p>
    <w:p>
      <w:pPr>
        <w:pStyle w:val="40"/>
        <w:widowControl/>
        <w:rPr>
          <w:rFonts w:ascii="Times New Roman" w:hAnsi="Times New Roman" w:cs="Times New Roman"/>
          <w:sz w:val="21"/>
          <w:szCs w:val="21"/>
        </w:rPr>
      </w:pPr>
      <w:r>
        <w:rPr>
          <w:rFonts w:hint="eastAsia" w:ascii="Times New Roman" w:hAnsi="Times New Roman" w:cs="Times New Roman"/>
          <w:sz w:val="21"/>
          <w:szCs w:val="21"/>
        </w:rPr>
        <w:t>20.3</w:t>
      </w:r>
      <w:r>
        <w:rPr>
          <w:rFonts w:ascii="Times New Roman" w:hAnsi="Times New Roman" w:cs="Times New Roman"/>
          <w:sz w:val="21"/>
          <w:szCs w:val="21"/>
        </w:rPr>
        <w:t xml:space="preserve"> </w:t>
      </w:r>
      <w:r>
        <w:rPr>
          <w:rFonts w:hint="eastAsia" w:ascii="Times New Roman" w:hAnsi="Times New Roman" w:cs="Times New Roman"/>
          <w:sz w:val="21"/>
          <w:szCs w:val="21"/>
        </w:rPr>
        <w:t>最大样品处理量≥40g；</w:t>
      </w:r>
    </w:p>
    <w:p>
      <w:pPr>
        <w:rPr>
          <w:color w:val="000000"/>
          <w:kern w:val="0"/>
          <w:szCs w:val="21"/>
        </w:rPr>
      </w:pPr>
      <w:r>
        <w:rPr>
          <w:color w:val="000000"/>
          <w:kern w:val="0"/>
          <w:szCs w:val="21"/>
        </w:rPr>
        <w:t xml:space="preserve">20.4 </w:t>
      </w:r>
      <w:r>
        <w:rPr>
          <w:rFonts w:hint="eastAsia"/>
          <w:color w:val="000000"/>
          <w:kern w:val="0"/>
          <w:szCs w:val="21"/>
        </w:rPr>
        <w:t>收集效率：氚水(HTO)≥90%（20g葡萄糖）；对</w:t>
      </w:r>
      <w:r>
        <w:rPr>
          <w:rFonts w:hint="eastAsia"/>
          <w:color w:val="000000"/>
          <w:kern w:val="0"/>
          <w:szCs w:val="21"/>
          <w:vertAlign w:val="superscript"/>
        </w:rPr>
        <w:t>14</w:t>
      </w:r>
      <w:r>
        <w:rPr>
          <w:rFonts w:hint="eastAsia"/>
          <w:color w:val="000000"/>
          <w:kern w:val="0"/>
          <w:szCs w:val="21"/>
        </w:rPr>
        <w:t>CO</w:t>
      </w:r>
      <w:r>
        <w:rPr>
          <w:rFonts w:hint="eastAsia"/>
          <w:color w:val="000000"/>
          <w:kern w:val="0"/>
          <w:szCs w:val="21"/>
          <w:vertAlign w:val="subscript"/>
        </w:rPr>
        <w:t>2</w:t>
      </w:r>
      <w:r>
        <w:rPr>
          <w:rFonts w:hint="eastAsia"/>
          <w:color w:val="000000"/>
          <w:kern w:val="0"/>
          <w:szCs w:val="21"/>
        </w:rPr>
        <w:t>≥90%（2g葡萄糖）</w:t>
      </w:r>
    </w:p>
    <w:p>
      <w:pPr>
        <w:rPr>
          <w:color w:val="000000"/>
          <w:kern w:val="0"/>
          <w:szCs w:val="21"/>
        </w:rPr>
      </w:pPr>
      <w:r>
        <w:rPr>
          <w:rFonts w:hint="eastAsia"/>
          <w:color w:val="000000"/>
          <w:kern w:val="0"/>
          <w:szCs w:val="21"/>
        </w:rPr>
        <w:t>20.5</w:t>
      </w:r>
      <w:r>
        <w:rPr>
          <w:color w:val="000000"/>
          <w:kern w:val="0"/>
          <w:szCs w:val="21"/>
        </w:rPr>
        <w:t xml:space="preserve"> </w:t>
      </w:r>
      <w:r>
        <w:rPr>
          <w:rFonts w:hint="eastAsia"/>
          <w:color w:val="000000"/>
          <w:kern w:val="0"/>
          <w:szCs w:val="21"/>
        </w:rPr>
        <w:t>工作管两端可独立供气，氧气进气口可直接到达催化区；</w:t>
      </w:r>
    </w:p>
    <w:p>
      <w:pPr>
        <w:rPr>
          <w:color w:val="000000"/>
          <w:kern w:val="0"/>
          <w:szCs w:val="21"/>
        </w:rPr>
      </w:pPr>
      <w:r>
        <w:rPr>
          <w:rFonts w:hint="eastAsia"/>
          <w:color w:val="000000"/>
          <w:kern w:val="0"/>
          <w:szCs w:val="21"/>
        </w:rPr>
        <w:t>20.6</w:t>
      </w:r>
      <w:r>
        <w:rPr>
          <w:color w:val="000000"/>
          <w:kern w:val="0"/>
          <w:szCs w:val="21"/>
        </w:rPr>
        <w:t>操作方式：液晶显示，可使用内置常规样品（植 物、肉类、鱼类、牛奶、贝类等）中的有机氚回收程序；</w:t>
      </w:r>
    </w:p>
    <w:p>
      <w:pPr>
        <w:pStyle w:val="40"/>
        <w:widowControl/>
        <w:numPr>
          <w:ilvl w:val="0"/>
          <w:numId w:val="3"/>
        </w:numPr>
        <w:rPr>
          <w:rFonts w:ascii="Times New Roman" w:hAnsi="Times New Roman" w:cs="Times New Roman"/>
          <w:sz w:val="21"/>
          <w:szCs w:val="21"/>
        </w:rPr>
      </w:pPr>
      <w:r>
        <w:rPr>
          <w:rFonts w:ascii="Times New Roman" w:hAnsi="Times New Roman" w:cs="Times New Roman"/>
          <w:sz w:val="21"/>
          <w:szCs w:val="21"/>
        </w:rPr>
        <w:t>技术服务</w:t>
      </w:r>
    </w:p>
    <w:p>
      <w:pPr>
        <w:rPr>
          <w:color w:val="000000"/>
          <w:kern w:val="0"/>
          <w:szCs w:val="21"/>
        </w:rPr>
      </w:pPr>
      <w:r>
        <w:rPr>
          <w:color w:val="000000"/>
          <w:kern w:val="0"/>
          <w:szCs w:val="21"/>
        </w:rPr>
        <w:t>21.1 仪器到货前根据用户实验室条件提供仪器安装调试技术方案，并在仪器到货后2周内免费完成安装调试。</w:t>
      </w:r>
    </w:p>
    <w:p>
      <w:pPr>
        <w:rPr>
          <w:color w:val="000000"/>
          <w:kern w:val="0"/>
          <w:szCs w:val="21"/>
        </w:rPr>
      </w:pPr>
      <w:r>
        <w:rPr>
          <w:color w:val="000000"/>
          <w:kern w:val="0"/>
          <w:szCs w:val="21"/>
        </w:rPr>
        <w:t>21.2仪器技术指标验收合格后，在用户实验室免费培训操作技术人员3名。</w:t>
      </w:r>
    </w:p>
    <w:p>
      <w:pPr>
        <w:rPr>
          <w:color w:val="000000"/>
          <w:kern w:val="0"/>
          <w:szCs w:val="21"/>
        </w:rPr>
      </w:pPr>
      <w:r>
        <w:rPr>
          <w:color w:val="000000"/>
          <w:kern w:val="0"/>
          <w:szCs w:val="21"/>
        </w:rPr>
        <w:t>21.3 投标人须提供制造商或者制造商授权的国内总代理针对本项目的授权文件</w:t>
      </w:r>
    </w:p>
    <w:p>
      <w:pPr>
        <w:pStyle w:val="40"/>
        <w:widowControl/>
        <w:rPr>
          <w:rFonts w:ascii="Times New Roman" w:hAnsi="Times New Roman" w:cs="Times New Roman"/>
          <w:sz w:val="21"/>
          <w:szCs w:val="21"/>
        </w:rPr>
      </w:pPr>
    </w:p>
    <w:sectPr>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D18"/>
    <w:multiLevelType w:val="singleLevel"/>
    <w:tmpl w:val="07F97D18"/>
    <w:lvl w:ilvl="0" w:tentative="0">
      <w:start w:val="1"/>
      <w:numFmt w:val="upperLetter"/>
      <w:pStyle w:val="4"/>
      <w:lvlText w:val="%1．"/>
      <w:lvlJc w:val="left"/>
      <w:pPr>
        <w:tabs>
          <w:tab w:val="left" w:pos="480"/>
        </w:tabs>
        <w:ind w:left="480" w:hanging="480"/>
      </w:pPr>
      <w:rPr>
        <w:rFonts w:hint="eastAsia"/>
      </w:rPr>
    </w:lvl>
  </w:abstractNum>
  <w:abstractNum w:abstractNumId="1">
    <w:nsid w:val="66563AF4"/>
    <w:multiLevelType w:val="multilevel"/>
    <w:tmpl w:val="66563AF4"/>
    <w:lvl w:ilvl="0" w:tentative="0">
      <w:start w:val="1"/>
      <w:numFmt w:val="decimal"/>
      <w:lvlText w:val="%1、"/>
      <w:lvlJc w:val="left"/>
      <w:pPr>
        <w:ind w:left="420" w:hanging="420"/>
      </w:pPr>
      <w:rPr>
        <w:rFonts w:hint="default"/>
      </w:rPr>
    </w:lvl>
    <w:lvl w:ilvl="1" w:tentative="0">
      <w:start w:val="0"/>
      <w:numFmt w:val="bullet"/>
      <w:lvlText w:val="▲"/>
      <w:lvlJc w:val="left"/>
      <w:pPr>
        <w:ind w:left="780" w:hanging="360"/>
      </w:pPr>
      <w:rPr>
        <w:rFonts w:hint="eastAsia" w:ascii="宋体" w:hAnsi="宋体" w:eastAsia="宋体" w:cs="宋体"/>
        <w:sz w:val="2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E86D87"/>
    <w:multiLevelType w:val="multilevel"/>
    <w:tmpl w:val="72E86D87"/>
    <w:lvl w:ilvl="0" w:tentative="0">
      <w:start w:val="2"/>
      <w:numFmt w:val="decimal"/>
      <w:suff w:val="nothing"/>
      <w:lvlText w:val="第 %1 部分 "/>
      <w:lvlJc w:val="left"/>
      <w:pPr>
        <w:ind w:left="3420" w:hanging="180"/>
      </w:pPr>
      <w:rPr>
        <w:rFonts w:hint="eastAsia" w:cs="Times New Roman"/>
        <w:i w:val="0"/>
        <w:iCs w:val="0"/>
        <w:caps w:val="0"/>
        <w:smallCaps w:val="0"/>
        <w:strike w:val="0"/>
        <w:dstrike w:val="0"/>
        <w:vanish w:val="0"/>
        <w:color w:val="000000"/>
        <w:spacing w:val="0"/>
        <w:position w:val="0"/>
        <w:u w:val="none"/>
        <w:vertAlign w:val="baseline"/>
      </w:rPr>
    </w:lvl>
    <w:lvl w:ilvl="1" w:tentative="0">
      <w:start w:val="1"/>
      <w:numFmt w:val="decimal"/>
      <w:suff w:val="nothing"/>
      <w:lvlText w:val="%1.%2 "/>
      <w:lvlJc w:val="left"/>
      <w:pPr>
        <w:ind w:left="2165" w:firstLine="0"/>
      </w:pPr>
      <w:rPr>
        <w:rFonts w:hint="default" w:ascii="Times New Roman" w:hAnsi="Times New Roman" w:eastAsia="宋体"/>
        <w:b/>
        <w:i w:val="0"/>
        <w:sz w:val="36"/>
      </w:rPr>
    </w:lvl>
    <w:lvl w:ilvl="2" w:tentative="0">
      <w:start w:val="1"/>
      <w:numFmt w:val="decimal"/>
      <w:pStyle w:val="47"/>
      <w:suff w:val="nothing"/>
      <w:lvlText w:val="%1.%2.%3 "/>
      <w:lvlJc w:val="left"/>
      <w:pPr>
        <w:ind w:left="0" w:firstLine="0"/>
      </w:pPr>
      <w:rPr>
        <w:rFonts w:hint="default" w:ascii="Times New Roman" w:hAnsi="Times New Roman" w:eastAsia="黑体"/>
        <w:b w:val="0"/>
        <w:i w:val="0"/>
        <w:sz w:val="32"/>
      </w:rPr>
    </w:lvl>
    <w:lvl w:ilvl="3" w:tentative="0">
      <w:start w:val="1"/>
      <w:numFmt w:val="decimal"/>
      <w:suff w:val="nothing"/>
      <w:lvlText w:val="%1.%2.3.%4 "/>
      <w:lvlJc w:val="left"/>
      <w:pPr>
        <w:ind w:left="72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4" w:tentative="0">
      <w:start w:val="1"/>
      <w:numFmt w:val="decimal"/>
      <w:suff w:val="nothing"/>
      <w:lvlText w:val="%5、"/>
      <w:lvlJc w:val="left"/>
      <w:pPr>
        <w:ind w:left="720" w:firstLine="0"/>
      </w:pPr>
      <w:rPr>
        <w:rFonts w:hint="default" w:ascii="Times New Roman" w:hAnsi="Times New Roman" w:eastAsia="黑体"/>
        <w:b w:val="0"/>
        <w:i w:val="0"/>
        <w:sz w:val="28"/>
      </w:rPr>
    </w:lvl>
    <w:lvl w:ilvl="5" w:tentative="0">
      <w:start w:val="1"/>
      <w:numFmt w:val="none"/>
      <w:suff w:val="nothing"/>
      <w:lvlText w:val=""/>
      <w:lvlJc w:val="left"/>
      <w:pPr>
        <w:ind w:left="180" w:firstLine="0"/>
      </w:pPr>
      <w:rPr>
        <w:rFonts w:hint="eastAsia"/>
      </w:rPr>
    </w:lvl>
    <w:lvl w:ilvl="6" w:tentative="0">
      <w:start w:val="1"/>
      <w:numFmt w:val="none"/>
      <w:suff w:val="nothing"/>
      <w:lvlText w:val=""/>
      <w:lvlJc w:val="left"/>
      <w:pPr>
        <w:ind w:left="180" w:firstLine="0"/>
      </w:pPr>
      <w:rPr>
        <w:rFonts w:hint="eastAsia"/>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2"/>
  </w:compat>
  <w:rsids>
    <w:rsidRoot w:val="00172A27"/>
    <w:rsid w:val="00001CF2"/>
    <w:rsid w:val="0000638D"/>
    <w:rsid w:val="000202CC"/>
    <w:rsid w:val="00022BDC"/>
    <w:rsid w:val="000357F8"/>
    <w:rsid w:val="00037BB8"/>
    <w:rsid w:val="0004146D"/>
    <w:rsid w:val="00042507"/>
    <w:rsid w:val="00051115"/>
    <w:rsid w:val="00062406"/>
    <w:rsid w:val="00067E78"/>
    <w:rsid w:val="00071E10"/>
    <w:rsid w:val="00076374"/>
    <w:rsid w:val="00094633"/>
    <w:rsid w:val="000953CE"/>
    <w:rsid w:val="000A02E0"/>
    <w:rsid w:val="000A62E3"/>
    <w:rsid w:val="000B1D3A"/>
    <w:rsid w:val="000B531D"/>
    <w:rsid w:val="000B5B04"/>
    <w:rsid w:val="000C35AC"/>
    <w:rsid w:val="000C3648"/>
    <w:rsid w:val="000C6148"/>
    <w:rsid w:val="000C727B"/>
    <w:rsid w:val="000D1765"/>
    <w:rsid w:val="000E2220"/>
    <w:rsid w:val="000E31EF"/>
    <w:rsid w:val="000E78D5"/>
    <w:rsid w:val="000F360B"/>
    <w:rsid w:val="000F378A"/>
    <w:rsid w:val="000F4EB9"/>
    <w:rsid w:val="000F5979"/>
    <w:rsid w:val="00103A19"/>
    <w:rsid w:val="00103CC1"/>
    <w:rsid w:val="00114F14"/>
    <w:rsid w:val="0012180D"/>
    <w:rsid w:val="00123AA0"/>
    <w:rsid w:val="001240C9"/>
    <w:rsid w:val="00127559"/>
    <w:rsid w:val="00136E40"/>
    <w:rsid w:val="001373F1"/>
    <w:rsid w:val="00137F44"/>
    <w:rsid w:val="0014476C"/>
    <w:rsid w:val="00145BCA"/>
    <w:rsid w:val="00150BFE"/>
    <w:rsid w:val="00172A27"/>
    <w:rsid w:val="00177387"/>
    <w:rsid w:val="0018307B"/>
    <w:rsid w:val="0018593D"/>
    <w:rsid w:val="001872B1"/>
    <w:rsid w:val="00191B7A"/>
    <w:rsid w:val="0019468F"/>
    <w:rsid w:val="001A6122"/>
    <w:rsid w:val="001B3012"/>
    <w:rsid w:val="001B5969"/>
    <w:rsid w:val="001C0394"/>
    <w:rsid w:val="001C03E0"/>
    <w:rsid w:val="001C1160"/>
    <w:rsid w:val="001C3FC7"/>
    <w:rsid w:val="001C6ED7"/>
    <w:rsid w:val="001D25F8"/>
    <w:rsid w:val="001D4703"/>
    <w:rsid w:val="001D530E"/>
    <w:rsid w:val="002047C0"/>
    <w:rsid w:val="00205D4E"/>
    <w:rsid w:val="00206E0E"/>
    <w:rsid w:val="002111D5"/>
    <w:rsid w:val="00213B13"/>
    <w:rsid w:val="002164E5"/>
    <w:rsid w:val="00222A75"/>
    <w:rsid w:val="00225169"/>
    <w:rsid w:val="00226FB6"/>
    <w:rsid w:val="00230F51"/>
    <w:rsid w:val="002374C8"/>
    <w:rsid w:val="002413C7"/>
    <w:rsid w:val="0025029A"/>
    <w:rsid w:val="00252832"/>
    <w:rsid w:val="00283BA4"/>
    <w:rsid w:val="00291AA0"/>
    <w:rsid w:val="002A5A0E"/>
    <w:rsid w:val="002B12D2"/>
    <w:rsid w:val="002B1B52"/>
    <w:rsid w:val="002C5DA0"/>
    <w:rsid w:val="002D3E02"/>
    <w:rsid w:val="002D44A9"/>
    <w:rsid w:val="002D5760"/>
    <w:rsid w:val="002E2D95"/>
    <w:rsid w:val="002E5F65"/>
    <w:rsid w:val="002E706B"/>
    <w:rsid w:val="002F0071"/>
    <w:rsid w:val="002F27CA"/>
    <w:rsid w:val="002F3DC4"/>
    <w:rsid w:val="00307427"/>
    <w:rsid w:val="00316A9D"/>
    <w:rsid w:val="00330A16"/>
    <w:rsid w:val="00333143"/>
    <w:rsid w:val="00340C69"/>
    <w:rsid w:val="003532F9"/>
    <w:rsid w:val="00371817"/>
    <w:rsid w:val="00372EA3"/>
    <w:rsid w:val="003816D4"/>
    <w:rsid w:val="00392244"/>
    <w:rsid w:val="00392DBE"/>
    <w:rsid w:val="0039464E"/>
    <w:rsid w:val="0039523F"/>
    <w:rsid w:val="003B1A3C"/>
    <w:rsid w:val="003B4355"/>
    <w:rsid w:val="003C6077"/>
    <w:rsid w:val="003C799D"/>
    <w:rsid w:val="003D06EE"/>
    <w:rsid w:val="003D2E9E"/>
    <w:rsid w:val="003E1BBD"/>
    <w:rsid w:val="003E20ED"/>
    <w:rsid w:val="003E38EA"/>
    <w:rsid w:val="003F5A8F"/>
    <w:rsid w:val="00407AFC"/>
    <w:rsid w:val="00407FC3"/>
    <w:rsid w:val="0041205F"/>
    <w:rsid w:val="0042221F"/>
    <w:rsid w:val="004249FE"/>
    <w:rsid w:val="0044381A"/>
    <w:rsid w:val="00454FA3"/>
    <w:rsid w:val="00462CE4"/>
    <w:rsid w:val="004724B5"/>
    <w:rsid w:val="0047603D"/>
    <w:rsid w:val="00481440"/>
    <w:rsid w:val="004868DB"/>
    <w:rsid w:val="004879B8"/>
    <w:rsid w:val="004A33E2"/>
    <w:rsid w:val="004A3495"/>
    <w:rsid w:val="004B570B"/>
    <w:rsid w:val="004D089A"/>
    <w:rsid w:val="004E0D01"/>
    <w:rsid w:val="004E236E"/>
    <w:rsid w:val="004E50C1"/>
    <w:rsid w:val="004E6307"/>
    <w:rsid w:val="004E70EC"/>
    <w:rsid w:val="004F49E3"/>
    <w:rsid w:val="004F77FE"/>
    <w:rsid w:val="00501001"/>
    <w:rsid w:val="005034F9"/>
    <w:rsid w:val="0050445F"/>
    <w:rsid w:val="00505A83"/>
    <w:rsid w:val="00516087"/>
    <w:rsid w:val="0052160A"/>
    <w:rsid w:val="00523D85"/>
    <w:rsid w:val="00525044"/>
    <w:rsid w:val="00533B3B"/>
    <w:rsid w:val="005552AD"/>
    <w:rsid w:val="00560EDB"/>
    <w:rsid w:val="00570A04"/>
    <w:rsid w:val="00573458"/>
    <w:rsid w:val="00573498"/>
    <w:rsid w:val="00580FD2"/>
    <w:rsid w:val="005967D6"/>
    <w:rsid w:val="005A5A8C"/>
    <w:rsid w:val="005A70AA"/>
    <w:rsid w:val="005B0AB8"/>
    <w:rsid w:val="005B60AC"/>
    <w:rsid w:val="005B7837"/>
    <w:rsid w:val="005C1018"/>
    <w:rsid w:val="005D3224"/>
    <w:rsid w:val="005D4136"/>
    <w:rsid w:val="005E02F6"/>
    <w:rsid w:val="005E2CE8"/>
    <w:rsid w:val="005E5DF6"/>
    <w:rsid w:val="005F29AA"/>
    <w:rsid w:val="005F4301"/>
    <w:rsid w:val="00601353"/>
    <w:rsid w:val="00616AC2"/>
    <w:rsid w:val="00621946"/>
    <w:rsid w:val="00644BCA"/>
    <w:rsid w:val="00655321"/>
    <w:rsid w:val="0066139A"/>
    <w:rsid w:val="00666E97"/>
    <w:rsid w:val="00672331"/>
    <w:rsid w:val="00673693"/>
    <w:rsid w:val="00684204"/>
    <w:rsid w:val="0068716C"/>
    <w:rsid w:val="00692875"/>
    <w:rsid w:val="006A58A2"/>
    <w:rsid w:val="006A7946"/>
    <w:rsid w:val="006D304A"/>
    <w:rsid w:val="006D6AE1"/>
    <w:rsid w:val="006E2DF3"/>
    <w:rsid w:val="006E7A44"/>
    <w:rsid w:val="006F4B3E"/>
    <w:rsid w:val="00705B53"/>
    <w:rsid w:val="00706DE6"/>
    <w:rsid w:val="007154E2"/>
    <w:rsid w:val="00723104"/>
    <w:rsid w:val="00725FFF"/>
    <w:rsid w:val="0073390A"/>
    <w:rsid w:val="0075356F"/>
    <w:rsid w:val="0076345F"/>
    <w:rsid w:val="00764114"/>
    <w:rsid w:val="00765FD0"/>
    <w:rsid w:val="00770B05"/>
    <w:rsid w:val="007728C5"/>
    <w:rsid w:val="00776566"/>
    <w:rsid w:val="007969E9"/>
    <w:rsid w:val="007A7173"/>
    <w:rsid w:val="007A7839"/>
    <w:rsid w:val="007B0B7E"/>
    <w:rsid w:val="007C1FED"/>
    <w:rsid w:val="007C2259"/>
    <w:rsid w:val="007C285E"/>
    <w:rsid w:val="007D129B"/>
    <w:rsid w:val="007D5125"/>
    <w:rsid w:val="007D7327"/>
    <w:rsid w:val="007D73FD"/>
    <w:rsid w:val="007E0F2D"/>
    <w:rsid w:val="007F1668"/>
    <w:rsid w:val="00820F5B"/>
    <w:rsid w:val="00826280"/>
    <w:rsid w:val="008410CC"/>
    <w:rsid w:val="008414B6"/>
    <w:rsid w:val="0085468F"/>
    <w:rsid w:val="00854FCF"/>
    <w:rsid w:val="00857506"/>
    <w:rsid w:val="008631C4"/>
    <w:rsid w:val="008932B2"/>
    <w:rsid w:val="008A7170"/>
    <w:rsid w:val="008B7AAD"/>
    <w:rsid w:val="008C4EB7"/>
    <w:rsid w:val="008E3D14"/>
    <w:rsid w:val="008E531C"/>
    <w:rsid w:val="008E6228"/>
    <w:rsid w:val="008E6C40"/>
    <w:rsid w:val="008F2BAD"/>
    <w:rsid w:val="008F2D0C"/>
    <w:rsid w:val="008F37F3"/>
    <w:rsid w:val="00915A33"/>
    <w:rsid w:val="00921CCB"/>
    <w:rsid w:val="00931011"/>
    <w:rsid w:val="00931DC5"/>
    <w:rsid w:val="009419D8"/>
    <w:rsid w:val="0095000A"/>
    <w:rsid w:val="00950AEE"/>
    <w:rsid w:val="009566C5"/>
    <w:rsid w:val="00965083"/>
    <w:rsid w:val="00965E45"/>
    <w:rsid w:val="00973D4C"/>
    <w:rsid w:val="00973DE4"/>
    <w:rsid w:val="009803E8"/>
    <w:rsid w:val="00993D0B"/>
    <w:rsid w:val="009A5917"/>
    <w:rsid w:val="009B1BC0"/>
    <w:rsid w:val="009C6EE4"/>
    <w:rsid w:val="009D184B"/>
    <w:rsid w:val="009E2BE6"/>
    <w:rsid w:val="009E40E2"/>
    <w:rsid w:val="009F2DA3"/>
    <w:rsid w:val="00A026F7"/>
    <w:rsid w:val="00A10CCC"/>
    <w:rsid w:val="00A475C6"/>
    <w:rsid w:val="00A54DDC"/>
    <w:rsid w:val="00A65EEC"/>
    <w:rsid w:val="00A75E1A"/>
    <w:rsid w:val="00A928A6"/>
    <w:rsid w:val="00A9431A"/>
    <w:rsid w:val="00A979D7"/>
    <w:rsid w:val="00AA3E28"/>
    <w:rsid w:val="00AA4608"/>
    <w:rsid w:val="00AF0CDB"/>
    <w:rsid w:val="00AF1FD6"/>
    <w:rsid w:val="00AF42B4"/>
    <w:rsid w:val="00B12643"/>
    <w:rsid w:val="00B13B4A"/>
    <w:rsid w:val="00B13C0E"/>
    <w:rsid w:val="00B23898"/>
    <w:rsid w:val="00B26872"/>
    <w:rsid w:val="00B30666"/>
    <w:rsid w:val="00B33805"/>
    <w:rsid w:val="00B448CB"/>
    <w:rsid w:val="00B4610A"/>
    <w:rsid w:val="00B60939"/>
    <w:rsid w:val="00B66EFE"/>
    <w:rsid w:val="00B86F85"/>
    <w:rsid w:val="00B91D4F"/>
    <w:rsid w:val="00B92ADC"/>
    <w:rsid w:val="00B94ED3"/>
    <w:rsid w:val="00B95521"/>
    <w:rsid w:val="00B95742"/>
    <w:rsid w:val="00BA2560"/>
    <w:rsid w:val="00BA5660"/>
    <w:rsid w:val="00BB1985"/>
    <w:rsid w:val="00BC4354"/>
    <w:rsid w:val="00BD23B1"/>
    <w:rsid w:val="00BF15B7"/>
    <w:rsid w:val="00C00319"/>
    <w:rsid w:val="00C0128D"/>
    <w:rsid w:val="00C0410F"/>
    <w:rsid w:val="00C05980"/>
    <w:rsid w:val="00C13C5D"/>
    <w:rsid w:val="00C40604"/>
    <w:rsid w:val="00C42A3F"/>
    <w:rsid w:val="00C50648"/>
    <w:rsid w:val="00C51DF2"/>
    <w:rsid w:val="00C60309"/>
    <w:rsid w:val="00C619ED"/>
    <w:rsid w:val="00C63EDD"/>
    <w:rsid w:val="00C83365"/>
    <w:rsid w:val="00C85500"/>
    <w:rsid w:val="00C91B78"/>
    <w:rsid w:val="00CA7CCC"/>
    <w:rsid w:val="00CB4E40"/>
    <w:rsid w:val="00CB6F51"/>
    <w:rsid w:val="00CC03EB"/>
    <w:rsid w:val="00CC0BAC"/>
    <w:rsid w:val="00CC4180"/>
    <w:rsid w:val="00CC46B1"/>
    <w:rsid w:val="00CC5431"/>
    <w:rsid w:val="00CD3936"/>
    <w:rsid w:val="00CD6612"/>
    <w:rsid w:val="00CF63F3"/>
    <w:rsid w:val="00D04C0A"/>
    <w:rsid w:val="00D073B8"/>
    <w:rsid w:val="00D07CBD"/>
    <w:rsid w:val="00D16489"/>
    <w:rsid w:val="00D21EF6"/>
    <w:rsid w:val="00D24895"/>
    <w:rsid w:val="00D355F8"/>
    <w:rsid w:val="00D42883"/>
    <w:rsid w:val="00D46F9B"/>
    <w:rsid w:val="00D47176"/>
    <w:rsid w:val="00D618ED"/>
    <w:rsid w:val="00D63714"/>
    <w:rsid w:val="00D74C4D"/>
    <w:rsid w:val="00D74FB2"/>
    <w:rsid w:val="00D82AD8"/>
    <w:rsid w:val="00D83E63"/>
    <w:rsid w:val="00D841D3"/>
    <w:rsid w:val="00D910F9"/>
    <w:rsid w:val="00DA2C48"/>
    <w:rsid w:val="00DB7F23"/>
    <w:rsid w:val="00DC500D"/>
    <w:rsid w:val="00DD1D9A"/>
    <w:rsid w:val="00DD75F8"/>
    <w:rsid w:val="00DF0143"/>
    <w:rsid w:val="00DF02E6"/>
    <w:rsid w:val="00DF325A"/>
    <w:rsid w:val="00DF34F7"/>
    <w:rsid w:val="00DF6AF5"/>
    <w:rsid w:val="00DF7EC1"/>
    <w:rsid w:val="00E15158"/>
    <w:rsid w:val="00E268A6"/>
    <w:rsid w:val="00E36009"/>
    <w:rsid w:val="00E36B46"/>
    <w:rsid w:val="00E43FCD"/>
    <w:rsid w:val="00E44DF5"/>
    <w:rsid w:val="00E503AB"/>
    <w:rsid w:val="00E51EE1"/>
    <w:rsid w:val="00E53D5B"/>
    <w:rsid w:val="00E545A8"/>
    <w:rsid w:val="00E81347"/>
    <w:rsid w:val="00E84F1B"/>
    <w:rsid w:val="00E95FD6"/>
    <w:rsid w:val="00EC0BFF"/>
    <w:rsid w:val="00EC79E3"/>
    <w:rsid w:val="00ED20B1"/>
    <w:rsid w:val="00EE150B"/>
    <w:rsid w:val="00EE6AC0"/>
    <w:rsid w:val="00EF0E47"/>
    <w:rsid w:val="00F03290"/>
    <w:rsid w:val="00F05CD9"/>
    <w:rsid w:val="00F15C1D"/>
    <w:rsid w:val="00F27ABD"/>
    <w:rsid w:val="00F322FC"/>
    <w:rsid w:val="00F34CD7"/>
    <w:rsid w:val="00F403A3"/>
    <w:rsid w:val="00F41841"/>
    <w:rsid w:val="00F624A9"/>
    <w:rsid w:val="00F72769"/>
    <w:rsid w:val="00F7368E"/>
    <w:rsid w:val="00F74EED"/>
    <w:rsid w:val="00F75033"/>
    <w:rsid w:val="00F75420"/>
    <w:rsid w:val="00F830BB"/>
    <w:rsid w:val="00FA2529"/>
    <w:rsid w:val="00FA2B86"/>
    <w:rsid w:val="00FB7FC8"/>
    <w:rsid w:val="00FC0419"/>
    <w:rsid w:val="00FC1842"/>
    <w:rsid w:val="00FD09AD"/>
    <w:rsid w:val="00FD189E"/>
    <w:rsid w:val="00FF22FD"/>
    <w:rsid w:val="00FF613E"/>
    <w:rsid w:val="01807EBE"/>
    <w:rsid w:val="01AC4E63"/>
    <w:rsid w:val="01C71997"/>
    <w:rsid w:val="01E811AC"/>
    <w:rsid w:val="028C360B"/>
    <w:rsid w:val="029A6FFD"/>
    <w:rsid w:val="02B35CC5"/>
    <w:rsid w:val="03447457"/>
    <w:rsid w:val="03990B73"/>
    <w:rsid w:val="039A197F"/>
    <w:rsid w:val="04253FDA"/>
    <w:rsid w:val="044261C2"/>
    <w:rsid w:val="0493460E"/>
    <w:rsid w:val="05183BA4"/>
    <w:rsid w:val="05292583"/>
    <w:rsid w:val="05543808"/>
    <w:rsid w:val="05802F92"/>
    <w:rsid w:val="062771C0"/>
    <w:rsid w:val="07267E5D"/>
    <w:rsid w:val="082038E6"/>
    <w:rsid w:val="093C2103"/>
    <w:rsid w:val="09726AF6"/>
    <w:rsid w:val="099E2019"/>
    <w:rsid w:val="09C24C61"/>
    <w:rsid w:val="09F31262"/>
    <w:rsid w:val="0A550002"/>
    <w:rsid w:val="0A87343B"/>
    <w:rsid w:val="0AA45437"/>
    <w:rsid w:val="0AC148E2"/>
    <w:rsid w:val="0B7E3761"/>
    <w:rsid w:val="0BED48BE"/>
    <w:rsid w:val="0C5A75C4"/>
    <w:rsid w:val="0C811890"/>
    <w:rsid w:val="0CD56D9C"/>
    <w:rsid w:val="0D7E55FB"/>
    <w:rsid w:val="0ED85E8F"/>
    <w:rsid w:val="0FCE44FB"/>
    <w:rsid w:val="10103C47"/>
    <w:rsid w:val="10DA7A3A"/>
    <w:rsid w:val="10DD7F3C"/>
    <w:rsid w:val="11415F9C"/>
    <w:rsid w:val="1166286F"/>
    <w:rsid w:val="11C54F7C"/>
    <w:rsid w:val="12154B93"/>
    <w:rsid w:val="124F5C2E"/>
    <w:rsid w:val="128B3401"/>
    <w:rsid w:val="12922A8B"/>
    <w:rsid w:val="12DB66FD"/>
    <w:rsid w:val="133C549C"/>
    <w:rsid w:val="13484826"/>
    <w:rsid w:val="139E33E8"/>
    <w:rsid w:val="140E57F5"/>
    <w:rsid w:val="141C6875"/>
    <w:rsid w:val="14CB5B0D"/>
    <w:rsid w:val="14CE6D61"/>
    <w:rsid w:val="15314652"/>
    <w:rsid w:val="158C72E6"/>
    <w:rsid w:val="15EF407F"/>
    <w:rsid w:val="15FB544A"/>
    <w:rsid w:val="16294BEB"/>
    <w:rsid w:val="164E574E"/>
    <w:rsid w:val="16807838"/>
    <w:rsid w:val="16810AFC"/>
    <w:rsid w:val="168209A3"/>
    <w:rsid w:val="16A71708"/>
    <w:rsid w:val="16E24019"/>
    <w:rsid w:val="173045B3"/>
    <w:rsid w:val="173858C7"/>
    <w:rsid w:val="17BA1AFE"/>
    <w:rsid w:val="181C089E"/>
    <w:rsid w:val="182C2F80"/>
    <w:rsid w:val="18483196"/>
    <w:rsid w:val="1889564E"/>
    <w:rsid w:val="18A101DE"/>
    <w:rsid w:val="18EF421A"/>
    <w:rsid w:val="196A1926"/>
    <w:rsid w:val="19F75BFB"/>
    <w:rsid w:val="1AC812B9"/>
    <w:rsid w:val="1AF2398A"/>
    <w:rsid w:val="1BCB5188"/>
    <w:rsid w:val="1C0E1A98"/>
    <w:rsid w:val="1CA6768D"/>
    <w:rsid w:val="1CC80EC6"/>
    <w:rsid w:val="1FBF3122"/>
    <w:rsid w:val="20AC2A81"/>
    <w:rsid w:val="218117C2"/>
    <w:rsid w:val="21914653"/>
    <w:rsid w:val="22E307CC"/>
    <w:rsid w:val="23E45DF0"/>
    <w:rsid w:val="24525D63"/>
    <w:rsid w:val="247C6308"/>
    <w:rsid w:val="24A061A3"/>
    <w:rsid w:val="256351BC"/>
    <w:rsid w:val="25BA46F2"/>
    <w:rsid w:val="26261822"/>
    <w:rsid w:val="263D1448"/>
    <w:rsid w:val="26C67BB0"/>
    <w:rsid w:val="26D32C40"/>
    <w:rsid w:val="270E1B44"/>
    <w:rsid w:val="27F56781"/>
    <w:rsid w:val="282E47CA"/>
    <w:rsid w:val="287C63C7"/>
    <w:rsid w:val="28A46D52"/>
    <w:rsid w:val="2942584B"/>
    <w:rsid w:val="2A0C4A0C"/>
    <w:rsid w:val="2A2049DE"/>
    <w:rsid w:val="2A3E299C"/>
    <w:rsid w:val="2A3E550B"/>
    <w:rsid w:val="2A4E393A"/>
    <w:rsid w:val="2AAF4215"/>
    <w:rsid w:val="2AC430B7"/>
    <w:rsid w:val="2B6F3580"/>
    <w:rsid w:val="2B9E191F"/>
    <w:rsid w:val="2C216675"/>
    <w:rsid w:val="2C7E149B"/>
    <w:rsid w:val="2CB613DA"/>
    <w:rsid w:val="2CB715DE"/>
    <w:rsid w:val="2CE12FCA"/>
    <w:rsid w:val="2CF53000"/>
    <w:rsid w:val="2D266DEE"/>
    <w:rsid w:val="2D9D35E3"/>
    <w:rsid w:val="2E22593D"/>
    <w:rsid w:val="2EAD6BAD"/>
    <w:rsid w:val="2F02092C"/>
    <w:rsid w:val="2F0F5A43"/>
    <w:rsid w:val="2FAE0FA5"/>
    <w:rsid w:val="30327B78"/>
    <w:rsid w:val="303D5AF1"/>
    <w:rsid w:val="30E03740"/>
    <w:rsid w:val="31B50E55"/>
    <w:rsid w:val="32DB28D1"/>
    <w:rsid w:val="335B655D"/>
    <w:rsid w:val="33C420E3"/>
    <w:rsid w:val="33CC3D88"/>
    <w:rsid w:val="33D7599C"/>
    <w:rsid w:val="33EF7309"/>
    <w:rsid w:val="34550BAA"/>
    <w:rsid w:val="35523945"/>
    <w:rsid w:val="3563591D"/>
    <w:rsid w:val="35A773F9"/>
    <w:rsid w:val="368B3C8B"/>
    <w:rsid w:val="37C83693"/>
    <w:rsid w:val="38231A04"/>
    <w:rsid w:val="383324ED"/>
    <w:rsid w:val="38B7551A"/>
    <w:rsid w:val="39083168"/>
    <w:rsid w:val="3934443C"/>
    <w:rsid w:val="39353A12"/>
    <w:rsid w:val="39592938"/>
    <w:rsid w:val="39E31415"/>
    <w:rsid w:val="3A6B63B9"/>
    <w:rsid w:val="3A6E7156"/>
    <w:rsid w:val="3B160EA0"/>
    <w:rsid w:val="3B7905A1"/>
    <w:rsid w:val="3C0E199F"/>
    <w:rsid w:val="3C5005CA"/>
    <w:rsid w:val="3C7C2C98"/>
    <w:rsid w:val="3DAA4E09"/>
    <w:rsid w:val="3E312839"/>
    <w:rsid w:val="3EC33654"/>
    <w:rsid w:val="3F5C7273"/>
    <w:rsid w:val="3F8F3E4E"/>
    <w:rsid w:val="3FCD4CB7"/>
    <w:rsid w:val="40140384"/>
    <w:rsid w:val="403C3B0A"/>
    <w:rsid w:val="405939A2"/>
    <w:rsid w:val="406841F5"/>
    <w:rsid w:val="40ED0233"/>
    <w:rsid w:val="41325883"/>
    <w:rsid w:val="41607EBC"/>
    <w:rsid w:val="416B4A8E"/>
    <w:rsid w:val="419633AA"/>
    <w:rsid w:val="41CA257F"/>
    <w:rsid w:val="41F35D1C"/>
    <w:rsid w:val="428D00BE"/>
    <w:rsid w:val="42CA1218"/>
    <w:rsid w:val="42EC395B"/>
    <w:rsid w:val="432479F9"/>
    <w:rsid w:val="436A07CC"/>
    <w:rsid w:val="439722AB"/>
    <w:rsid w:val="43B26C43"/>
    <w:rsid w:val="440A08B0"/>
    <w:rsid w:val="45634F2D"/>
    <w:rsid w:val="46547713"/>
    <w:rsid w:val="469F3D6C"/>
    <w:rsid w:val="46EF2788"/>
    <w:rsid w:val="47220AC2"/>
    <w:rsid w:val="47467DB7"/>
    <w:rsid w:val="4747139F"/>
    <w:rsid w:val="475450DC"/>
    <w:rsid w:val="47C230FD"/>
    <w:rsid w:val="47D01EDF"/>
    <w:rsid w:val="47D923AD"/>
    <w:rsid w:val="488A0553"/>
    <w:rsid w:val="48BF3D66"/>
    <w:rsid w:val="494A71CD"/>
    <w:rsid w:val="495C2BE2"/>
    <w:rsid w:val="49D822B4"/>
    <w:rsid w:val="4B11032E"/>
    <w:rsid w:val="4B3F6383"/>
    <w:rsid w:val="4B7C2794"/>
    <w:rsid w:val="4BA018A0"/>
    <w:rsid w:val="4BB86625"/>
    <w:rsid w:val="4BB95CD8"/>
    <w:rsid w:val="4BED77A1"/>
    <w:rsid w:val="4D1F3A54"/>
    <w:rsid w:val="4E22744E"/>
    <w:rsid w:val="4E9E61C4"/>
    <w:rsid w:val="4EAF2828"/>
    <w:rsid w:val="4FB3554D"/>
    <w:rsid w:val="500B145F"/>
    <w:rsid w:val="51186119"/>
    <w:rsid w:val="514F07F2"/>
    <w:rsid w:val="51663C9A"/>
    <w:rsid w:val="51CB39BF"/>
    <w:rsid w:val="51F81ABD"/>
    <w:rsid w:val="52706CDD"/>
    <w:rsid w:val="532D3606"/>
    <w:rsid w:val="54047F31"/>
    <w:rsid w:val="545C6276"/>
    <w:rsid w:val="55523DC1"/>
    <w:rsid w:val="55C23AAB"/>
    <w:rsid w:val="562778E0"/>
    <w:rsid w:val="56507FC4"/>
    <w:rsid w:val="56766D9F"/>
    <w:rsid w:val="56E67E55"/>
    <w:rsid w:val="5801342D"/>
    <w:rsid w:val="58BA45A1"/>
    <w:rsid w:val="58DC2558"/>
    <w:rsid w:val="58E80569"/>
    <w:rsid w:val="591304B3"/>
    <w:rsid w:val="593276E3"/>
    <w:rsid w:val="598900F2"/>
    <w:rsid w:val="5ADF7727"/>
    <w:rsid w:val="5B041744"/>
    <w:rsid w:val="5B1304A2"/>
    <w:rsid w:val="5BC56EA8"/>
    <w:rsid w:val="5C9D6DFA"/>
    <w:rsid w:val="5CAD579C"/>
    <w:rsid w:val="5D016630"/>
    <w:rsid w:val="5D0C1038"/>
    <w:rsid w:val="5D542EEB"/>
    <w:rsid w:val="5D9B1C77"/>
    <w:rsid w:val="5DB004C1"/>
    <w:rsid w:val="5DB43E94"/>
    <w:rsid w:val="5DC24909"/>
    <w:rsid w:val="5DF04B2E"/>
    <w:rsid w:val="5E194C40"/>
    <w:rsid w:val="5EAA77E0"/>
    <w:rsid w:val="5ECA2293"/>
    <w:rsid w:val="5EED4408"/>
    <w:rsid w:val="5F2B1033"/>
    <w:rsid w:val="5F520854"/>
    <w:rsid w:val="5F980471"/>
    <w:rsid w:val="600332A4"/>
    <w:rsid w:val="60244F2D"/>
    <w:rsid w:val="60465AB4"/>
    <w:rsid w:val="60CA1D62"/>
    <w:rsid w:val="611F24B1"/>
    <w:rsid w:val="615F75B5"/>
    <w:rsid w:val="616462CB"/>
    <w:rsid w:val="61C5148A"/>
    <w:rsid w:val="61FF0A8D"/>
    <w:rsid w:val="62365C3B"/>
    <w:rsid w:val="62870A35"/>
    <w:rsid w:val="6293684C"/>
    <w:rsid w:val="62FC5639"/>
    <w:rsid w:val="6331751F"/>
    <w:rsid w:val="638504B3"/>
    <w:rsid w:val="642E5A9A"/>
    <w:rsid w:val="643623E1"/>
    <w:rsid w:val="64BA17B9"/>
    <w:rsid w:val="64BA1C4E"/>
    <w:rsid w:val="64BC14CA"/>
    <w:rsid w:val="64C63648"/>
    <w:rsid w:val="64F74655"/>
    <w:rsid w:val="656E6DC6"/>
    <w:rsid w:val="657C6754"/>
    <w:rsid w:val="65AD558B"/>
    <w:rsid w:val="65D33E7E"/>
    <w:rsid w:val="66D105F6"/>
    <w:rsid w:val="67CC2428"/>
    <w:rsid w:val="67FB1BAB"/>
    <w:rsid w:val="68E1144C"/>
    <w:rsid w:val="69A90CDC"/>
    <w:rsid w:val="69B13A84"/>
    <w:rsid w:val="69CE67A3"/>
    <w:rsid w:val="6A2C6DAD"/>
    <w:rsid w:val="6A3D00DC"/>
    <w:rsid w:val="6A5C4D0E"/>
    <w:rsid w:val="6A773F2E"/>
    <w:rsid w:val="6A7B6085"/>
    <w:rsid w:val="6AAA4E8C"/>
    <w:rsid w:val="6AAF150C"/>
    <w:rsid w:val="6B5A2DEA"/>
    <w:rsid w:val="6B8425F1"/>
    <w:rsid w:val="6BE56CA9"/>
    <w:rsid w:val="6BF74BFB"/>
    <w:rsid w:val="6C1D04AD"/>
    <w:rsid w:val="6C4504B1"/>
    <w:rsid w:val="6C9D0B3F"/>
    <w:rsid w:val="6D271CDC"/>
    <w:rsid w:val="6D30218C"/>
    <w:rsid w:val="6D522BD5"/>
    <w:rsid w:val="6E000787"/>
    <w:rsid w:val="6E336FFB"/>
    <w:rsid w:val="6EE75201"/>
    <w:rsid w:val="6F7F6679"/>
    <w:rsid w:val="6FD20F59"/>
    <w:rsid w:val="708E6837"/>
    <w:rsid w:val="70A021A7"/>
    <w:rsid w:val="70BA2B7E"/>
    <w:rsid w:val="70C43A61"/>
    <w:rsid w:val="70C50F0F"/>
    <w:rsid w:val="70F123CB"/>
    <w:rsid w:val="72253AE4"/>
    <w:rsid w:val="731D534C"/>
    <w:rsid w:val="73655FDF"/>
    <w:rsid w:val="73A8757A"/>
    <w:rsid w:val="73B33B60"/>
    <w:rsid w:val="74221951"/>
    <w:rsid w:val="749B7C85"/>
    <w:rsid w:val="74EC4B62"/>
    <w:rsid w:val="757A7C49"/>
    <w:rsid w:val="76AA163F"/>
    <w:rsid w:val="772B2E92"/>
    <w:rsid w:val="783C6553"/>
    <w:rsid w:val="787A12BC"/>
    <w:rsid w:val="78DD76AE"/>
    <w:rsid w:val="78E134B6"/>
    <w:rsid w:val="78F35009"/>
    <w:rsid w:val="79387ED5"/>
    <w:rsid w:val="793D3B77"/>
    <w:rsid w:val="79B90BB3"/>
    <w:rsid w:val="79D40631"/>
    <w:rsid w:val="7A1F4989"/>
    <w:rsid w:val="7A536E87"/>
    <w:rsid w:val="7B070BE4"/>
    <w:rsid w:val="7B7104A0"/>
    <w:rsid w:val="7BAA3C71"/>
    <w:rsid w:val="7BAF6702"/>
    <w:rsid w:val="7C4405EC"/>
    <w:rsid w:val="7CCF01D0"/>
    <w:rsid w:val="7D1144BC"/>
    <w:rsid w:val="7D4665F7"/>
    <w:rsid w:val="7D577B3F"/>
    <w:rsid w:val="7D74675F"/>
    <w:rsid w:val="7F242C23"/>
    <w:rsid w:val="7F4E0530"/>
    <w:rsid w:val="7F9504EC"/>
    <w:rsid w:val="7F9741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440" w:lineRule="exact"/>
      <w:jc w:val="center"/>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numPr>
        <w:ilvl w:val="0"/>
        <w:numId w:val="1"/>
      </w:numPr>
      <w:spacing w:line="400" w:lineRule="exact"/>
      <w:jc w:val="center"/>
      <w:outlineLvl w:val="2"/>
    </w:pPr>
    <w:rPr>
      <w:rFonts w:ascii="仿宋_GB2312" w:eastAsia="仿宋_GB2312"/>
      <w:sz w:val="32"/>
    </w:rPr>
  </w:style>
  <w:style w:type="paragraph" w:styleId="6">
    <w:name w:val="heading 4"/>
    <w:basedOn w:val="1"/>
    <w:next w:val="5"/>
    <w:qFormat/>
    <w:uiPriority w:val="0"/>
    <w:pPr>
      <w:keepNext/>
      <w:keepLines/>
      <w:spacing w:before="280" w:after="290" w:line="372" w:lineRule="auto"/>
      <w:outlineLvl w:val="3"/>
    </w:pPr>
    <w:rPr>
      <w:rFonts w:ascii="Arial" w:hAnsi="Arial" w:eastAsia="黑体" w:cs="Arial"/>
      <w:b/>
      <w:bCs/>
      <w:sz w:val="28"/>
      <w:szCs w:val="28"/>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b/>
      <w:sz w:val="24"/>
    </w:rPr>
  </w:style>
  <w:style w:type="paragraph" w:styleId="7">
    <w:name w:val="List 3"/>
    <w:basedOn w:val="1"/>
    <w:qFormat/>
    <w:uiPriority w:val="0"/>
    <w:pPr>
      <w:ind w:left="100" w:leftChars="400" w:hanging="200" w:hangingChars="200"/>
      <w:contextualSpacing/>
    </w:pPr>
  </w:style>
  <w:style w:type="paragraph" w:styleId="8">
    <w:name w:val="annotation text"/>
    <w:basedOn w:val="1"/>
    <w:link w:val="53"/>
    <w:qFormat/>
    <w:uiPriority w:val="0"/>
    <w:pPr>
      <w:jc w:val="left"/>
    </w:pPr>
  </w:style>
  <w:style w:type="paragraph" w:styleId="9">
    <w:name w:val="Body Text"/>
    <w:basedOn w:val="1"/>
    <w:link w:val="35"/>
    <w:qFormat/>
    <w:uiPriority w:val="0"/>
    <w:rPr>
      <w:rFonts w:ascii="宋体"/>
      <w:sz w:val="28"/>
    </w:rPr>
  </w:style>
  <w:style w:type="paragraph" w:styleId="10">
    <w:name w:val="Body Text Indent"/>
    <w:basedOn w:val="1"/>
    <w:qFormat/>
    <w:uiPriority w:val="0"/>
    <w:pPr>
      <w:spacing w:line="360" w:lineRule="auto"/>
      <w:ind w:firstLine="420"/>
    </w:pPr>
    <w:rPr>
      <w:rFonts w:ascii="宋体"/>
      <w:sz w:val="24"/>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rPr>
  </w:style>
  <w:style w:type="paragraph" w:styleId="13">
    <w:name w:val="Date"/>
    <w:basedOn w:val="1"/>
    <w:next w:val="1"/>
    <w:qFormat/>
    <w:uiPriority w:val="0"/>
    <w:rPr>
      <w:rFonts w:ascii="宋体"/>
    </w:rPr>
  </w:style>
  <w:style w:type="paragraph" w:styleId="14">
    <w:name w:val="Body Text Indent 2"/>
    <w:basedOn w:val="1"/>
    <w:qFormat/>
    <w:uiPriority w:val="0"/>
    <w:pPr>
      <w:spacing w:line="420" w:lineRule="exact"/>
      <w:ind w:firstLine="525"/>
    </w:pPr>
    <w:rPr>
      <w:rFonts w:ascii="宋体"/>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Body Text Indent 3"/>
    <w:basedOn w:val="1"/>
    <w:qFormat/>
    <w:uiPriority w:val="0"/>
    <w:pPr>
      <w:ind w:firstLine="841" w:firstLineChars="100"/>
    </w:pPr>
    <w:rPr>
      <w:rFonts w:eastAsia="华文新魏"/>
      <w:b/>
      <w:bCs/>
      <w:sz w:val="8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21">
    <w:name w:val="Title"/>
    <w:basedOn w:val="1"/>
    <w:qFormat/>
    <w:uiPriority w:val="0"/>
    <w:pPr>
      <w:jc w:val="center"/>
    </w:pPr>
    <w:rPr>
      <w:sz w:val="30"/>
      <w:szCs w:val="24"/>
    </w:rPr>
  </w:style>
  <w:style w:type="paragraph" w:styleId="22">
    <w:name w:val="annotation subject"/>
    <w:basedOn w:val="8"/>
    <w:next w:val="8"/>
    <w:link w:val="54"/>
    <w:qFormat/>
    <w:uiPriority w:val="0"/>
    <w:rPr>
      <w:b/>
      <w:bCs/>
    </w:r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c lh15"/>
    <w:basedOn w:val="24"/>
    <w:qFormat/>
    <w:uiPriority w:val="0"/>
  </w:style>
  <w:style w:type="character" w:customStyle="1" w:styleId="30">
    <w:name w:val="标准文本 Char"/>
    <w:link w:val="31"/>
    <w:qFormat/>
    <w:uiPriority w:val="0"/>
    <w:rPr>
      <w:rFonts w:ascii="宋体" w:hAnsi="宋体" w:eastAsia="宋体" w:cs="宋体"/>
      <w:kern w:val="2"/>
      <w:sz w:val="21"/>
      <w:szCs w:val="21"/>
      <w:lang w:val="en-US" w:eastAsia="zh-CN" w:bidi="ar-SA"/>
    </w:rPr>
  </w:style>
  <w:style w:type="paragraph" w:customStyle="1" w:styleId="31">
    <w:name w:val="标准文本"/>
    <w:basedOn w:val="1"/>
    <w:link w:val="30"/>
    <w:qFormat/>
    <w:uiPriority w:val="0"/>
    <w:pPr>
      <w:spacing w:line="300" w:lineRule="auto"/>
      <w:ind w:firstLine="420" w:firstLineChars="200"/>
    </w:pPr>
    <w:rPr>
      <w:rFonts w:ascii="宋体" w:hAnsi="宋体" w:cs="宋体"/>
      <w:szCs w:val="21"/>
    </w:rPr>
  </w:style>
  <w:style w:type="character" w:customStyle="1" w:styleId="32">
    <w:name w:val="已访问的超链接1"/>
    <w:qFormat/>
    <w:uiPriority w:val="0"/>
    <w:rPr>
      <w:color w:val="800080"/>
      <w:u w:val="single"/>
    </w:rPr>
  </w:style>
  <w:style w:type="character" w:customStyle="1" w:styleId="33">
    <w:name w:val="style21"/>
    <w:qFormat/>
    <w:uiPriority w:val="0"/>
    <w:rPr>
      <w:sz w:val="18"/>
      <w:szCs w:val="18"/>
    </w:rPr>
  </w:style>
  <w:style w:type="character" w:customStyle="1" w:styleId="34">
    <w:name w:val="纯文本 Char"/>
    <w:link w:val="12"/>
    <w:qFormat/>
    <w:uiPriority w:val="0"/>
    <w:rPr>
      <w:rFonts w:ascii="宋体" w:hAnsi="Courier New" w:eastAsia="宋体"/>
      <w:kern w:val="2"/>
      <w:sz w:val="21"/>
      <w:lang w:val="en-US" w:eastAsia="zh-CN" w:bidi="ar-SA"/>
    </w:rPr>
  </w:style>
  <w:style w:type="character" w:customStyle="1" w:styleId="35">
    <w:name w:val="正文文本 Char"/>
    <w:link w:val="9"/>
    <w:qFormat/>
    <w:uiPriority w:val="0"/>
    <w:rPr>
      <w:rFonts w:ascii="宋体" w:eastAsia="宋体"/>
      <w:kern w:val="2"/>
      <w:sz w:val="28"/>
      <w:lang w:val="en-US" w:eastAsia="zh-CN" w:bidi="ar-SA"/>
    </w:rPr>
  </w:style>
  <w:style w:type="paragraph" w:customStyle="1" w:styleId="36">
    <w:name w:val="目录 11"/>
    <w:basedOn w:val="1"/>
    <w:next w:val="1"/>
    <w:qFormat/>
    <w:uiPriority w:val="0"/>
  </w:style>
  <w:style w:type="paragraph" w:customStyle="1" w:styleId="37">
    <w:name w:val="目录 81"/>
    <w:basedOn w:val="1"/>
    <w:next w:val="1"/>
    <w:qFormat/>
    <w:uiPriority w:val="0"/>
    <w:pPr>
      <w:ind w:left="2940" w:leftChars="1400"/>
    </w:pPr>
  </w:style>
  <w:style w:type="paragraph" w:customStyle="1" w:styleId="38">
    <w:name w:val="目录 31"/>
    <w:basedOn w:val="1"/>
    <w:next w:val="1"/>
    <w:qFormat/>
    <w:uiPriority w:val="0"/>
    <w:pPr>
      <w:ind w:left="840" w:leftChars="400"/>
    </w:pPr>
  </w:style>
  <w:style w:type="paragraph" w:customStyle="1" w:styleId="39">
    <w:name w:val="目录 71"/>
    <w:basedOn w:val="1"/>
    <w:next w:val="1"/>
    <w:qFormat/>
    <w:uiPriority w:val="0"/>
    <w:pPr>
      <w:ind w:left="2520" w:leftChars="1200"/>
    </w:pPr>
  </w:style>
  <w:style w:type="paragraph" w:customStyle="1" w:styleId="4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1">
    <w:name w:val="目录 51"/>
    <w:basedOn w:val="1"/>
    <w:next w:val="1"/>
    <w:qFormat/>
    <w:uiPriority w:val="0"/>
    <w:pPr>
      <w:ind w:left="1680" w:leftChars="800"/>
    </w:pPr>
  </w:style>
  <w:style w:type="paragraph" w:customStyle="1" w:styleId="42">
    <w:name w:val="目录 41"/>
    <w:basedOn w:val="1"/>
    <w:next w:val="1"/>
    <w:qFormat/>
    <w:uiPriority w:val="0"/>
    <w:pPr>
      <w:ind w:left="1260" w:leftChars="600"/>
    </w:pPr>
  </w:style>
  <w:style w:type="paragraph" w:customStyle="1" w:styleId="43">
    <w:name w:val="目录 61"/>
    <w:basedOn w:val="1"/>
    <w:next w:val="1"/>
    <w:qFormat/>
    <w:uiPriority w:val="0"/>
    <w:pPr>
      <w:ind w:left="2100" w:leftChars="1000"/>
    </w:pPr>
  </w:style>
  <w:style w:type="paragraph" w:customStyle="1" w:styleId="44">
    <w:name w:val="目录 21"/>
    <w:basedOn w:val="1"/>
    <w:next w:val="1"/>
    <w:qFormat/>
    <w:uiPriority w:val="0"/>
    <w:pPr>
      <w:ind w:left="420" w:leftChars="200"/>
    </w:pPr>
  </w:style>
  <w:style w:type="paragraph" w:customStyle="1" w:styleId="45">
    <w:name w:val="Char Char Char Char Char Char Char"/>
    <w:basedOn w:val="1"/>
    <w:semiHidden/>
    <w:qFormat/>
    <w:uiPriority w:val="0"/>
    <w:rPr>
      <w:rFonts w:ascii="Tahoma" w:hAnsi="Tahoma" w:cs="仿宋_GB2312"/>
      <w:sz w:val="24"/>
      <w:szCs w:val="28"/>
    </w:rPr>
  </w:style>
  <w:style w:type="paragraph" w:customStyle="1" w:styleId="46">
    <w:name w:val="目录 91"/>
    <w:basedOn w:val="1"/>
    <w:next w:val="1"/>
    <w:qFormat/>
    <w:uiPriority w:val="0"/>
    <w:pPr>
      <w:ind w:left="3360" w:leftChars="1600"/>
    </w:pPr>
  </w:style>
  <w:style w:type="paragraph" w:customStyle="1" w:styleId="47">
    <w:name w:val="Char Char Char Char Char Char Char1"/>
    <w:basedOn w:val="1"/>
    <w:qFormat/>
    <w:uiPriority w:val="0"/>
    <w:pPr>
      <w:numPr>
        <w:ilvl w:val="2"/>
        <w:numId w:val="2"/>
      </w:numPr>
      <w:tabs>
        <w:tab w:val="left" w:pos="432"/>
      </w:tabs>
      <w:ind w:left="432" w:hanging="432"/>
      <w:jc w:val="center"/>
    </w:pPr>
    <w:rPr>
      <w:rFonts w:ascii="仿宋_GB2312" w:hAnsi="Tahoma" w:eastAsia="仿宋_GB2312"/>
      <w:sz w:val="24"/>
      <w:szCs w:val="24"/>
    </w:r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 Char Char"/>
    <w:basedOn w:val="1"/>
    <w:qFormat/>
    <w:uiPriority w:val="0"/>
    <w:pPr>
      <w:widowControl/>
      <w:spacing w:line="400" w:lineRule="exact"/>
      <w:jc w:val="center"/>
    </w:pPr>
    <w:rPr>
      <w:szCs w:val="24"/>
    </w:rPr>
  </w:style>
  <w:style w:type="paragraph" w:customStyle="1" w:styleId="50">
    <w:name w:val="简单回函地址"/>
    <w:basedOn w:val="1"/>
    <w:qFormat/>
    <w:uiPriority w:val="0"/>
    <w:rPr>
      <w:szCs w:val="24"/>
    </w:rPr>
  </w:style>
  <w:style w:type="paragraph" w:customStyle="1" w:styleId="51">
    <w:name w:val="样式 首行缩进:  2 字符"/>
    <w:basedOn w:val="1"/>
    <w:qFormat/>
    <w:uiPriority w:val="0"/>
    <w:pPr>
      <w:spacing w:line="400" w:lineRule="exact"/>
      <w:ind w:firstLine="200" w:firstLineChars="200"/>
    </w:pPr>
    <w:rPr>
      <w:rFonts w:cs="宋体"/>
      <w:sz w:val="24"/>
      <w:szCs w:val="24"/>
    </w:rPr>
  </w:style>
  <w:style w:type="paragraph" w:customStyle="1" w:styleId="52">
    <w:name w:val="列出段落11"/>
    <w:basedOn w:val="1"/>
    <w:qFormat/>
    <w:uiPriority w:val="34"/>
    <w:pPr>
      <w:widowControl/>
      <w:spacing w:after="200" w:line="276" w:lineRule="auto"/>
      <w:ind w:left="720"/>
      <w:contextualSpacing/>
      <w:jc w:val="left"/>
    </w:pPr>
    <w:rPr>
      <w:rFonts w:ascii="Calibri" w:hAnsi="Calibri"/>
      <w:kern w:val="0"/>
      <w:sz w:val="22"/>
      <w:szCs w:val="22"/>
    </w:rPr>
  </w:style>
  <w:style w:type="character" w:customStyle="1" w:styleId="53">
    <w:name w:val="批注文字 Char"/>
    <w:link w:val="8"/>
    <w:qFormat/>
    <w:uiPriority w:val="0"/>
    <w:rPr>
      <w:kern w:val="2"/>
      <w:sz w:val="21"/>
    </w:rPr>
  </w:style>
  <w:style w:type="character" w:customStyle="1" w:styleId="54">
    <w:name w:val="批注主题 Char"/>
    <w:link w:val="22"/>
    <w:qFormat/>
    <w:uiPriority w:val="0"/>
    <w:rPr>
      <w:b/>
      <w:bCs/>
      <w:kern w:val="2"/>
      <w:sz w:val="21"/>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8E07E-CFD7-40E0-B06F-A9D3E7A6745A}">
  <ds:schemaRefs/>
</ds:datastoreItem>
</file>

<file path=docProps/app.xml><?xml version="1.0" encoding="utf-8"?>
<Properties xmlns="http://schemas.openxmlformats.org/officeDocument/2006/extended-properties" xmlns:vt="http://schemas.openxmlformats.org/officeDocument/2006/docPropsVTypes">
  <Template>Normal</Template>
  <Company>jcmec</Company>
  <Pages>2</Pages>
  <Words>331</Words>
  <Characters>1891</Characters>
  <Lines>15</Lines>
  <Paragraphs>4</Paragraphs>
  <TotalTime>327</TotalTime>
  <ScaleCrop>false</ScaleCrop>
  <LinksUpToDate>false</LinksUpToDate>
  <CharactersWithSpaces>2218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2022-03-07T02:11:00Z</dcterms:created>
  <dc:creator>OPEY A.</dc:creator>
  <dc:description>Shankar's Birthday falls on 25th July.  Don't Forget to wish him</dc:description>
  <cp:keywords>Birthday</cp:keywords>
  <cp:lastModifiedBy>qiuhuiting</cp:lastModifiedBy>
  <cp:lastPrinted>2015-05-28T05:54:00Z</cp:lastPrinted>
  <dcterms:modified xsi:type="dcterms:W3CDTF">2022-03-25T07:27:22Z</dcterms:modified>
  <dc:subject>Birthday</dc:subject>
  <dc:title>LOVE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