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auto"/>
          <w:sz w:val="24"/>
          <w:szCs w:val="24"/>
        </w:rPr>
      </w:pPr>
    </w:p>
    <w:p>
      <w:pPr>
        <w:jc w:val="center"/>
        <w:rPr>
          <w:rFonts w:ascii="宋体"/>
          <w:b/>
          <w:bCs/>
          <w:color w:val="auto"/>
          <w:sz w:val="32"/>
          <w:szCs w:val="32"/>
        </w:rPr>
      </w:pPr>
    </w:p>
    <w:p>
      <w:pPr>
        <w:jc w:val="center"/>
        <w:rPr>
          <w:rFonts w:ascii="宋体"/>
          <w:b/>
          <w:bCs/>
          <w:color w:val="auto"/>
          <w:w w:val="90"/>
          <w:sz w:val="32"/>
          <w:szCs w:val="32"/>
        </w:rPr>
      </w:pPr>
      <w:r>
        <w:rPr>
          <w:rFonts w:hint="eastAsia" w:ascii="宋体" w:cs="宋体"/>
          <w:b/>
          <w:bCs/>
          <w:color w:val="auto"/>
          <w:w w:val="90"/>
          <w:sz w:val="36"/>
          <w:szCs w:val="36"/>
        </w:rPr>
        <w:t>福建省三明环境监测中心站实验室仪器拆装项目采购</w:t>
      </w:r>
    </w:p>
    <w:p>
      <w:pPr>
        <w:spacing w:line="240" w:lineRule="atLeast"/>
        <w:jc w:val="center"/>
        <w:outlineLvl w:val="0"/>
        <w:rPr>
          <w:rFonts w:ascii="宋体"/>
          <w:b/>
          <w:bCs/>
          <w:color w:val="auto"/>
          <w:sz w:val="32"/>
          <w:szCs w:val="32"/>
        </w:rPr>
      </w:pPr>
    </w:p>
    <w:p>
      <w:pPr>
        <w:spacing w:line="240" w:lineRule="atLeast"/>
        <w:jc w:val="center"/>
        <w:outlineLvl w:val="0"/>
        <w:rPr>
          <w:rFonts w:ascii="宋体"/>
          <w:b/>
          <w:bCs/>
          <w:color w:val="auto"/>
          <w:sz w:val="32"/>
          <w:szCs w:val="32"/>
        </w:rPr>
      </w:pPr>
    </w:p>
    <w:p>
      <w:pPr>
        <w:spacing w:line="240" w:lineRule="atLeast"/>
        <w:jc w:val="center"/>
        <w:outlineLvl w:val="0"/>
        <w:rPr>
          <w:rFonts w:ascii="宋体"/>
          <w:b/>
          <w:bCs/>
          <w:color w:val="auto"/>
          <w:sz w:val="32"/>
          <w:szCs w:val="32"/>
        </w:rPr>
      </w:pPr>
    </w:p>
    <w:p>
      <w:pPr>
        <w:spacing w:line="240" w:lineRule="atLeast"/>
        <w:jc w:val="center"/>
        <w:outlineLvl w:val="0"/>
        <w:rPr>
          <w:rFonts w:ascii="宋体"/>
          <w:b/>
          <w:bCs/>
          <w:color w:val="auto"/>
          <w:sz w:val="32"/>
          <w:szCs w:val="32"/>
        </w:rPr>
      </w:pPr>
      <w:r>
        <w:rPr>
          <w:rFonts w:hint="eastAsia" w:ascii="宋体" w:cs="宋体"/>
          <w:b/>
          <w:bCs/>
          <w:color w:val="auto"/>
          <w:sz w:val="36"/>
          <w:szCs w:val="36"/>
        </w:rPr>
        <w:t>询　价　文　件</w:t>
      </w:r>
    </w:p>
    <w:p>
      <w:pPr>
        <w:spacing w:line="276" w:lineRule="auto"/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p>
      <w:pPr>
        <w:spacing w:line="276" w:lineRule="auto"/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p>
      <w:pPr>
        <w:spacing w:line="360" w:lineRule="auto"/>
        <w:ind w:firstLine="2249" w:firstLineChars="700"/>
        <w:rPr>
          <w:rFonts w:ascii="宋体"/>
          <w:color w:val="auto"/>
          <w:sz w:val="32"/>
          <w:szCs w:val="32"/>
        </w:rPr>
      </w:pPr>
      <w:r>
        <w:rPr>
          <w:rFonts w:hint="eastAsia" w:ascii="宋体" w:cs="宋体"/>
          <w:b/>
          <w:bCs/>
          <w:color w:val="auto"/>
          <w:sz w:val="32"/>
          <w:szCs w:val="32"/>
        </w:rPr>
        <w:t>项目编号：</w:t>
      </w:r>
      <w:r>
        <w:rPr>
          <w:rFonts w:ascii="宋体" w:hAnsi="宋体" w:cs="宋体"/>
          <w:color w:val="auto"/>
          <w:sz w:val="32"/>
          <w:szCs w:val="32"/>
        </w:rPr>
        <w:t>FJSMZ2022002</w:t>
      </w:r>
    </w:p>
    <w:p>
      <w:pPr>
        <w:spacing w:line="360" w:lineRule="auto"/>
        <w:ind w:firstLine="2072" w:firstLineChars="645"/>
        <w:jc w:val="center"/>
        <w:rPr>
          <w:rFonts w:ascii="宋体"/>
          <w:b/>
          <w:bCs/>
          <w:color w:val="auto"/>
          <w:sz w:val="32"/>
          <w:szCs w:val="32"/>
        </w:rPr>
      </w:pPr>
    </w:p>
    <w:p>
      <w:pPr>
        <w:spacing w:line="360" w:lineRule="auto"/>
        <w:ind w:firstLine="2249" w:firstLineChars="700"/>
        <w:rPr>
          <w:rFonts w:ascii="宋体"/>
          <w:color w:val="auto"/>
          <w:sz w:val="32"/>
          <w:szCs w:val="32"/>
        </w:rPr>
      </w:pPr>
      <w:r>
        <w:rPr>
          <w:rFonts w:hint="eastAsia" w:ascii="宋体" w:cs="宋体"/>
          <w:b/>
          <w:bCs/>
          <w:color w:val="auto"/>
          <w:sz w:val="32"/>
          <w:szCs w:val="32"/>
        </w:rPr>
        <w:t>项目名称：</w:t>
      </w:r>
      <w:r>
        <w:rPr>
          <w:rFonts w:hint="eastAsia" w:ascii="宋体" w:cs="宋体"/>
          <w:color w:val="auto"/>
          <w:sz w:val="32"/>
          <w:szCs w:val="32"/>
        </w:rPr>
        <w:t>实验室仪器拆装</w:t>
      </w:r>
    </w:p>
    <w:p>
      <w:pPr>
        <w:spacing w:line="360" w:lineRule="auto"/>
        <w:ind w:left="4491" w:leftChars="981" w:hanging="1744" w:hangingChars="545"/>
        <w:jc w:val="center"/>
        <w:rPr>
          <w:rFonts w:ascii="宋体"/>
          <w:color w:val="auto"/>
          <w:sz w:val="32"/>
          <w:szCs w:val="32"/>
        </w:rPr>
      </w:pPr>
    </w:p>
    <w:p>
      <w:pPr>
        <w:spacing w:line="360" w:lineRule="auto"/>
        <w:ind w:firstLine="2249" w:firstLineChars="700"/>
        <w:rPr>
          <w:rFonts w:ascii="宋体"/>
          <w:color w:val="auto"/>
          <w:sz w:val="32"/>
          <w:szCs w:val="32"/>
        </w:rPr>
      </w:pPr>
      <w:r>
        <w:rPr>
          <w:rFonts w:hint="eastAsia" w:ascii="宋体" w:cs="宋体"/>
          <w:b/>
          <w:bCs/>
          <w:color w:val="auto"/>
          <w:sz w:val="32"/>
          <w:szCs w:val="32"/>
        </w:rPr>
        <w:t>采购单位：</w:t>
      </w:r>
      <w:r>
        <w:rPr>
          <w:rFonts w:hint="eastAsia" w:ascii="宋体" w:cs="宋体"/>
          <w:color w:val="auto"/>
          <w:sz w:val="32"/>
          <w:szCs w:val="32"/>
        </w:rPr>
        <w:t>福建省三明环境监测中心站</w:t>
      </w:r>
    </w:p>
    <w:p>
      <w:pPr>
        <w:spacing w:line="360" w:lineRule="auto"/>
        <w:rPr>
          <w:rFonts w:ascii="宋体"/>
          <w:color w:val="auto"/>
          <w:sz w:val="32"/>
          <w:szCs w:val="32"/>
        </w:rPr>
      </w:pPr>
    </w:p>
    <w:p>
      <w:pPr>
        <w:spacing w:line="360" w:lineRule="auto"/>
        <w:rPr>
          <w:rFonts w:ascii="宋体"/>
          <w:color w:val="auto"/>
          <w:sz w:val="32"/>
          <w:szCs w:val="32"/>
        </w:rPr>
      </w:pPr>
    </w:p>
    <w:p>
      <w:pPr>
        <w:spacing w:line="360" w:lineRule="auto"/>
        <w:rPr>
          <w:rFonts w:ascii="宋体"/>
          <w:color w:val="auto"/>
          <w:sz w:val="32"/>
          <w:szCs w:val="32"/>
        </w:rPr>
      </w:pPr>
    </w:p>
    <w:p>
      <w:pPr>
        <w:spacing w:line="360" w:lineRule="auto"/>
        <w:rPr>
          <w:rFonts w:ascii="宋体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bCs/>
          <w:color w:val="auto"/>
          <w:sz w:val="32"/>
          <w:szCs w:val="32"/>
        </w:rPr>
      </w:pPr>
      <w:r>
        <w:rPr>
          <w:rFonts w:hint="eastAsia" w:ascii="宋体" w:cs="宋体"/>
          <w:b/>
          <w:bCs/>
          <w:color w:val="auto"/>
          <w:sz w:val="32"/>
          <w:szCs w:val="32"/>
        </w:rPr>
        <w:t>福建省三明环境监测中心站</w:t>
      </w:r>
    </w:p>
    <w:p>
      <w:pPr>
        <w:spacing w:line="360" w:lineRule="auto"/>
        <w:jc w:val="center"/>
        <w:rPr>
          <w:rFonts w:ascii="宋体"/>
          <w:b/>
          <w:bCs/>
          <w:color w:val="auto"/>
          <w:sz w:val="24"/>
          <w:szCs w:val="24"/>
        </w:rPr>
      </w:pPr>
      <w:r>
        <w:rPr>
          <w:rFonts w:ascii="宋体" w:cs="宋体"/>
          <w:b/>
          <w:bCs/>
          <w:color w:val="auto"/>
          <w:sz w:val="32"/>
          <w:szCs w:val="32"/>
        </w:rPr>
        <w:t>2022</w:t>
      </w:r>
      <w:r>
        <w:rPr>
          <w:rFonts w:hint="eastAsia" w:ascii="宋体" w:cs="宋体"/>
          <w:b/>
          <w:bCs/>
          <w:color w:val="auto"/>
          <w:sz w:val="32"/>
          <w:szCs w:val="32"/>
        </w:rPr>
        <w:t>年</w:t>
      </w:r>
      <w:r>
        <w:rPr>
          <w:rFonts w:ascii="宋体" w:cs="宋体"/>
          <w:b/>
          <w:bCs/>
          <w:color w:val="auto"/>
          <w:sz w:val="32"/>
          <w:szCs w:val="32"/>
        </w:rPr>
        <w:t>4</w:t>
      </w:r>
      <w:r>
        <w:rPr>
          <w:rFonts w:hint="eastAsia" w:ascii="宋体" w:cs="宋体"/>
          <w:b/>
          <w:bCs/>
          <w:color w:val="auto"/>
          <w:sz w:val="32"/>
          <w:szCs w:val="32"/>
        </w:rPr>
        <w:t>月</w:t>
      </w:r>
    </w:p>
    <w:p>
      <w:pPr>
        <w:rPr>
          <w:color w:val="auto"/>
          <w:sz w:val="24"/>
          <w:szCs w:val="24"/>
        </w:rPr>
        <w:sectPr>
          <w:pgSz w:w="11907" w:h="16839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jc w:val="center"/>
        <w:rPr>
          <w:rFonts w:asci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</w:rPr>
        <w:t>目</w:t>
      </w:r>
      <w:r>
        <w:rPr>
          <w:rFonts w:ascii="黑体" w:eastAsia="黑体" w:cs="黑体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2"/>
          <w:szCs w:val="32"/>
        </w:rPr>
        <w:t>录</w:t>
      </w:r>
    </w:p>
    <w:p>
      <w:pPr>
        <w:jc w:val="center"/>
        <w:rPr>
          <w:color w:val="auto"/>
          <w:sz w:val="24"/>
          <w:szCs w:val="24"/>
        </w:rPr>
      </w:pPr>
    </w:p>
    <w:p>
      <w:pPr>
        <w:tabs>
          <w:tab w:val="right" w:leader="dot" w:pos="8296"/>
        </w:tabs>
        <w:rPr>
          <w:rFonts w:ascii="仿宋_GB2312" w:eastAsia="仿宋_GB2312"/>
          <w:color w:val="auto"/>
          <w:sz w:val="32"/>
          <w:szCs w:val="32"/>
        </w:rPr>
      </w:pP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TOC \o "1-3" \h \z \u </w:instrText>
      </w:r>
      <w:r>
        <w:rPr>
          <w:color w:val="auto"/>
          <w:sz w:val="24"/>
          <w:szCs w:val="24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"_Toc508011965" </w:instrText>
      </w:r>
      <w:r>
        <w:rPr>
          <w:color w:val="auto"/>
        </w:rPr>
        <w:fldChar w:fldCharType="separate"/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一、邀请函</w:t>
      </w: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ascii="仿宋_GB2312" w:eastAsia="仿宋_GB2312"/>
          <w:color w:val="auto"/>
          <w:sz w:val="32"/>
          <w:szCs w:val="32"/>
        </w:rPr>
        <w:fldChar w:fldCharType="end"/>
      </w:r>
    </w:p>
    <w:p>
      <w:pPr>
        <w:tabs>
          <w:tab w:val="right" w:leader="dot" w:pos="8296"/>
        </w:tabs>
        <w:rPr>
          <w:rFonts w:ascii="仿宋_GB2312" w:eastAsia="仿宋_GB2312"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"_Toc508011966" </w:instrText>
      </w:r>
      <w:r>
        <w:rPr>
          <w:color w:val="auto"/>
        </w:rPr>
        <w:fldChar w:fldCharType="separate"/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二、询价须知</w:t>
      </w: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ascii="仿宋_GB2312" w:eastAsia="仿宋_GB2312"/>
          <w:color w:val="auto"/>
          <w:sz w:val="32"/>
          <w:szCs w:val="32"/>
        </w:rPr>
        <w:fldChar w:fldCharType="end"/>
      </w:r>
    </w:p>
    <w:p>
      <w:pPr>
        <w:tabs>
          <w:tab w:val="right" w:leader="dot" w:pos="8296"/>
        </w:tabs>
        <w:rPr>
          <w:rFonts w:ascii="仿宋_GB2312" w:eastAsia="仿宋_GB2312"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"_Toc508011967" </w:instrText>
      </w:r>
      <w:r>
        <w:rPr>
          <w:color w:val="auto"/>
        </w:rPr>
        <w:fldChar w:fldCharType="separate"/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三、实验室仪器拆装项目技术要求</w:t>
      </w: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ascii="仿宋_GB2312" w:eastAsia="仿宋_GB2312"/>
          <w:color w:val="auto"/>
          <w:sz w:val="32"/>
          <w:szCs w:val="32"/>
        </w:rPr>
        <w:fldChar w:fldCharType="end"/>
      </w:r>
    </w:p>
    <w:p>
      <w:pPr>
        <w:tabs>
          <w:tab w:val="right" w:leader="dot" w:pos="8296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四、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仪器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清单</w:t>
      </w:r>
    </w:p>
    <w:p>
      <w:pPr>
        <w:tabs>
          <w:tab w:val="right" w:leader="dot" w:pos="8296"/>
        </w:tabs>
        <w:rPr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fldChar w:fldCharType="end"/>
      </w: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  <w:sectPr>
          <w:pgSz w:w="12240" w:h="15840"/>
          <w:pgMar w:top="1440" w:right="1440" w:bottom="1440" w:left="1440" w:header="708" w:footer="708" w:gutter="0"/>
          <w:cols w:space="720" w:num="1"/>
          <w:docGrid w:type="lines" w:linePitch="312" w:charSpace="0"/>
        </w:sectPr>
      </w:pPr>
    </w:p>
    <w:p>
      <w:pPr>
        <w:spacing w:line="288" w:lineRule="auto"/>
        <w:outlineLvl w:val="1"/>
        <w:rPr>
          <w:rFonts w:ascii="宋体"/>
          <w:b/>
          <w:bCs/>
          <w:color w:val="auto"/>
          <w:sz w:val="24"/>
          <w:szCs w:val="24"/>
        </w:rPr>
      </w:pPr>
    </w:p>
    <w:p>
      <w:pPr>
        <w:spacing w:line="288" w:lineRule="auto"/>
        <w:jc w:val="center"/>
        <w:outlineLvl w:val="1"/>
        <w:rPr>
          <w:rFonts w:ascii="宋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一、邀请函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福建省三明环境监测中心站因实验室维修改造，需对部分实验室大型仪器进行拆装，现对福建省三明环境监测中心站实验室仪器拆装项目进行询价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，欢迎有意向的单位参加报价。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询价文件编号：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FJSMZ2022002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项目内容：详见询价文件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3.项目预算：123000元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采购单位：福建省三明环境监测中心站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联系人：刘先生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0598-8236263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13859168781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询价文件下载时间：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日直接从福建省生态环境厅官网的“公告公示”栏里下载。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报价文件内容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：报价文件应包括但不限于完整的拆装方案、报价人资质和报价等。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</w:rPr>
        <w:t>7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报价文件递交地点及截止时间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：报价文件应于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[2022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年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月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17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:00]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（北京时间）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以密封的形式提交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（可邮寄）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  <w:t>福建省三明环境监测中心站</w:t>
      </w:r>
      <w:r>
        <w:rPr>
          <w:rFonts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  <w:t>405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（福建省三明市三元区绿岩新村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幢）。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逾期送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达的或不符合实际需求的拆装方案及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超过预算价的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报价将被拒绝。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评标方法: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最低评标价法。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ascii="仿宋_GB2312" w:hAnsi="仿宋_GB2312" w:eastAsia="仿宋_GB2312" w:cs="Times New Roman"/>
          <w:b/>
          <w:bCs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9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开标时间：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2022年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月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日上午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9:00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（北京时间）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3" w:firstLineChars="200"/>
        <w:rPr>
          <w:rFonts w:ascii="仿宋_GB2312" w:hAnsi="仿宋_GB2312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开标地点：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福建省三明环境监测中心站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楼会议室</w:t>
      </w:r>
    </w:p>
    <w:p>
      <w:pPr>
        <w:spacing w:line="288" w:lineRule="auto"/>
        <w:outlineLvl w:val="1"/>
        <w:rPr>
          <w:rFonts w:ascii="仿宋_GB2312" w:hAnsi="仿宋_GB2312" w:eastAsia="仿宋_GB2312"/>
          <w:b/>
          <w:bCs/>
          <w:color w:val="auto"/>
          <w:sz w:val="32"/>
          <w:szCs w:val="32"/>
        </w:rPr>
      </w:pPr>
    </w:p>
    <w:p>
      <w:pPr>
        <w:pStyle w:val="2"/>
        <w:rPr>
          <w:color w:val="auto"/>
        </w:rPr>
      </w:pPr>
    </w:p>
    <w:p>
      <w:pPr>
        <w:spacing w:line="288" w:lineRule="auto"/>
        <w:jc w:val="center"/>
        <w:outlineLvl w:val="1"/>
        <w:rPr>
          <w:rFonts w:ascii="仿宋_GB2312" w:hAns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二、询价须知</w:t>
      </w:r>
    </w:p>
    <w:p>
      <w:pPr>
        <w:spacing w:line="288" w:lineRule="auto"/>
        <w:outlineLvl w:val="1"/>
        <w:rPr>
          <w:rFonts w:ascii="仿宋_GB2312" w:hAnsi="仿宋_GB2312" w:eastAsia="仿宋_GB2312"/>
          <w:b/>
          <w:bCs/>
          <w:color w:val="auto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报价文件应包括但不限于完整的拆装方案、报价人资质和报价等。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报价文件应于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（北京时间）之前以密封的形式提交到福建省三明环境监测中心站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办公室（福建省三明市三元区绿岩新村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报价人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报价人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必须是具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从事本次询价经营范围资质的法人单位,应具有仪器类技术服务资质,承担过类似的设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搬迁及安装调试服务,在经营活动中无违法违纪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报价人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提供的相关资料:企业法人营业执照复印件、企业组织机构代码证复印件、税务登记证复印件、银行开户许可证复印件、投标人代表的有效身份证明及法定代表人授权书、无违法违纪记录声明。相关文件资料复印件应加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报价人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企业公章。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报价人必须对其报价文件中提供各种资料、说明的真实性负责。在评选过程中，如发现报价人有为谋取中选而提供虚假资料欺骗采购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和评委的行为，将取消其中选资格。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中选后，采购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有可能对成交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报价文件中的承诺内容和证明材料进行核查，成交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应无条件配合采购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的核查工作，不得托词拒绝核查或隐瞒真实情况。若发现成交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虚假响应，则予以无效报价处理。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若在签订合同时，发现成交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有提供虚假材料谋取中选等违法违规行为，将取消其成交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资格；给采购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造成损失的，还必须进行赔偿并负相关责任。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成交方需承诺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本项目仪器设备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拆装调试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须是有相应资质的工程师负责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本项目不允许转包、不接受联合体投标。</w:t>
      </w:r>
    </w:p>
    <w:p>
      <w:pPr>
        <w:spacing w:line="288" w:lineRule="auto"/>
        <w:jc w:val="center"/>
        <w:outlineLvl w:val="1"/>
        <w:rPr>
          <w:rFonts w:ascii="仿宋_GB2312" w:hAns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三、实验室仪器拆装项目技术要求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总体要求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搬运、安装、调试等服务，确保拆装工作完成后设备能恢复到拆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前状态。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1.1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保证仪器拆装过程中所有配件不遗失、损毁等；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1.2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对于多组件仪器设备保证各个组件的完整性，不得发生组件的遗失、损毁等；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1.3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确保所有拆装仪器的性能状态前后一致。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拆装地址</w:t>
      </w:r>
    </w:p>
    <w:p>
      <w:pPr>
        <w:spacing w:line="28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本项目仪器设备拆装仅在本站办公大楼内不同实验室间迁移。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一次搬运:将封装好的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仪器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及其零配件根据我方要求搬运至同一建筑物内的指定临时存放场所。</w:t>
      </w:r>
    </w:p>
    <w:p>
      <w:pPr>
        <w:bidi w:val="0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二次搬运及安装、调试:将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仪器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及其零配件由临时存放场所搬运至同一建筑物内的最终安装场所,并进行安装及调试。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拆装仪器设备</w:t>
      </w:r>
    </w:p>
    <w:p>
      <w:pPr>
        <w:spacing w:line="288" w:lineRule="auto"/>
        <w:ind w:firstLine="640" w:firstLineChars="200"/>
        <w:rPr>
          <w:rFonts w:hint="default" w:ascii="仿宋_GB2312" w:hAnsi="仿宋_GB2312" w:eastAsia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共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分析仪器及其配套设备，详见附件清单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实施拆装时间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具体时间以采购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通知为准，包括项目的验收及仪器拆装档案的移交。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技术要求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本项目为实验室仪器的拆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搬运、安装、调试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包括所列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仪器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涉及的所有配置。具体要求如下：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5.1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前状态确认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仪器拆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前由采购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设备管理人员与成交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技术人员现场对仪器设备进行主机及零配件等逐一核对、列出清单，开机测试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相关参数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，测试参数可参考相关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仪器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的校准标准或其质控参数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测试过程及结果应详细记录并经双方签字确认后方可进行拆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5.2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仪器设备拆机</w:t>
      </w:r>
    </w:p>
    <w:p>
      <w:pPr>
        <w:spacing w:line="288" w:lineRule="auto"/>
        <w:ind w:firstLine="640" w:firstLineChars="200"/>
        <w:rPr>
          <w:rFonts w:hint="default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仪器状态确认后，成交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针对不同仪器类型，指定具有相应仪器类别安装维修资质的工程师负责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拆机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工作，拆机后对仪器及相关配件进行详细标注及登记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，并负责搬运到采购方指定的地点进行防护包装，妥善安放。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5.3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仪器设备安装调试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）仪器设备迁移至实验室负责人指定位置后，成交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进行包装拆除并及时回收包装材料；</w:t>
      </w:r>
    </w:p>
    <w:p>
      <w:pPr>
        <w:spacing w:line="288" w:lineRule="auto"/>
        <w:ind w:firstLine="640" w:firstLineChars="200"/>
        <w:rPr>
          <w:rFonts w:hint="default"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）仪器设备按照规定完成安装，由具有相应仪器类别安装维修资质的工程师对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拆机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分解的部件进行组装，并调试至待机状态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拆装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后状态确认及清点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仪器设备安装调试后进行与拆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前相同的指标测试，测试通过后由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会同采购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指定人员对仪器状态进行确认；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）拆装前后对仪器设备做资料存档，确保拆装后仪器及附件外观与拆装前相比无新增破损、锈蚀、碰伤等。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验收方式及标准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）仪器迁移至指定实验室后，按装箱单逐项清点，确保数量和拆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前一致；</w:t>
      </w:r>
    </w:p>
    <w:p>
      <w:pPr>
        <w:spacing w:line="288" w:lineRule="auto"/>
        <w:ind w:left="638" w:leftChars="228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拆装前后需要样品测试，保证前后性能一致或达到原厂标准；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仪器设备调试至待机状态后由采购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委托第三方机构（具备检定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校准资质）进行检定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校准，由采购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指定人员对仪器状态进行确认；</w:t>
      </w:r>
    </w:p>
    <w:p>
      <w:pPr>
        <w:spacing w:line="28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因成交方原因导致仪器或配件损坏的，有成交方负责使用原厂配件修复。确实无法修复的，根据物品损坏程度，由双方协商赔偿；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）若因拆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原因造成的仪器性能不达标的，成交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免费提供维修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、维护服务，确保仪器性能达到拆机前水平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项目过程管理要求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）能够提供有效的过程管理方案，降低拆装过程中存在的风险，记录拆装过程中产生的信息；</w:t>
      </w:r>
    </w:p>
    <w:p>
      <w:pPr>
        <w:spacing w:line="288" w:lineRule="auto"/>
        <w:ind w:firstLine="640" w:firstLineChars="200"/>
        <w:rPr>
          <w:rFonts w:hint="default"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）过程管理内容包含仪器包装的标签信息、配件信息等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）拆装项目作业期间，需要对仪器设备进行拆机前仪器表面除尘清洁等维护保养处理，保证移动、包装无尘操作，特别是装机前新装修实验室内、台面应进行符合实验室要求的清洁工作。</w:t>
      </w:r>
    </w:p>
    <w:p>
      <w:pPr>
        <w:spacing w:line="288" w:lineRule="auto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项目管理文件</w:t>
      </w:r>
    </w:p>
    <w:p>
      <w:pPr>
        <w:spacing w:line="288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项目管理文件包括：项目方案、实施计划、人员名单、各项资质证明、拆机前的测试报告、安装后的测试报告、装箱单、项目验收报告等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bidi w:val="0"/>
        <w:ind w:firstLine="560" w:firstLineChars="200"/>
        <w:rPr>
          <w:rFonts w:hint="default"/>
          <w:color w:val="auto"/>
        </w:rPr>
      </w:pPr>
    </w:p>
    <w:p>
      <w:pPr>
        <w:spacing w:line="288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</w:p>
    <w:p>
      <w:pPr>
        <w:rPr>
          <w:rFonts w:ascii="仿宋_GB2312" w:eastAsia="仿宋_GB2312"/>
          <w:color w:val="auto"/>
          <w:sz w:val="24"/>
          <w:szCs w:val="24"/>
        </w:rPr>
        <w:sectPr>
          <w:pgSz w:w="12240" w:h="15840"/>
          <w:pgMar w:top="1440" w:right="1440" w:bottom="1440" w:left="1440" w:header="708" w:footer="708" w:gutter="0"/>
          <w:cols w:space="720" w:num="1"/>
          <w:docGrid w:type="lines" w:linePitch="312" w:charSpace="0"/>
        </w:sectPr>
      </w:pPr>
    </w:p>
    <w:p>
      <w:pPr>
        <w:pStyle w:val="2"/>
        <w:spacing w:after="10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四、仪器清单</w:t>
      </w:r>
    </w:p>
    <w:tbl>
      <w:tblPr>
        <w:tblStyle w:val="8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73"/>
        <w:gridCol w:w="3482"/>
        <w:gridCol w:w="750"/>
        <w:gridCol w:w="840"/>
        <w:gridCol w:w="1470"/>
        <w:gridCol w:w="2025"/>
        <w:gridCol w:w="1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仪器名称</w:t>
            </w:r>
          </w:p>
        </w:tc>
        <w:tc>
          <w:tcPr>
            <w:tcW w:w="1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仪器型号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拆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前位置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拆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后临时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存放位置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组装位置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高锰酸盐指数全自动分析仪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谱育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SUPEC 5000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ICP-MS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PE Nexion300X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连续流动分析仪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SAN++5000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（总磷、总氮、氨氮）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连续流动分析仪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SAN++5000(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氰化物、挥发酚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ICP-OES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PE Optima 8000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气相分子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北裕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GMA376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离子色谱仪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青岛普仁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PIC-20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型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液相色谱仪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安捷伦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1260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实验室</w:t>
            </w:r>
          </w:p>
        </w:tc>
      </w:tr>
    </w:tbl>
    <w:p>
      <w:pPr>
        <w:rPr>
          <w:color w:val="auto"/>
          <w:sz w:val="24"/>
          <w:szCs w:val="24"/>
        </w:rPr>
      </w:pPr>
    </w:p>
    <w:sectPr>
      <w:pgSz w:w="15840" w:h="12240" w:orient="landscape"/>
      <w:pgMar w:top="1440" w:right="1440" w:bottom="1440" w:left="1440" w:header="708" w:footer="70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HorizontalSpacing w:val="14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55"/>
    <w:rsid w:val="00330B26"/>
    <w:rsid w:val="005F3955"/>
    <w:rsid w:val="007C6005"/>
    <w:rsid w:val="00AE7622"/>
    <w:rsid w:val="00B726CD"/>
    <w:rsid w:val="00C616B5"/>
    <w:rsid w:val="00E346BB"/>
    <w:rsid w:val="00F4580D"/>
    <w:rsid w:val="0E930E61"/>
    <w:rsid w:val="116062DB"/>
    <w:rsid w:val="30CA4AFB"/>
    <w:rsid w:val="3E6D4C8E"/>
    <w:rsid w:val="57227089"/>
    <w:rsid w:val="73E77C2C"/>
    <w:rsid w:val="77672143"/>
    <w:rsid w:val="777E2430"/>
    <w:rsid w:val="D77F987B"/>
    <w:rsid w:val="E5FBD343"/>
    <w:rsid w:val="E7FF00F8"/>
    <w:rsid w:val="F3FCA1EC"/>
    <w:rsid w:val="F7FF5681"/>
    <w:rsid w:val="FB65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99"/>
    <w:pPr>
      <w:tabs>
        <w:tab w:val="center" w:pos="4513"/>
        <w:tab w:val="right" w:pos="9026"/>
      </w:tabs>
      <w:snapToGrid w:val="0"/>
      <w:jc w:val="left"/>
    </w:pPr>
    <w:rPr>
      <w:rFonts w:ascii="Calibri" w:hAnsi="Calibri" w:eastAsia="等线" w:cs="Calibri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rFonts w:ascii="Calibri" w:hAnsi="Calibri" w:eastAsia="等线" w:cs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5">
    <w:name w:val="Footer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9</Pages>
  <Words>2668</Words>
  <Characters>2917</Characters>
  <Lines>0</Lines>
  <Paragraphs>0</Paragraphs>
  <TotalTime>8</TotalTime>
  <ScaleCrop>false</ScaleCrop>
  <LinksUpToDate>false</LinksUpToDate>
  <CharactersWithSpaces>2961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2022-04-07T03:35:00Z</dcterms:created>
  <dc:creator>LIU,YUN-LING (Agilent CHN)</dc:creator>
  <cp:lastModifiedBy>单眼皮</cp:lastModifiedBy>
  <cp:lastPrinted>2022-04-07T16:51:00Z</cp:lastPrinted>
  <dcterms:modified xsi:type="dcterms:W3CDTF">2022-04-07T08:55:46Z</dcterms:modified>
  <dc:title>福建省三明环境监测中心站实验室仪器拆装项目采购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880823F43B5E447EB44C4963FF5138D6</vt:lpwstr>
  </property>
</Properties>
</file>