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6DDAC">
      <w:pPr>
        <w:jc w:val="center"/>
        <w:rPr>
          <w:rFonts w:hint="eastAsia" w:ascii="仿宋" w:hAnsi="仿宋" w:eastAsia="仿宋" w:cs="仿宋"/>
          <w:b/>
          <w:bCs/>
          <w:sz w:val="72"/>
          <w:szCs w:val="72"/>
        </w:rPr>
      </w:pPr>
      <w:bookmarkStart w:id="0" w:name="_Toc9684"/>
      <w:bookmarkStart w:id="37" w:name="_GoBack"/>
      <w:bookmarkEnd w:id="37"/>
    </w:p>
    <w:p w14:paraId="68743343">
      <w:pPr>
        <w:jc w:val="center"/>
        <w:rPr>
          <w:rFonts w:ascii="仿宋" w:hAnsi="仿宋" w:eastAsia="仿宋" w:cs="仿宋"/>
          <w:b/>
          <w:bCs/>
          <w:sz w:val="72"/>
          <w:szCs w:val="72"/>
        </w:rPr>
      </w:pPr>
    </w:p>
    <w:p w14:paraId="0A0C7984">
      <w:pPr>
        <w:jc w:val="center"/>
        <w:rPr>
          <w:rFonts w:ascii="仿宋" w:hAnsi="仿宋" w:eastAsia="仿宋" w:cs="仿宋"/>
          <w:b/>
          <w:bCs/>
          <w:sz w:val="72"/>
          <w:szCs w:val="72"/>
        </w:rPr>
      </w:pPr>
    </w:p>
    <w:p w14:paraId="6E93EC5D">
      <w:pPr>
        <w:snapToGrid w:val="0"/>
        <w:spacing w:line="480" w:lineRule="auto"/>
        <w:jc w:val="center"/>
        <w:rPr>
          <w:rFonts w:ascii="仿宋" w:hAnsi="仿宋" w:eastAsia="仿宋" w:cs="仿宋"/>
          <w:b/>
          <w:bCs/>
          <w:sz w:val="72"/>
          <w:szCs w:val="72"/>
        </w:rPr>
      </w:pPr>
      <w:r>
        <w:rPr>
          <w:rFonts w:hint="eastAsia" w:ascii="仿宋" w:hAnsi="仿宋" w:eastAsia="仿宋" w:cs="仿宋"/>
          <w:b/>
          <w:bCs/>
          <w:sz w:val="72"/>
          <w:szCs w:val="72"/>
        </w:rPr>
        <w:t>福建省环境监测中心站</w:t>
      </w:r>
    </w:p>
    <w:p w14:paraId="720C465D">
      <w:pPr>
        <w:snapToGrid w:val="0"/>
        <w:spacing w:line="480" w:lineRule="auto"/>
        <w:jc w:val="center"/>
        <w:rPr>
          <w:rFonts w:ascii="仿宋" w:hAnsi="仿宋" w:eastAsia="仿宋" w:cs="仿宋"/>
          <w:b/>
          <w:bCs/>
          <w:sz w:val="72"/>
          <w:szCs w:val="72"/>
        </w:rPr>
      </w:pPr>
      <w:r>
        <w:rPr>
          <w:rFonts w:hint="eastAsia" w:ascii="仿宋" w:hAnsi="仿宋" w:eastAsia="仿宋" w:cs="仿宋"/>
          <w:b/>
          <w:bCs/>
          <w:sz w:val="72"/>
          <w:szCs w:val="72"/>
        </w:rPr>
        <w:t>物业</w:t>
      </w:r>
      <w:r>
        <w:rPr>
          <w:rFonts w:hint="eastAsia" w:ascii="仿宋" w:hAnsi="仿宋" w:eastAsia="仿宋" w:cs="仿宋"/>
          <w:b/>
          <w:bCs/>
          <w:sz w:val="72"/>
          <w:szCs w:val="72"/>
          <w:lang w:eastAsia="zh-CN"/>
        </w:rPr>
        <w:t>管理</w:t>
      </w:r>
      <w:r>
        <w:rPr>
          <w:rFonts w:hint="eastAsia" w:ascii="仿宋" w:hAnsi="仿宋" w:eastAsia="仿宋" w:cs="仿宋"/>
          <w:b/>
          <w:bCs/>
          <w:sz w:val="72"/>
          <w:szCs w:val="72"/>
        </w:rPr>
        <w:t>服务项目</w:t>
      </w:r>
    </w:p>
    <w:p w14:paraId="1ED04AEF">
      <w:pPr>
        <w:snapToGrid w:val="0"/>
        <w:spacing w:line="480" w:lineRule="auto"/>
        <w:jc w:val="center"/>
      </w:pPr>
      <w:r>
        <w:rPr>
          <w:rFonts w:ascii="仿宋" w:hAnsi="仿宋" w:eastAsia="仿宋" w:cs="仿宋"/>
          <w:b/>
          <w:bCs/>
          <w:sz w:val="72"/>
          <w:szCs w:val="72"/>
        </w:rPr>
        <w:t>采购文件</w:t>
      </w:r>
    </w:p>
    <w:sdt>
      <w:sdtPr>
        <w:rPr>
          <w:rFonts w:ascii="宋体" w:hAnsi="宋体" w:eastAsia="宋体"/>
          <w:b/>
          <w:bCs/>
          <w:sz w:val="24"/>
          <w:szCs w:val="32"/>
        </w:rPr>
        <w:id w:val="147476151"/>
        <w15:color w:val="DBDBDB"/>
        <w:docPartObj>
          <w:docPartGallery w:val="Table of Contents"/>
          <w:docPartUnique/>
        </w:docPartObj>
      </w:sdtPr>
      <w:sdtEndPr>
        <w:rPr>
          <w:rFonts w:hint="eastAsia" w:ascii="仿宋" w:hAnsi="仿宋" w:eastAsia="仿宋" w:cs="仿宋"/>
          <w:b/>
          <w:bCs/>
          <w:sz w:val="21"/>
          <w:szCs w:val="32"/>
        </w:rPr>
      </w:sdtEndPr>
      <w:sdtContent>
        <w:p w14:paraId="6EF082B5">
          <w:pPr>
            <w:snapToGrid w:val="0"/>
            <w:spacing w:line="480" w:lineRule="auto"/>
            <w:jc w:val="center"/>
            <w:rPr>
              <w:rFonts w:ascii="宋体" w:hAnsi="宋体" w:eastAsia="宋体"/>
              <w:b/>
              <w:bCs/>
              <w:sz w:val="24"/>
              <w:szCs w:val="32"/>
            </w:rPr>
          </w:pPr>
        </w:p>
        <w:p w14:paraId="1248DC9D">
          <w:pPr>
            <w:snapToGrid w:val="0"/>
            <w:spacing w:line="480" w:lineRule="auto"/>
            <w:jc w:val="center"/>
            <w:rPr>
              <w:rFonts w:ascii="宋体" w:hAnsi="宋体" w:eastAsia="宋体"/>
              <w:b/>
              <w:bCs/>
              <w:sz w:val="24"/>
              <w:szCs w:val="32"/>
            </w:rPr>
          </w:pPr>
        </w:p>
        <w:p w14:paraId="4559AD35">
          <w:pPr>
            <w:snapToGrid w:val="0"/>
            <w:spacing w:line="480" w:lineRule="auto"/>
            <w:jc w:val="center"/>
            <w:rPr>
              <w:rFonts w:ascii="宋体" w:hAnsi="宋体" w:eastAsia="宋体"/>
              <w:b/>
              <w:bCs/>
              <w:sz w:val="24"/>
              <w:szCs w:val="32"/>
            </w:rPr>
          </w:pPr>
        </w:p>
        <w:p w14:paraId="70EAD3ED">
          <w:pPr>
            <w:snapToGrid w:val="0"/>
            <w:spacing w:line="480" w:lineRule="auto"/>
            <w:jc w:val="center"/>
            <w:rPr>
              <w:rFonts w:ascii="宋体" w:hAnsi="宋体" w:eastAsia="宋体"/>
              <w:b/>
              <w:bCs/>
              <w:sz w:val="24"/>
              <w:szCs w:val="32"/>
            </w:rPr>
          </w:pPr>
        </w:p>
        <w:p w14:paraId="29025970">
          <w:pPr>
            <w:snapToGrid w:val="0"/>
            <w:spacing w:line="480" w:lineRule="auto"/>
            <w:jc w:val="center"/>
            <w:rPr>
              <w:rFonts w:ascii="宋体" w:hAnsi="宋体" w:eastAsia="宋体"/>
              <w:b/>
              <w:bCs/>
              <w:sz w:val="24"/>
              <w:szCs w:val="32"/>
            </w:rPr>
          </w:pPr>
        </w:p>
        <w:p w14:paraId="058065DA">
          <w:pPr>
            <w:snapToGrid w:val="0"/>
            <w:spacing w:line="480" w:lineRule="auto"/>
            <w:jc w:val="center"/>
            <w:rPr>
              <w:rFonts w:ascii="宋体" w:hAnsi="宋体" w:eastAsia="宋体"/>
              <w:b/>
              <w:bCs/>
              <w:sz w:val="24"/>
              <w:szCs w:val="32"/>
            </w:rPr>
          </w:pPr>
        </w:p>
        <w:p w14:paraId="302A9D3D">
          <w:pPr>
            <w:snapToGrid w:val="0"/>
            <w:spacing w:line="480" w:lineRule="auto"/>
            <w:jc w:val="center"/>
            <w:rPr>
              <w:rFonts w:ascii="宋体" w:hAnsi="宋体" w:eastAsia="宋体"/>
              <w:b/>
              <w:bCs/>
              <w:sz w:val="24"/>
              <w:szCs w:val="32"/>
            </w:rPr>
          </w:pPr>
        </w:p>
        <w:p w14:paraId="034A0A2B">
          <w:pPr>
            <w:snapToGrid w:val="0"/>
            <w:spacing w:line="480" w:lineRule="auto"/>
            <w:jc w:val="center"/>
            <w:rPr>
              <w:rFonts w:ascii="宋体" w:hAnsi="宋体" w:eastAsia="宋体"/>
              <w:b/>
              <w:bCs/>
              <w:sz w:val="24"/>
              <w:szCs w:val="32"/>
            </w:rPr>
          </w:pPr>
        </w:p>
        <w:p w14:paraId="448D062A">
          <w:pPr>
            <w:snapToGrid w:val="0"/>
            <w:spacing w:line="480" w:lineRule="auto"/>
            <w:jc w:val="center"/>
            <w:rPr>
              <w:sz w:val="32"/>
            </w:rPr>
          </w:pPr>
          <w:r>
            <w:rPr>
              <w:rFonts w:hint="eastAsia" w:ascii="仿宋" w:hAnsi="仿宋" w:eastAsia="仿宋" w:cs="仿宋"/>
              <w:b/>
              <w:bCs/>
              <w:sz w:val="52"/>
              <w:szCs w:val="36"/>
            </w:rPr>
            <w:t>目  录</w:t>
          </w:r>
          <w:r>
            <w:rPr>
              <w:rFonts w:hint="eastAsia" w:ascii="仿宋" w:hAnsi="仿宋" w:eastAsia="仿宋" w:cs="仿宋"/>
              <w:b/>
              <w:bCs/>
              <w:sz w:val="44"/>
              <w:szCs w:val="28"/>
            </w:rPr>
            <w:fldChar w:fldCharType="begin"/>
          </w:r>
          <w:r>
            <w:rPr>
              <w:rFonts w:hint="eastAsia" w:ascii="仿宋" w:hAnsi="仿宋" w:eastAsia="仿宋" w:cs="仿宋"/>
              <w:b/>
              <w:bCs/>
              <w:sz w:val="44"/>
              <w:szCs w:val="28"/>
            </w:rPr>
            <w:instrText xml:space="preserve">TOC \o "1-3" \h \u </w:instrText>
          </w:r>
          <w:r>
            <w:rPr>
              <w:rFonts w:hint="eastAsia" w:ascii="仿宋" w:hAnsi="仿宋" w:eastAsia="仿宋" w:cs="仿宋"/>
              <w:b/>
              <w:bCs/>
              <w:sz w:val="44"/>
              <w:szCs w:val="28"/>
            </w:rPr>
            <w:fldChar w:fldCharType="separate"/>
          </w:r>
        </w:p>
        <w:p w14:paraId="17707FFD">
          <w:pPr>
            <w:pStyle w:val="9"/>
            <w:tabs>
              <w:tab w:val="right" w:leader="dot" w:pos="8296"/>
            </w:tabs>
            <w:rPr>
              <w:sz w:val="32"/>
              <w:szCs w:val="22"/>
            </w:rPr>
          </w:pPr>
          <w:r>
            <w:fldChar w:fldCharType="begin"/>
          </w:r>
          <w:r>
            <w:instrText xml:space="preserve"> HYPERLINK \l "_Toc121817470" </w:instrText>
          </w:r>
          <w:r>
            <w:fldChar w:fldCharType="separate"/>
          </w:r>
          <w:r>
            <w:rPr>
              <w:rStyle w:val="16"/>
              <w:rFonts w:hint="eastAsia" w:ascii="仿宋" w:hAnsi="仿宋" w:eastAsia="仿宋" w:cs="仿宋"/>
              <w:bCs/>
              <w:sz w:val="32"/>
            </w:rPr>
            <w:t>一、项目概况</w:t>
          </w:r>
          <w:r>
            <w:rPr>
              <w:sz w:val="32"/>
            </w:rPr>
            <w:tab/>
          </w:r>
          <w:r>
            <w:rPr>
              <w:sz w:val="32"/>
            </w:rPr>
            <w:fldChar w:fldCharType="begin"/>
          </w:r>
          <w:r>
            <w:rPr>
              <w:sz w:val="32"/>
            </w:rPr>
            <w:instrText xml:space="preserve"> PAGEREF _Toc121817470 \h </w:instrText>
          </w:r>
          <w:r>
            <w:rPr>
              <w:sz w:val="32"/>
            </w:rPr>
            <w:fldChar w:fldCharType="separate"/>
          </w:r>
          <w:r>
            <w:rPr>
              <w:sz w:val="32"/>
            </w:rPr>
            <w:t>1</w:t>
          </w:r>
          <w:r>
            <w:rPr>
              <w:sz w:val="32"/>
            </w:rPr>
            <w:fldChar w:fldCharType="end"/>
          </w:r>
          <w:r>
            <w:rPr>
              <w:sz w:val="32"/>
            </w:rPr>
            <w:fldChar w:fldCharType="end"/>
          </w:r>
        </w:p>
        <w:p w14:paraId="0E9AEEC8">
          <w:pPr>
            <w:pStyle w:val="9"/>
            <w:tabs>
              <w:tab w:val="right" w:leader="dot" w:pos="8296"/>
            </w:tabs>
          </w:pPr>
          <w:r>
            <w:rPr>
              <w:rStyle w:val="16"/>
              <w:rFonts w:hint="eastAsia" w:ascii="仿宋" w:hAnsi="仿宋" w:eastAsia="仿宋" w:cs="仿宋"/>
              <w:bCs/>
              <w:sz w:val="32"/>
            </w:rPr>
            <w:t>二、采购内容</w:t>
          </w:r>
          <w:r>
            <w:rPr>
              <w:sz w:val="32"/>
            </w:rPr>
            <w:tab/>
          </w:r>
          <w:r>
            <w:rPr>
              <w:rFonts w:hint="eastAsia"/>
              <w:sz w:val="32"/>
            </w:rPr>
            <w:t>1</w:t>
          </w:r>
        </w:p>
        <w:p w14:paraId="33D0A3F1">
          <w:pPr>
            <w:pStyle w:val="9"/>
            <w:tabs>
              <w:tab w:val="right" w:leader="dot" w:pos="8296"/>
            </w:tabs>
            <w:rPr>
              <w:sz w:val="32"/>
              <w:szCs w:val="22"/>
            </w:rPr>
          </w:pPr>
          <w:r>
            <w:fldChar w:fldCharType="begin"/>
          </w:r>
          <w:r>
            <w:instrText xml:space="preserve"> HYPERLINK \l "_Toc121817471" </w:instrText>
          </w:r>
          <w:r>
            <w:fldChar w:fldCharType="separate"/>
          </w:r>
          <w:r>
            <w:rPr>
              <w:rStyle w:val="16"/>
              <w:rFonts w:hint="eastAsia" w:ascii="仿宋" w:hAnsi="仿宋" w:eastAsia="仿宋" w:cs="仿宋"/>
              <w:sz w:val="32"/>
            </w:rPr>
            <w:t>三、服务内容与要求</w:t>
          </w:r>
          <w:r>
            <w:rPr>
              <w:sz w:val="32"/>
            </w:rPr>
            <w:tab/>
          </w:r>
          <w:r>
            <w:rPr>
              <w:sz w:val="32"/>
            </w:rPr>
            <w:fldChar w:fldCharType="begin"/>
          </w:r>
          <w:r>
            <w:rPr>
              <w:sz w:val="32"/>
            </w:rPr>
            <w:instrText xml:space="preserve"> PAGEREF _Toc121817471 \h </w:instrText>
          </w:r>
          <w:r>
            <w:rPr>
              <w:sz w:val="32"/>
            </w:rPr>
            <w:fldChar w:fldCharType="separate"/>
          </w:r>
          <w:r>
            <w:rPr>
              <w:sz w:val="32"/>
            </w:rPr>
            <w:t>1</w:t>
          </w:r>
          <w:r>
            <w:rPr>
              <w:sz w:val="32"/>
            </w:rPr>
            <w:fldChar w:fldCharType="end"/>
          </w:r>
          <w:r>
            <w:rPr>
              <w:sz w:val="32"/>
            </w:rPr>
            <w:fldChar w:fldCharType="end"/>
          </w:r>
        </w:p>
        <w:p w14:paraId="3D1EC402">
          <w:pPr>
            <w:pStyle w:val="10"/>
            <w:tabs>
              <w:tab w:val="right" w:leader="dot" w:pos="8296"/>
            </w:tabs>
            <w:rPr>
              <w:sz w:val="32"/>
              <w:szCs w:val="22"/>
            </w:rPr>
          </w:pPr>
          <w:r>
            <w:fldChar w:fldCharType="begin"/>
          </w:r>
          <w:r>
            <w:instrText xml:space="preserve"> HYPERLINK \l "_Toc121817472" </w:instrText>
          </w:r>
          <w:r>
            <w:fldChar w:fldCharType="separate"/>
          </w:r>
          <w:r>
            <w:rPr>
              <w:rStyle w:val="16"/>
              <w:rFonts w:ascii="仿宋" w:hAnsi="仿宋" w:eastAsia="仿宋" w:cs="仿宋"/>
              <w:sz w:val="32"/>
            </w:rPr>
            <w:t>1</w:t>
          </w:r>
          <w:r>
            <w:rPr>
              <w:rStyle w:val="16"/>
              <w:rFonts w:hint="eastAsia" w:ascii="仿宋" w:hAnsi="仿宋" w:eastAsia="仿宋" w:cs="仿宋"/>
              <w:sz w:val="32"/>
            </w:rPr>
            <w:t>、综合服务</w:t>
          </w:r>
          <w:r>
            <w:rPr>
              <w:sz w:val="32"/>
            </w:rPr>
            <w:tab/>
          </w:r>
          <w:r>
            <w:rPr>
              <w:sz w:val="32"/>
            </w:rPr>
            <w:fldChar w:fldCharType="begin"/>
          </w:r>
          <w:r>
            <w:rPr>
              <w:sz w:val="32"/>
            </w:rPr>
            <w:instrText xml:space="preserve"> PAGEREF _Toc121817472 \h </w:instrText>
          </w:r>
          <w:r>
            <w:rPr>
              <w:sz w:val="32"/>
            </w:rPr>
            <w:fldChar w:fldCharType="separate"/>
          </w:r>
          <w:r>
            <w:rPr>
              <w:sz w:val="32"/>
            </w:rPr>
            <w:t>1</w:t>
          </w:r>
          <w:r>
            <w:rPr>
              <w:sz w:val="32"/>
            </w:rPr>
            <w:fldChar w:fldCharType="end"/>
          </w:r>
          <w:r>
            <w:rPr>
              <w:sz w:val="32"/>
            </w:rPr>
            <w:fldChar w:fldCharType="end"/>
          </w:r>
        </w:p>
        <w:p w14:paraId="3CA8DAA9">
          <w:pPr>
            <w:pStyle w:val="10"/>
            <w:tabs>
              <w:tab w:val="right" w:leader="dot" w:pos="8296"/>
            </w:tabs>
            <w:rPr>
              <w:sz w:val="32"/>
              <w:szCs w:val="22"/>
            </w:rPr>
          </w:pPr>
          <w:r>
            <w:fldChar w:fldCharType="begin"/>
          </w:r>
          <w:r>
            <w:instrText xml:space="preserve"> HYPERLINK \l "_Toc121817473" </w:instrText>
          </w:r>
          <w:r>
            <w:fldChar w:fldCharType="separate"/>
          </w:r>
          <w:r>
            <w:rPr>
              <w:rStyle w:val="16"/>
              <w:rFonts w:ascii="仿宋" w:hAnsi="仿宋" w:eastAsia="仿宋" w:cs="仿宋"/>
              <w:sz w:val="32"/>
            </w:rPr>
            <w:t>2</w:t>
          </w:r>
          <w:r>
            <w:rPr>
              <w:rStyle w:val="16"/>
              <w:rFonts w:hint="eastAsia" w:ascii="仿宋" w:hAnsi="仿宋" w:eastAsia="仿宋" w:cs="仿宋"/>
              <w:sz w:val="32"/>
            </w:rPr>
            <w:t>、安全保卫工作</w:t>
          </w:r>
          <w:r>
            <w:rPr>
              <w:sz w:val="32"/>
            </w:rPr>
            <w:tab/>
          </w:r>
          <w:r>
            <w:rPr>
              <w:sz w:val="32"/>
            </w:rPr>
            <w:fldChar w:fldCharType="begin"/>
          </w:r>
          <w:r>
            <w:rPr>
              <w:sz w:val="32"/>
            </w:rPr>
            <w:instrText xml:space="preserve"> PAGEREF _Toc121817473 \h </w:instrText>
          </w:r>
          <w:r>
            <w:rPr>
              <w:sz w:val="32"/>
            </w:rPr>
            <w:fldChar w:fldCharType="separate"/>
          </w:r>
          <w:r>
            <w:rPr>
              <w:sz w:val="32"/>
            </w:rPr>
            <w:t>2</w:t>
          </w:r>
          <w:r>
            <w:rPr>
              <w:sz w:val="32"/>
            </w:rPr>
            <w:fldChar w:fldCharType="end"/>
          </w:r>
          <w:r>
            <w:rPr>
              <w:sz w:val="32"/>
            </w:rPr>
            <w:fldChar w:fldCharType="end"/>
          </w:r>
        </w:p>
        <w:p w14:paraId="48083728">
          <w:pPr>
            <w:pStyle w:val="10"/>
            <w:tabs>
              <w:tab w:val="right" w:leader="dot" w:pos="8296"/>
            </w:tabs>
            <w:rPr>
              <w:sz w:val="32"/>
              <w:szCs w:val="22"/>
            </w:rPr>
          </w:pPr>
          <w:r>
            <w:fldChar w:fldCharType="begin"/>
          </w:r>
          <w:r>
            <w:instrText xml:space="preserve"> HYPERLINK \l "_Toc121817474" </w:instrText>
          </w:r>
          <w:r>
            <w:fldChar w:fldCharType="separate"/>
          </w:r>
          <w:r>
            <w:rPr>
              <w:rStyle w:val="16"/>
              <w:rFonts w:ascii="仿宋" w:hAnsi="仿宋" w:eastAsia="仿宋" w:cs="仿宋"/>
              <w:sz w:val="32"/>
            </w:rPr>
            <w:t>3</w:t>
          </w:r>
          <w:r>
            <w:rPr>
              <w:rStyle w:val="16"/>
              <w:rFonts w:hint="eastAsia" w:ascii="仿宋" w:hAnsi="仿宋" w:eastAsia="仿宋" w:cs="仿宋"/>
              <w:sz w:val="32"/>
            </w:rPr>
            <w:t>、</w:t>
          </w:r>
          <w:r>
            <w:rPr>
              <w:rStyle w:val="16"/>
              <w:rFonts w:hint="eastAsia" w:ascii="仿宋" w:hAnsi="仿宋" w:eastAsia="仿宋" w:cs="仿宋"/>
              <w:bCs/>
              <w:sz w:val="32"/>
            </w:rPr>
            <w:t>卫生保洁服务</w:t>
          </w:r>
          <w:r>
            <w:rPr>
              <w:sz w:val="32"/>
            </w:rPr>
            <w:tab/>
          </w:r>
          <w:r>
            <w:rPr>
              <w:rFonts w:hint="eastAsia"/>
              <w:sz w:val="32"/>
            </w:rPr>
            <w:t>2</w:t>
          </w:r>
          <w:r>
            <w:rPr>
              <w:rFonts w:hint="eastAsia"/>
              <w:sz w:val="32"/>
            </w:rPr>
            <w:fldChar w:fldCharType="end"/>
          </w:r>
        </w:p>
        <w:p w14:paraId="1BB8FFFA">
          <w:pPr>
            <w:pStyle w:val="10"/>
            <w:tabs>
              <w:tab w:val="right" w:leader="dot" w:pos="8296"/>
            </w:tabs>
            <w:rPr>
              <w:sz w:val="32"/>
            </w:rPr>
          </w:pPr>
          <w:r>
            <w:fldChar w:fldCharType="begin"/>
          </w:r>
          <w:r>
            <w:instrText xml:space="preserve"> HYPERLINK \l "_Toc121817475" </w:instrText>
          </w:r>
          <w:r>
            <w:fldChar w:fldCharType="separate"/>
          </w:r>
          <w:r>
            <w:rPr>
              <w:rStyle w:val="16"/>
              <w:rFonts w:ascii="仿宋" w:hAnsi="仿宋" w:eastAsia="仿宋" w:cs="仿宋"/>
              <w:sz w:val="32"/>
            </w:rPr>
            <w:t>4</w:t>
          </w:r>
          <w:r>
            <w:rPr>
              <w:rStyle w:val="16"/>
              <w:rFonts w:hint="eastAsia" w:ascii="仿宋" w:hAnsi="仿宋" w:eastAsia="仿宋" w:cs="仿宋"/>
              <w:sz w:val="32"/>
            </w:rPr>
            <w:t>、</w:t>
          </w:r>
          <w:r>
            <w:rPr>
              <w:rStyle w:val="16"/>
              <w:rFonts w:hint="eastAsia" w:ascii="仿宋" w:hAnsi="仿宋" w:eastAsia="仿宋" w:cs="仿宋"/>
              <w:bCs/>
              <w:sz w:val="32"/>
            </w:rPr>
            <w:t>绿化养护服务</w:t>
          </w:r>
          <w:r>
            <w:rPr>
              <w:sz w:val="32"/>
            </w:rPr>
            <w:tab/>
          </w:r>
          <w:r>
            <w:rPr>
              <w:sz w:val="32"/>
            </w:rPr>
            <w:fldChar w:fldCharType="begin"/>
          </w:r>
          <w:r>
            <w:rPr>
              <w:sz w:val="32"/>
            </w:rPr>
            <w:instrText xml:space="preserve"> PAGEREF _Toc121817475 \h </w:instrText>
          </w:r>
          <w:r>
            <w:rPr>
              <w:sz w:val="32"/>
            </w:rPr>
            <w:fldChar w:fldCharType="separate"/>
          </w:r>
          <w:r>
            <w:rPr>
              <w:sz w:val="32"/>
            </w:rPr>
            <w:t>3</w:t>
          </w:r>
          <w:r>
            <w:rPr>
              <w:sz w:val="32"/>
            </w:rPr>
            <w:fldChar w:fldCharType="end"/>
          </w:r>
          <w:r>
            <w:rPr>
              <w:sz w:val="32"/>
            </w:rPr>
            <w:fldChar w:fldCharType="end"/>
          </w:r>
        </w:p>
        <w:p w14:paraId="36DEB39F">
          <w:pPr>
            <w:pStyle w:val="10"/>
            <w:tabs>
              <w:tab w:val="right" w:leader="dot" w:pos="8296"/>
            </w:tabs>
            <w:rPr>
              <w:sz w:val="32"/>
              <w:szCs w:val="22"/>
            </w:rPr>
          </w:pPr>
          <w:r>
            <w:fldChar w:fldCharType="begin"/>
          </w:r>
          <w:r>
            <w:instrText xml:space="preserve"> HYPERLINK \l "_Toc121817476" </w:instrText>
          </w:r>
          <w:r>
            <w:fldChar w:fldCharType="separate"/>
          </w:r>
          <w:r>
            <w:rPr>
              <w:rStyle w:val="16"/>
              <w:rFonts w:ascii="仿宋" w:hAnsi="仿宋" w:eastAsia="仿宋" w:cs="仿宋"/>
              <w:sz w:val="32"/>
            </w:rPr>
            <w:t>5</w:t>
          </w:r>
          <w:r>
            <w:rPr>
              <w:rStyle w:val="16"/>
              <w:rFonts w:hint="eastAsia" w:ascii="仿宋" w:hAnsi="仿宋" w:eastAsia="仿宋" w:cs="仿宋"/>
              <w:sz w:val="32"/>
            </w:rPr>
            <w:t>、</w:t>
          </w:r>
          <w:r>
            <w:rPr>
              <w:rStyle w:val="16"/>
              <w:rFonts w:hint="eastAsia" w:ascii="仿宋" w:hAnsi="仿宋" w:eastAsia="仿宋" w:cs="仿宋"/>
              <w:bCs/>
              <w:sz w:val="32"/>
            </w:rPr>
            <w:t>维修服务及其他</w:t>
          </w:r>
          <w:r>
            <w:rPr>
              <w:sz w:val="32"/>
            </w:rPr>
            <w:tab/>
          </w:r>
          <w:r>
            <w:rPr>
              <w:sz w:val="32"/>
            </w:rPr>
            <w:fldChar w:fldCharType="begin"/>
          </w:r>
          <w:r>
            <w:rPr>
              <w:sz w:val="32"/>
            </w:rPr>
            <w:instrText xml:space="preserve"> PAGEREF _Toc121817476 \h </w:instrText>
          </w:r>
          <w:r>
            <w:rPr>
              <w:sz w:val="32"/>
            </w:rPr>
            <w:fldChar w:fldCharType="separate"/>
          </w:r>
          <w:r>
            <w:rPr>
              <w:sz w:val="32"/>
            </w:rPr>
            <w:t>3</w:t>
          </w:r>
          <w:r>
            <w:rPr>
              <w:sz w:val="32"/>
            </w:rPr>
            <w:fldChar w:fldCharType="end"/>
          </w:r>
          <w:r>
            <w:rPr>
              <w:sz w:val="32"/>
            </w:rPr>
            <w:fldChar w:fldCharType="end"/>
          </w:r>
        </w:p>
        <w:p w14:paraId="6D00B66F">
          <w:pPr>
            <w:pStyle w:val="10"/>
            <w:tabs>
              <w:tab w:val="right" w:leader="dot" w:pos="8296"/>
            </w:tabs>
            <w:rPr>
              <w:sz w:val="32"/>
            </w:rPr>
          </w:pPr>
          <w:r>
            <w:fldChar w:fldCharType="begin"/>
          </w:r>
          <w:r>
            <w:instrText xml:space="preserve"> HYPERLINK \l "_Toc121817477" </w:instrText>
          </w:r>
          <w:r>
            <w:fldChar w:fldCharType="separate"/>
          </w:r>
          <w:r>
            <w:rPr>
              <w:rStyle w:val="16"/>
              <w:rFonts w:ascii="仿宋" w:hAnsi="仿宋" w:eastAsia="仿宋" w:cs="仿宋"/>
              <w:sz w:val="32"/>
            </w:rPr>
            <w:t>6</w:t>
          </w:r>
          <w:r>
            <w:rPr>
              <w:rStyle w:val="16"/>
              <w:rFonts w:hint="eastAsia" w:ascii="仿宋" w:hAnsi="仿宋" w:eastAsia="仿宋" w:cs="仿宋"/>
              <w:sz w:val="32"/>
            </w:rPr>
            <w:t>、人员配备要求</w:t>
          </w:r>
          <w:r>
            <w:rPr>
              <w:sz w:val="32"/>
            </w:rPr>
            <w:tab/>
          </w:r>
          <w:r>
            <w:rPr>
              <w:sz w:val="32"/>
            </w:rPr>
            <w:fldChar w:fldCharType="begin"/>
          </w:r>
          <w:r>
            <w:rPr>
              <w:sz w:val="32"/>
            </w:rPr>
            <w:instrText xml:space="preserve"> PAGEREF _Toc121817477 \h </w:instrText>
          </w:r>
          <w:r>
            <w:rPr>
              <w:sz w:val="32"/>
            </w:rPr>
            <w:fldChar w:fldCharType="separate"/>
          </w:r>
          <w:r>
            <w:rPr>
              <w:sz w:val="32"/>
            </w:rPr>
            <w:t>4</w:t>
          </w:r>
          <w:r>
            <w:rPr>
              <w:sz w:val="32"/>
            </w:rPr>
            <w:fldChar w:fldCharType="end"/>
          </w:r>
          <w:r>
            <w:rPr>
              <w:sz w:val="32"/>
            </w:rPr>
            <w:fldChar w:fldCharType="end"/>
          </w:r>
        </w:p>
        <w:p w14:paraId="61AD3B8C">
          <w:pPr>
            <w:pStyle w:val="9"/>
            <w:tabs>
              <w:tab w:val="right" w:leader="dot" w:pos="8296"/>
            </w:tabs>
            <w:rPr>
              <w:sz w:val="32"/>
            </w:rPr>
          </w:pPr>
          <w:r>
            <w:fldChar w:fldCharType="begin"/>
          </w:r>
          <w:r>
            <w:instrText xml:space="preserve"> HYPERLINK \l "_Toc121817471" </w:instrText>
          </w:r>
          <w:r>
            <w:fldChar w:fldCharType="separate"/>
          </w:r>
          <w:r>
            <w:rPr>
              <w:rStyle w:val="16"/>
              <w:rFonts w:hint="eastAsia" w:ascii="仿宋" w:hAnsi="仿宋" w:eastAsia="仿宋" w:cs="仿宋"/>
              <w:sz w:val="32"/>
            </w:rPr>
            <w:t>四、投标人资格要求</w:t>
          </w:r>
          <w:r>
            <w:rPr>
              <w:sz w:val="32"/>
            </w:rPr>
            <w:tab/>
          </w:r>
          <w:r>
            <w:rPr>
              <w:rFonts w:hint="eastAsia"/>
              <w:sz w:val="32"/>
            </w:rPr>
            <w:t>5</w:t>
          </w:r>
          <w:r>
            <w:rPr>
              <w:rFonts w:hint="eastAsia"/>
              <w:sz w:val="32"/>
            </w:rPr>
            <w:fldChar w:fldCharType="end"/>
          </w:r>
        </w:p>
        <w:p w14:paraId="72B3AE7E">
          <w:pPr>
            <w:pStyle w:val="9"/>
            <w:tabs>
              <w:tab w:val="right" w:leader="dot" w:pos="8296"/>
            </w:tabs>
            <w:rPr>
              <w:sz w:val="32"/>
              <w:szCs w:val="22"/>
            </w:rPr>
          </w:pPr>
          <w:r>
            <w:fldChar w:fldCharType="begin"/>
          </w:r>
          <w:r>
            <w:instrText xml:space="preserve"> HYPERLINK \l "_Toc121817478" </w:instrText>
          </w:r>
          <w:r>
            <w:fldChar w:fldCharType="separate"/>
          </w:r>
          <w:r>
            <w:rPr>
              <w:rStyle w:val="16"/>
              <w:rFonts w:hint="eastAsia" w:ascii="仿宋" w:hAnsi="仿宋" w:eastAsia="仿宋" w:cs="仿宋"/>
              <w:sz w:val="32"/>
            </w:rPr>
            <w:t>五、评标</w:t>
          </w:r>
          <w:r>
            <w:rPr>
              <w:sz w:val="32"/>
            </w:rPr>
            <w:tab/>
          </w:r>
          <w:r>
            <w:rPr>
              <w:rFonts w:hint="eastAsia"/>
              <w:sz w:val="32"/>
            </w:rPr>
            <w:t>6</w:t>
          </w:r>
          <w:r>
            <w:rPr>
              <w:rFonts w:hint="eastAsia"/>
              <w:sz w:val="32"/>
            </w:rPr>
            <w:fldChar w:fldCharType="end"/>
          </w:r>
        </w:p>
        <w:p w14:paraId="2EE9FAC2">
          <w:pPr>
            <w:pStyle w:val="10"/>
            <w:tabs>
              <w:tab w:val="right" w:leader="dot" w:pos="8296"/>
            </w:tabs>
            <w:rPr>
              <w:sz w:val="32"/>
              <w:szCs w:val="22"/>
            </w:rPr>
          </w:pPr>
          <w:r>
            <w:fldChar w:fldCharType="begin"/>
          </w:r>
          <w:r>
            <w:instrText xml:space="preserve"> HYPERLINK \l "_Toc121817479" </w:instrText>
          </w:r>
          <w:r>
            <w:fldChar w:fldCharType="separate"/>
          </w:r>
          <w:r>
            <w:rPr>
              <w:rStyle w:val="16"/>
              <w:rFonts w:ascii="仿宋" w:hAnsi="仿宋" w:eastAsia="仿宋" w:cs="仿宋"/>
              <w:sz w:val="32"/>
            </w:rPr>
            <w:t>1</w:t>
          </w:r>
          <w:r>
            <w:rPr>
              <w:rStyle w:val="16"/>
              <w:rFonts w:hint="eastAsia" w:ascii="仿宋" w:hAnsi="仿宋" w:eastAsia="仿宋" w:cs="仿宋"/>
              <w:sz w:val="32"/>
            </w:rPr>
            <w:t>、价格项（满分为</w:t>
          </w:r>
          <w:r>
            <w:rPr>
              <w:rStyle w:val="16"/>
              <w:rFonts w:ascii="仿宋" w:hAnsi="仿宋" w:eastAsia="仿宋" w:cs="仿宋"/>
              <w:sz w:val="32"/>
            </w:rPr>
            <w:t>10</w:t>
          </w:r>
          <w:r>
            <w:rPr>
              <w:rStyle w:val="16"/>
              <w:rFonts w:hint="eastAsia" w:ascii="仿宋" w:hAnsi="仿宋" w:eastAsia="仿宋" w:cs="仿宋"/>
              <w:sz w:val="32"/>
            </w:rPr>
            <w:t>分）</w:t>
          </w:r>
          <w:r>
            <w:rPr>
              <w:sz w:val="32"/>
            </w:rPr>
            <w:tab/>
          </w:r>
          <w:r>
            <w:rPr>
              <w:rFonts w:hint="eastAsia"/>
              <w:sz w:val="32"/>
            </w:rPr>
            <w:t>6</w:t>
          </w:r>
          <w:r>
            <w:rPr>
              <w:rFonts w:hint="eastAsia"/>
              <w:sz w:val="32"/>
            </w:rPr>
            <w:fldChar w:fldCharType="end"/>
          </w:r>
        </w:p>
        <w:p w14:paraId="31BC2007">
          <w:pPr>
            <w:pStyle w:val="10"/>
            <w:tabs>
              <w:tab w:val="right" w:leader="dot" w:pos="8296"/>
            </w:tabs>
            <w:rPr>
              <w:sz w:val="32"/>
              <w:szCs w:val="22"/>
            </w:rPr>
          </w:pPr>
          <w:r>
            <w:fldChar w:fldCharType="begin"/>
          </w:r>
          <w:r>
            <w:instrText xml:space="preserve"> HYPERLINK \l "_Toc121817480" </w:instrText>
          </w:r>
          <w:r>
            <w:fldChar w:fldCharType="separate"/>
          </w:r>
          <w:r>
            <w:rPr>
              <w:rStyle w:val="16"/>
              <w:rFonts w:ascii="仿宋" w:hAnsi="仿宋" w:eastAsia="仿宋" w:cs="仿宋"/>
              <w:sz w:val="32"/>
            </w:rPr>
            <w:t>2</w:t>
          </w:r>
          <w:r>
            <w:rPr>
              <w:rStyle w:val="16"/>
              <w:rFonts w:hint="eastAsia" w:ascii="仿宋" w:hAnsi="仿宋" w:eastAsia="仿宋" w:cs="仿宋"/>
              <w:sz w:val="32"/>
            </w:rPr>
            <w:t>、技术项（满分</w:t>
          </w:r>
          <w:r>
            <w:rPr>
              <w:rStyle w:val="16"/>
              <w:rFonts w:hint="eastAsia" w:ascii="仿宋" w:hAnsi="仿宋" w:eastAsia="仿宋" w:cs="仿宋"/>
              <w:sz w:val="32"/>
              <w:lang w:val="en-US" w:eastAsia="zh-CN"/>
            </w:rPr>
            <w:t>81</w:t>
          </w:r>
          <w:r>
            <w:rPr>
              <w:rStyle w:val="16"/>
              <w:rFonts w:hint="eastAsia" w:ascii="仿宋" w:hAnsi="仿宋" w:eastAsia="仿宋" w:cs="仿宋"/>
              <w:sz w:val="32"/>
            </w:rPr>
            <w:t>分）</w:t>
          </w:r>
          <w:r>
            <w:rPr>
              <w:sz w:val="32"/>
            </w:rPr>
            <w:tab/>
          </w:r>
          <w:r>
            <w:rPr>
              <w:rFonts w:hint="eastAsia"/>
              <w:sz w:val="32"/>
            </w:rPr>
            <w:t>7</w:t>
          </w:r>
          <w:r>
            <w:rPr>
              <w:rFonts w:hint="eastAsia"/>
              <w:sz w:val="32"/>
            </w:rPr>
            <w:fldChar w:fldCharType="end"/>
          </w:r>
        </w:p>
        <w:p w14:paraId="12CDF4CB">
          <w:pPr>
            <w:pStyle w:val="10"/>
            <w:tabs>
              <w:tab w:val="right" w:leader="dot" w:pos="8296"/>
            </w:tabs>
            <w:rPr>
              <w:sz w:val="32"/>
            </w:rPr>
          </w:pPr>
          <w:r>
            <w:fldChar w:fldCharType="begin"/>
          </w:r>
          <w:r>
            <w:instrText xml:space="preserve"> HYPERLINK \l "_Toc121817481" </w:instrText>
          </w:r>
          <w:r>
            <w:fldChar w:fldCharType="separate"/>
          </w:r>
          <w:r>
            <w:rPr>
              <w:rStyle w:val="16"/>
              <w:rFonts w:ascii="仿宋" w:hAnsi="仿宋" w:eastAsia="仿宋" w:cs="仿宋"/>
              <w:sz w:val="32"/>
            </w:rPr>
            <w:t>3</w:t>
          </w:r>
          <w:r>
            <w:rPr>
              <w:rStyle w:val="16"/>
              <w:rFonts w:hint="eastAsia" w:ascii="仿宋" w:hAnsi="仿宋" w:eastAsia="仿宋" w:cs="仿宋"/>
              <w:sz w:val="32"/>
            </w:rPr>
            <w:t>、商务项（满分</w:t>
          </w:r>
          <w:r>
            <w:rPr>
              <w:rStyle w:val="16"/>
              <w:rFonts w:hint="eastAsia" w:ascii="仿宋" w:hAnsi="仿宋" w:eastAsia="仿宋" w:cs="仿宋"/>
              <w:sz w:val="32"/>
              <w:lang w:val="en-US" w:eastAsia="zh-CN"/>
            </w:rPr>
            <w:t>9</w:t>
          </w:r>
          <w:r>
            <w:rPr>
              <w:rStyle w:val="16"/>
              <w:rFonts w:hint="eastAsia" w:ascii="仿宋" w:hAnsi="仿宋" w:eastAsia="仿宋" w:cs="仿宋"/>
              <w:sz w:val="32"/>
            </w:rPr>
            <w:t>分）</w:t>
          </w:r>
          <w:r>
            <w:rPr>
              <w:sz w:val="32"/>
            </w:rPr>
            <w:tab/>
          </w:r>
          <w:r>
            <w:rPr>
              <w:rFonts w:hint="eastAsia"/>
              <w:sz w:val="32"/>
              <w:lang w:val="en-US" w:eastAsia="zh-CN"/>
            </w:rPr>
            <w:t>8</w:t>
          </w:r>
          <w:r>
            <w:rPr>
              <w:sz w:val="32"/>
            </w:rPr>
            <w:fldChar w:fldCharType="end"/>
          </w:r>
        </w:p>
        <w:p w14:paraId="2B584A1B">
          <w:pPr>
            <w:pStyle w:val="9"/>
            <w:tabs>
              <w:tab w:val="right" w:leader="dot" w:pos="8296"/>
            </w:tabs>
            <w:rPr>
              <w:rFonts w:hint="eastAsia" w:eastAsiaTheme="minorEastAsia"/>
              <w:sz w:val="32"/>
              <w:lang w:eastAsia="zh-CN"/>
            </w:rPr>
          </w:pPr>
          <w:r>
            <w:fldChar w:fldCharType="begin"/>
          </w:r>
          <w:r>
            <w:instrText xml:space="preserve"> HYPERLINK \l "_Toc121817471" </w:instrText>
          </w:r>
          <w:r>
            <w:fldChar w:fldCharType="separate"/>
          </w:r>
          <w:r>
            <w:rPr>
              <w:rStyle w:val="16"/>
              <w:rFonts w:hint="eastAsia" w:ascii="仿宋" w:hAnsi="仿宋" w:eastAsia="仿宋" w:cs="仿宋"/>
              <w:sz w:val="32"/>
            </w:rPr>
            <w:t>六、商务要求</w:t>
          </w:r>
          <w:r>
            <w:rPr>
              <w:sz w:val="32"/>
            </w:rPr>
            <w:tab/>
          </w:r>
          <w:r>
            <w:rPr>
              <w:rFonts w:hint="eastAsia"/>
              <w:sz w:val="32"/>
              <w:lang w:val="en-US" w:eastAsia="zh-CN"/>
            </w:rPr>
            <w:t>9</w:t>
          </w:r>
          <w:r>
            <w:rPr>
              <w:rFonts w:hint="eastAsia"/>
              <w:sz w:val="32"/>
            </w:rPr>
            <w:fldChar w:fldCharType="end"/>
          </w:r>
        </w:p>
        <w:p w14:paraId="5AA656F6">
          <w:pPr>
            <w:pStyle w:val="9"/>
            <w:tabs>
              <w:tab w:val="right" w:leader="dot" w:pos="8296"/>
            </w:tabs>
            <w:rPr>
              <w:rFonts w:hint="eastAsia" w:eastAsiaTheme="minorEastAsia"/>
              <w:sz w:val="32"/>
              <w:lang w:eastAsia="zh-CN"/>
            </w:rPr>
          </w:pPr>
          <w:r>
            <w:fldChar w:fldCharType="begin"/>
          </w:r>
          <w:r>
            <w:instrText xml:space="preserve"> HYPERLINK \l "_Toc121817471" </w:instrText>
          </w:r>
          <w:r>
            <w:fldChar w:fldCharType="separate"/>
          </w:r>
          <w:r>
            <w:rPr>
              <w:rStyle w:val="16"/>
              <w:rFonts w:hint="eastAsia" w:ascii="仿宋" w:hAnsi="仿宋" w:eastAsia="仿宋" w:cs="仿宋"/>
              <w:sz w:val="32"/>
            </w:rPr>
            <w:t>七、投标文件</w:t>
          </w:r>
          <w:r>
            <w:rPr>
              <w:sz w:val="32"/>
            </w:rPr>
            <w:tab/>
          </w:r>
          <w:r>
            <w:rPr>
              <w:rFonts w:hint="eastAsia"/>
              <w:sz w:val="32"/>
            </w:rPr>
            <w:fldChar w:fldCharType="end"/>
          </w:r>
          <w:r>
            <w:rPr>
              <w:rFonts w:hint="eastAsia"/>
              <w:sz w:val="32"/>
              <w:lang w:val="en-US" w:eastAsia="zh-CN"/>
            </w:rPr>
            <w:t>9</w:t>
          </w:r>
        </w:p>
        <w:p w14:paraId="7F957A6A">
          <w:pPr>
            <w:pStyle w:val="10"/>
            <w:tabs>
              <w:tab w:val="left" w:pos="733"/>
            </w:tabs>
            <w:ind w:left="0" w:leftChars="0"/>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sz w:val="44"/>
              <w:szCs w:val="28"/>
            </w:rPr>
            <w:fldChar w:fldCharType="end"/>
          </w:r>
        </w:p>
      </w:sdtContent>
    </w:sdt>
    <w:bookmarkEnd w:id="0"/>
    <w:p w14:paraId="68DF4185">
      <w:pPr>
        <w:pStyle w:val="4"/>
        <w:spacing w:beforeAutospacing="0" w:afterAutospacing="0" w:line="360" w:lineRule="auto"/>
        <w:rPr>
          <w:rFonts w:hint="default" w:ascii="仿宋" w:hAnsi="仿宋" w:eastAsia="仿宋" w:cs="仿宋"/>
          <w:b w:val="0"/>
          <w:bCs/>
          <w:sz w:val="28"/>
          <w:szCs w:val="24"/>
        </w:rPr>
      </w:pPr>
      <w:bookmarkStart w:id="1" w:name="_Toc7788"/>
      <w:bookmarkStart w:id="2" w:name="_Toc121817470"/>
      <w:bookmarkStart w:id="3" w:name="_Toc30968"/>
      <w:r>
        <w:rPr>
          <w:rFonts w:ascii="仿宋" w:hAnsi="仿宋" w:eastAsia="仿宋" w:cs="仿宋"/>
          <w:bCs/>
          <w:sz w:val="28"/>
          <w:szCs w:val="24"/>
        </w:rPr>
        <w:t>一、项目概况</w:t>
      </w:r>
      <w:bookmarkEnd w:id="1"/>
      <w:bookmarkEnd w:id="2"/>
      <w:bookmarkEnd w:id="3"/>
    </w:p>
    <w:p w14:paraId="128EFFFA">
      <w:pPr>
        <w:spacing w:line="360" w:lineRule="auto"/>
        <w:ind w:firstLine="560" w:firstLineChars="200"/>
        <w:jc w:val="left"/>
        <w:rPr>
          <w:rFonts w:ascii="仿宋" w:hAnsi="仿宋" w:eastAsia="仿宋" w:cs="仿宋"/>
          <w:sz w:val="28"/>
          <w:szCs w:val="28"/>
        </w:rPr>
      </w:pPr>
      <w:r>
        <w:rPr>
          <w:rFonts w:hint="eastAsia" w:ascii="仿宋_GB2312" w:hAnsi="仿宋" w:eastAsia="仿宋_GB2312" w:cs="宋体"/>
          <w:sz w:val="28"/>
          <w:szCs w:val="28"/>
        </w:rPr>
        <w:t>我站位于福州市鼓楼区福飞南路138号，大楼建筑面积为5300㎡，为保障大楼各项功能稳定、正常运行，拟委托具有专业</w:t>
      </w:r>
      <w:r>
        <w:rPr>
          <w:rFonts w:hint="eastAsia" w:ascii="仿宋_GB2312" w:hAnsi="仿宋" w:eastAsia="仿宋_GB2312" w:cs="宋体"/>
          <w:sz w:val="28"/>
          <w:szCs w:val="28"/>
          <w:lang w:eastAsia="zh-CN"/>
        </w:rPr>
        <w:t>相关</w:t>
      </w:r>
      <w:r>
        <w:rPr>
          <w:rFonts w:hint="eastAsia" w:ascii="仿宋_GB2312" w:hAnsi="仿宋" w:eastAsia="仿宋_GB2312" w:cs="宋体"/>
          <w:sz w:val="28"/>
          <w:szCs w:val="28"/>
        </w:rPr>
        <w:t>资质</w:t>
      </w:r>
      <w:r>
        <w:rPr>
          <w:rFonts w:ascii="仿宋_GB2312" w:hAnsi="仿宋" w:eastAsia="仿宋_GB2312" w:cs="宋体"/>
          <w:sz w:val="28"/>
          <w:szCs w:val="28"/>
        </w:rPr>
        <w:t>的</w:t>
      </w:r>
      <w:r>
        <w:rPr>
          <w:rFonts w:hint="eastAsia" w:ascii="仿宋_GB2312" w:hAnsi="仿宋" w:eastAsia="仿宋_GB2312" w:cs="宋体"/>
          <w:sz w:val="28"/>
          <w:szCs w:val="28"/>
        </w:rPr>
        <w:t>物业公司</w:t>
      </w:r>
      <w:r>
        <w:rPr>
          <w:rFonts w:ascii="仿宋_GB2312" w:hAnsi="仿宋" w:eastAsia="仿宋_GB2312" w:cs="宋体"/>
          <w:sz w:val="28"/>
          <w:szCs w:val="28"/>
        </w:rPr>
        <w:t>提供</w:t>
      </w:r>
      <w:r>
        <w:rPr>
          <w:rFonts w:hint="eastAsia" w:ascii="仿宋_GB2312" w:hAnsi="仿宋" w:eastAsia="仿宋_GB2312" w:cs="宋体"/>
          <w:sz w:val="28"/>
          <w:szCs w:val="28"/>
          <w:lang w:eastAsia="zh-CN"/>
        </w:rPr>
        <w:t>专业化、社会化的物业管理服务</w:t>
      </w:r>
      <w:r>
        <w:rPr>
          <w:rFonts w:hint="eastAsia" w:ascii="仿宋_GB2312" w:hAnsi="仿宋" w:eastAsia="仿宋_GB2312" w:cs="宋体"/>
          <w:sz w:val="28"/>
          <w:szCs w:val="28"/>
        </w:rPr>
        <w:t>。</w:t>
      </w:r>
    </w:p>
    <w:p w14:paraId="2B31EC42">
      <w:pPr>
        <w:pStyle w:val="5"/>
        <w:numPr>
          <w:ilvl w:val="0"/>
          <w:numId w:val="1"/>
        </w:numPr>
        <w:spacing w:line="360" w:lineRule="auto"/>
        <w:rPr>
          <w:rFonts w:ascii="仿宋" w:hAnsi="仿宋" w:eastAsia="仿宋" w:cs="仿宋"/>
          <w:sz w:val="28"/>
          <w:szCs w:val="28"/>
        </w:rPr>
      </w:pPr>
      <w:r>
        <w:rPr>
          <w:rFonts w:hint="eastAsia" w:ascii="仿宋" w:hAnsi="仿宋" w:eastAsia="仿宋" w:cs="仿宋"/>
          <w:b/>
          <w:bCs/>
          <w:kern w:val="44"/>
          <w:sz w:val="28"/>
        </w:rPr>
        <w:t>采购内容</w:t>
      </w:r>
    </w:p>
    <w:p w14:paraId="6C2D5D61">
      <w:pPr>
        <w:pStyle w:val="5"/>
        <w:spacing w:line="360" w:lineRule="auto"/>
        <w:ind w:firstLine="560" w:firstLineChars="200"/>
        <w:rPr>
          <w:rFonts w:hint="default" w:ascii="仿宋_GB2312" w:hAnsi="仿宋" w:eastAsia="仿宋_GB2312" w:cs="宋体"/>
          <w:sz w:val="28"/>
          <w:szCs w:val="28"/>
          <w:lang w:val="en-US" w:eastAsia="zh-CN"/>
        </w:rPr>
      </w:pPr>
      <w:r>
        <w:rPr>
          <w:rFonts w:hint="eastAsia" w:ascii="仿宋_GB2312" w:hAnsi="仿宋" w:eastAsia="仿宋_GB2312" w:cs="宋体"/>
          <w:sz w:val="28"/>
          <w:szCs w:val="28"/>
        </w:rPr>
        <w:t>物业管理服务</w:t>
      </w:r>
      <w:r>
        <w:rPr>
          <w:rFonts w:hint="eastAsia" w:ascii="仿宋_GB2312" w:hAnsi="仿宋" w:eastAsia="仿宋_GB2312" w:cs="宋体"/>
          <w:sz w:val="28"/>
          <w:szCs w:val="28"/>
          <w:lang w:eastAsia="zh-CN"/>
        </w:rPr>
        <w:t>项目</w:t>
      </w:r>
      <w:r>
        <w:rPr>
          <w:rFonts w:hint="eastAsia" w:ascii="仿宋_GB2312" w:hAnsi="仿宋" w:eastAsia="仿宋_GB2312" w:cs="宋体"/>
          <w:sz w:val="28"/>
          <w:szCs w:val="28"/>
        </w:rPr>
        <w:t>，主要为办公楼的硬件设施养护、安全保卫、卫生保洁、室外绿化养护服务及我站所属资产范围内的水电零星维修等。</w:t>
      </w:r>
      <w:r>
        <w:rPr>
          <w:rFonts w:hint="eastAsia" w:ascii="仿宋_GB2312" w:hAnsi="仿宋" w:eastAsia="仿宋_GB2312" w:cs="宋体"/>
          <w:sz w:val="28"/>
          <w:szCs w:val="28"/>
          <w:lang w:eastAsia="zh-CN"/>
        </w:rPr>
        <w:t>项目预算</w:t>
      </w:r>
      <w:r>
        <w:rPr>
          <w:rFonts w:hint="eastAsia" w:ascii="仿宋_GB2312" w:hAnsi="仿宋" w:eastAsia="仿宋_GB2312" w:cs="宋体"/>
          <w:sz w:val="28"/>
          <w:szCs w:val="28"/>
          <w:lang w:val="en-US" w:eastAsia="zh-CN"/>
        </w:rPr>
        <w:t>26万元。</w:t>
      </w:r>
    </w:p>
    <w:p w14:paraId="757C85AE">
      <w:pPr>
        <w:pStyle w:val="4"/>
        <w:spacing w:beforeAutospacing="0" w:afterAutospacing="0" w:line="360" w:lineRule="auto"/>
        <w:rPr>
          <w:rFonts w:hint="default" w:ascii="仿宋" w:hAnsi="仿宋" w:eastAsia="仿宋" w:cs="仿宋"/>
          <w:sz w:val="28"/>
          <w:szCs w:val="24"/>
        </w:rPr>
      </w:pPr>
      <w:bookmarkStart w:id="4" w:name="_Toc7072"/>
      <w:bookmarkStart w:id="5" w:name="_Toc8348"/>
      <w:bookmarkStart w:id="6" w:name="_Toc121817471"/>
      <w:r>
        <w:rPr>
          <w:rFonts w:ascii="仿宋" w:hAnsi="仿宋" w:eastAsia="仿宋" w:cs="仿宋"/>
          <w:sz w:val="28"/>
          <w:szCs w:val="24"/>
        </w:rPr>
        <w:t>三、服务内容与要求</w:t>
      </w:r>
      <w:bookmarkEnd w:id="4"/>
      <w:bookmarkEnd w:id="5"/>
      <w:bookmarkEnd w:id="6"/>
    </w:p>
    <w:p w14:paraId="4CC3663F">
      <w:pPr>
        <w:pStyle w:val="5"/>
        <w:spacing w:line="360" w:lineRule="auto"/>
        <w:ind w:firstLine="560" w:firstLineChars="200"/>
        <w:rPr>
          <w:rFonts w:ascii="仿宋_GB2312" w:hAnsi="仿宋" w:eastAsia="仿宋_GB2312" w:cs="宋体"/>
          <w:sz w:val="28"/>
          <w:szCs w:val="28"/>
        </w:rPr>
      </w:pPr>
      <w:bookmarkStart w:id="7" w:name="_Toc23933"/>
      <w:bookmarkStart w:id="8" w:name="_Toc121817472"/>
      <w:bookmarkStart w:id="9" w:name="_Toc5351"/>
      <w:r>
        <w:rPr>
          <w:rFonts w:hint="eastAsia" w:ascii="仿宋_GB2312" w:hAnsi="仿宋" w:eastAsia="仿宋_GB2312" w:cs="宋体"/>
          <w:sz w:val="28"/>
          <w:szCs w:val="28"/>
        </w:rPr>
        <w:t>1、综合服务</w:t>
      </w:r>
      <w:bookmarkEnd w:id="7"/>
      <w:bookmarkEnd w:id="8"/>
      <w:bookmarkEnd w:id="9"/>
    </w:p>
    <w:p w14:paraId="3CB4FEF7">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（1）设立固定的物业管理机构，实行综合管理服务，制定各项服务标准，公示8小时服务电话及24小时值班电话，有专职管理人员处理物业服务的各项咨询、投诉、报修，并在承诺的时间内给予回复解决。</w:t>
      </w:r>
    </w:p>
    <w:p w14:paraId="000DE100">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（2）做好物业前期移交接管工作，应用现代化管理手段保管和建立本项目完整的资料，保证无缝交接，平稳过渡。</w:t>
      </w:r>
    </w:p>
    <w:p w14:paraId="047E091B">
      <w:pPr>
        <w:pStyle w:val="5"/>
        <w:spacing w:line="360" w:lineRule="auto"/>
        <w:ind w:firstLine="560" w:firstLineChars="200"/>
        <w:rPr>
          <w:rFonts w:hint="eastAsia" w:ascii="仿宋_GB2312" w:hAnsi="仿宋" w:eastAsia="仿宋_GB2312" w:cs="宋体"/>
          <w:sz w:val="28"/>
          <w:szCs w:val="28"/>
          <w:lang w:eastAsia="zh-CN"/>
        </w:rPr>
      </w:pPr>
      <w:r>
        <w:rPr>
          <w:rFonts w:hint="eastAsia" w:ascii="仿宋_GB2312" w:hAnsi="仿宋" w:eastAsia="仿宋_GB2312" w:cs="宋体"/>
          <w:sz w:val="28"/>
          <w:szCs w:val="28"/>
        </w:rPr>
        <w:t>（3）</w:t>
      </w:r>
      <w:r>
        <w:rPr>
          <w:rFonts w:hint="eastAsia" w:ascii="仿宋_GB2312" w:hAnsi="仿宋" w:eastAsia="仿宋_GB2312" w:cs="宋体"/>
          <w:sz w:val="28"/>
          <w:szCs w:val="28"/>
          <w:lang w:eastAsia="zh-CN"/>
        </w:rPr>
        <w:t>两节（国庆、春节）站内大厅氛围布置，每次横幅一条，花盆若干，其他装饰物不等，倡导节俭热闹。</w:t>
      </w:r>
    </w:p>
    <w:p w14:paraId="6E7CBD1D">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（4）管理人员、专业操作人员、保安员按照国家有关规定取得物业管理职业资格证书或者岗位证书。</w:t>
      </w:r>
    </w:p>
    <w:p w14:paraId="68517FEA">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（5）制定各项规章制度、办法和内部岗位考核制度，并经采购人认定后发布实施。</w:t>
      </w:r>
    </w:p>
    <w:p w14:paraId="4E16236A">
      <w:pPr>
        <w:pStyle w:val="5"/>
        <w:spacing w:line="360" w:lineRule="auto"/>
        <w:ind w:firstLine="560" w:firstLineChars="200"/>
        <w:rPr>
          <w:rFonts w:ascii="仿宋_GB2312" w:hAnsi="仿宋" w:eastAsia="仿宋_GB2312" w:cs="宋体"/>
          <w:sz w:val="28"/>
          <w:szCs w:val="28"/>
        </w:rPr>
      </w:pPr>
      <w:r>
        <w:rPr>
          <w:rFonts w:hint="eastAsia" w:ascii="仿宋" w:hAnsi="仿宋" w:eastAsia="仿宋" w:cs="仿宋"/>
          <w:sz w:val="28"/>
          <w:szCs w:val="28"/>
        </w:rPr>
        <w:t>（</w:t>
      </w:r>
      <w:r>
        <w:rPr>
          <w:rFonts w:hint="eastAsia" w:ascii="仿宋_GB2312" w:hAnsi="仿宋" w:eastAsia="仿宋_GB2312" w:cs="宋体"/>
          <w:sz w:val="28"/>
          <w:szCs w:val="28"/>
        </w:rPr>
        <w:t>6）物业人员统一着装，佩带标志，行为规范，服务主动、热情。</w:t>
      </w:r>
    </w:p>
    <w:p w14:paraId="34CDE0EC">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（7）每半年至少征询1次采购人对物业管理服务的意见，接受采购人监督，物业管理服务的满意率达到90%以上。对不满意的情况进行分析并及时整改。</w:t>
      </w:r>
    </w:p>
    <w:p w14:paraId="65EFB2AA">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（8）环境的消杀、绿化的补植等需要有记录，必要时还需提供照片，以作为上述所需报销申请的凭证。</w:t>
      </w:r>
    </w:p>
    <w:p w14:paraId="2A05E315">
      <w:pPr>
        <w:pStyle w:val="5"/>
        <w:spacing w:line="360" w:lineRule="auto"/>
        <w:ind w:firstLine="560" w:firstLineChars="200"/>
        <w:rPr>
          <w:rFonts w:hint="eastAsia" w:ascii="仿宋_GB2312" w:hAnsi="仿宋" w:eastAsia="仿宋_GB2312" w:cs="宋体"/>
          <w:sz w:val="28"/>
          <w:szCs w:val="28"/>
          <w:lang w:eastAsia="zh-CN"/>
        </w:rPr>
      </w:pPr>
      <w:r>
        <w:rPr>
          <w:rFonts w:hint="eastAsia" w:ascii="仿宋_GB2312" w:hAnsi="仿宋" w:eastAsia="仿宋_GB2312" w:cs="宋体"/>
          <w:sz w:val="28"/>
          <w:szCs w:val="28"/>
        </w:rPr>
        <w:t>（9）每年至少开展一次消防安全知识宣传讲座或组织消防演练</w:t>
      </w:r>
      <w:r>
        <w:rPr>
          <w:rFonts w:hint="eastAsia" w:ascii="仿宋_GB2312" w:hAnsi="仿宋" w:eastAsia="仿宋_GB2312" w:cs="宋体"/>
          <w:sz w:val="28"/>
          <w:szCs w:val="28"/>
          <w:lang w:eastAsia="zh-CN"/>
        </w:rPr>
        <w:t>。</w:t>
      </w:r>
    </w:p>
    <w:p w14:paraId="526E5D00">
      <w:pPr>
        <w:pStyle w:val="5"/>
        <w:spacing w:line="360" w:lineRule="auto"/>
        <w:ind w:firstLine="560" w:firstLineChars="200"/>
        <w:rPr>
          <w:rFonts w:ascii="仿宋_GB2312" w:hAnsi="仿宋" w:eastAsia="仿宋_GB2312" w:cs="宋体"/>
          <w:sz w:val="28"/>
          <w:szCs w:val="28"/>
        </w:rPr>
      </w:pPr>
      <w:bookmarkStart w:id="10" w:name="_Toc121817473"/>
      <w:bookmarkStart w:id="11" w:name="_Toc17509"/>
      <w:bookmarkStart w:id="12" w:name="_Toc12509"/>
      <w:r>
        <w:rPr>
          <w:rFonts w:hint="eastAsia" w:ascii="仿宋_GB2312" w:hAnsi="仿宋" w:eastAsia="仿宋_GB2312" w:cs="宋体"/>
          <w:sz w:val="28"/>
          <w:szCs w:val="28"/>
        </w:rPr>
        <w:t>2、安全保卫工作</w:t>
      </w:r>
      <w:bookmarkEnd w:id="10"/>
      <w:bookmarkEnd w:id="11"/>
      <w:bookmarkEnd w:id="12"/>
    </w:p>
    <w:p w14:paraId="3F8A6ADC">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（1）24小时提供安全防范管理服务。</w:t>
      </w:r>
    </w:p>
    <w:p w14:paraId="5455BD17">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（2）一楼大厅设门岗安保执勤，负责来访客人的登记、车辆出入、报刊邮件快递收发等工作。</w:t>
      </w:r>
    </w:p>
    <w:p w14:paraId="3904EEB1">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（3）严格控制无关人员随意进出大楼，对大件物品进出应认真查验。</w:t>
      </w:r>
    </w:p>
    <w:p w14:paraId="1A3876E9">
      <w:pPr>
        <w:pStyle w:val="5"/>
        <w:spacing w:line="360" w:lineRule="auto"/>
        <w:ind w:firstLine="560" w:firstLineChars="200"/>
        <w:rPr>
          <w:rFonts w:ascii="仿宋_GB2312" w:hAnsi="仿宋" w:eastAsia="仿宋_GB2312" w:cs="宋体"/>
          <w:sz w:val="28"/>
          <w:szCs w:val="28"/>
        </w:rPr>
      </w:pPr>
      <w:bookmarkStart w:id="13" w:name="_Toc26758"/>
      <w:bookmarkStart w:id="14" w:name="_Toc121817474"/>
      <w:bookmarkStart w:id="15" w:name="_Toc23034"/>
      <w:r>
        <w:rPr>
          <w:rFonts w:hint="eastAsia" w:ascii="仿宋_GB2312" w:hAnsi="仿宋" w:eastAsia="仿宋_GB2312" w:cs="宋体"/>
          <w:sz w:val="28"/>
          <w:szCs w:val="28"/>
        </w:rPr>
        <w:t>3、卫生保洁服务</w:t>
      </w:r>
      <w:bookmarkEnd w:id="13"/>
      <w:bookmarkEnd w:id="14"/>
      <w:bookmarkEnd w:id="15"/>
    </w:p>
    <w:p w14:paraId="7F307AFD">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（1）负责站公共区域每日清扫保洁服务，包括办公楼外围路面、绿地、景观、明沟、宣传栏等公共部位卫生清洁工作</w:t>
      </w:r>
      <w:r>
        <w:rPr>
          <w:rFonts w:hint="eastAsia" w:ascii="仿宋_GB2312" w:hAnsi="仿宋" w:eastAsia="仿宋_GB2312" w:cs="宋体"/>
          <w:sz w:val="28"/>
          <w:szCs w:val="28"/>
          <w:lang w:eastAsia="zh-CN"/>
        </w:rPr>
        <w:t>，每年后院水沟清掏两次</w:t>
      </w:r>
      <w:r>
        <w:rPr>
          <w:rFonts w:hint="eastAsia" w:ascii="仿宋_GB2312" w:hAnsi="仿宋" w:eastAsia="仿宋_GB2312" w:cs="宋体"/>
          <w:sz w:val="28"/>
          <w:szCs w:val="28"/>
        </w:rPr>
        <w:t>；室内公共区域包括办公楼内大厅、楼道、走廊、洗手间、电梯、天台、实验室外过道等公共区域定期清扫服务。</w:t>
      </w:r>
    </w:p>
    <w:p w14:paraId="7E9480CB">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（2）各会议室（二楼、五楼、八楼）的会议服务保障及卫生清扫服务。</w:t>
      </w:r>
    </w:p>
    <w:p w14:paraId="70213B8A">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（3）站领导办公室的卫生清洁。</w:t>
      </w:r>
    </w:p>
    <w:p w14:paraId="2CC88365">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（4）在委托管理的范围内协助采购人做好垃圾分类的管理与服务工作。负责对整栋大楼及院内的垃圾进行分类清运，清运费由中标人承担。</w:t>
      </w:r>
    </w:p>
    <w:p w14:paraId="63B30E1A">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（5）每年根据需要对蚊虫、鼠害等进行灭杀，并做好其他日常消杀工作。</w:t>
      </w:r>
    </w:p>
    <w:p w14:paraId="3098CA7C">
      <w:pPr>
        <w:pStyle w:val="5"/>
        <w:spacing w:line="360" w:lineRule="auto"/>
        <w:ind w:firstLine="560" w:firstLineChars="200"/>
        <w:rPr>
          <w:rFonts w:ascii="仿宋_GB2312" w:hAnsi="仿宋" w:eastAsia="仿宋_GB2312" w:cs="宋体"/>
          <w:sz w:val="28"/>
          <w:szCs w:val="28"/>
        </w:rPr>
      </w:pPr>
      <w:bookmarkStart w:id="16" w:name="_Toc4479"/>
      <w:bookmarkStart w:id="17" w:name="_Toc30237"/>
      <w:bookmarkStart w:id="18" w:name="_Toc121817475"/>
      <w:r>
        <w:rPr>
          <w:rFonts w:hint="eastAsia" w:ascii="仿宋_GB2312" w:hAnsi="仿宋" w:eastAsia="仿宋_GB2312" w:cs="宋体"/>
          <w:sz w:val="28"/>
          <w:szCs w:val="28"/>
        </w:rPr>
        <w:t>4、绿化养护服务</w:t>
      </w:r>
      <w:bookmarkEnd w:id="16"/>
      <w:bookmarkEnd w:id="17"/>
      <w:bookmarkEnd w:id="18"/>
    </w:p>
    <w:p w14:paraId="0DD4DE1F">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定期对办公楼室外绿植进行养护，做到：大楼建筑主体上无草木滋生，树木完整，长势茂盛，无枯枝死杈，无病虫害，绿化周围无杂草、杂物，各种花草的种植和调整工作应本着美观合理的原则进行规划管理，确保布局合理优美，修剪整齐美观、无黄土裸露。</w:t>
      </w:r>
    </w:p>
    <w:p w14:paraId="17FA77C3">
      <w:pPr>
        <w:pStyle w:val="5"/>
        <w:spacing w:line="360" w:lineRule="auto"/>
        <w:ind w:firstLine="560" w:firstLineChars="200"/>
        <w:rPr>
          <w:rFonts w:ascii="仿宋_GB2312" w:hAnsi="仿宋" w:eastAsia="仿宋_GB2312" w:cs="宋体"/>
          <w:sz w:val="28"/>
          <w:szCs w:val="28"/>
        </w:rPr>
      </w:pPr>
      <w:bookmarkStart w:id="19" w:name="_Toc5331"/>
      <w:bookmarkStart w:id="20" w:name="_Toc4562"/>
      <w:r>
        <w:rPr>
          <w:rFonts w:hint="eastAsia" w:ascii="仿宋_GB2312" w:hAnsi="仿宋" w:eastAsia="仿宋_GB2312" w:cs="宋体"/>
          <w:sz w:val="28"/>
          <w:szCs w:val="28"/>
        </w:rPr>
        <w:t xml:space="preserve"> </w:t>
      </w:r>
      <w:bookmarkStart w:id="21" w:name="_Toc121817476"/>
      <w:r>
        <w:rPr>
          <w:rFonts w:hint="eastAsia" w:ascii="仿宋_GB2312" w:hAnsi="仿宋" w:eastAsia="仿宋_GB2312" w:cs="宋体"/>
          <w:sz w:val="28"/>
          <w:szCs w:val="28"/>
        </w:rPr>
        <w:t>5、维修服务</w:t>
      </w:r>
      <w:bookmarkEnd w:id="19"/>
      <w:bookmarkEnd w:id="20"/>
      <w:bookmarkEnd w:id="21"/>
      <w:r>
        <w:rPr>
          <w:rFonts w:hint="eastAsia" w:ascii="仿宋_GB2312" w:hAnsi="仿宋" w:eastAsia="仿宋_GB2312" w:cs="宋体"/>
          <w:sz w:val="28"/>
          <w:szCs w:val="28"/>
        </w:rPr>
        <w:t>及其他</w:t>
      </w:r>
    </w:p>
    <w:p w14:paraId="58DABC4E">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（1）负责监控、门禁、消防等设施运行维护，规范记录。</w:t>
      </w:r>
    </w:p>
    <w:p w14:paraId="344BB64E">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（2）负责废水和废气处理设施（实验室）运行维护，并定期做好检查记录，按月装订成册，如设备故障，维修产生的费用按实际金额结算。</w:t>
      </w:r>
    </w:p>
    <w:p w14:paraId="63DC4073">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（3）零星土建维修</w:t>
      </w:r>
    </w:p>
    <w:p w14:paraId="0A1E27F3">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每次维修前需就维修内容向采购人提报维修报价单，经采购人签字确认后方可维修，维修费用结算以维修实际金额为准。</w:t>
      </w:r>
    </w:p>
    <w:p w14:paraId="294C7E82">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4）零星水电维修：包括玻璃门窗配件以及涉及水电的各类零星维修，普通水龙头、蹲便器、混水阀、三角阀、闸阀、水池下水管（头）、PVC管、照明灯具（含节能灯、日光灯/日光灯架等）、按扭开关、插座、空气开关/漏保开关、镇流器、电扇（含吸顶）、电扇调速器、时控器等的更换、维修。</w:t>
      </w:r>
    </w:p>
    <w:p w14:paraId="5D4C5503">
      <w:pPr>
        <w:pStyle w:val="5"/>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（注：零星水电维修材料费用由采购人承担，人工费用由中标人承担）</w:t>
      </w:r>
    </w:p>
    <w:p w14:paraId="1E5B019A">
      <w:pPr>
        <w:pStyle w:val="5"/>
        <w:spacing w:line="360" w:lineRule="auto"/>
        <w:ind w:firstLine="560" w:firstLineChars="200"/>
        <w:rPr>
          <w:rFonts w:ascii="仿宋_GB2312" w:hAnsi="仿宋" w:eastAsia="仿宋_GB2312" w:cs="宋体"/>
          <w:sz w:val="28"/>
          <w:szCs w:val="28"/>
        </w:rPr>
      </w:pPr>
      <w:bookmarkStart w:id="22" w:name="_Toc5409"/>
      <w:bookmarkStart w:id="23" w:name="_Toc121817477"/>
      <w:bookmarkStart w:id="24" w:name="_Toc2747"/>
      <w:r>
        <w:rPr>
          <w:rFonts w:hint="eastAsia" w:ascii="仿宋_GB2312" w:hAnsi="仿宋" w:eastAsia="仿宋_GB2312" w:cs="宋体"/>
          <w:sz w:val="28"/>
          <w:szCs w:val="28"/>
        </w:rPr>
        <w:t>6、人员配备要求</w:t>
      </w:r>
      <w:bookmarkEnd w:id="22"/>
      <w:bookmarkEnd w:id="23"/>
      <w:bookmarkEnd w:id="24"/>
    </w:p>
    <w:tbl>
      <w:tblPr>
        <w:tblStyle w:val="13"/>
        <w:tblW w:w="4998" w:type="pct"/>
        <w:tblCellSpacing w:w="1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4"/>
        <w:gridCol w:w="1206"/>
        <w:gridCol w:w="880"/>
        <w:gridCol w:w="3263"/>
        <w:gridCol w:w="2370"/>
      </w:tblGrid>
      <w:tr w14:paraId="13EE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2" w:type="pct"/>
            <w:shd w:val="clear" w:color="auto" w:fill="FFFFFF"/>
            <w:tcMar>
              <w:top w:w="0" w:type="dxa"/>
              <w:left w:w="105" w:type="dxa"/>
              <w:bottom w:w="0" w:type="dxa"/>
              <w:right w:w="105" w:type="dxa"/>
            </w:tcMar>
          </w:tcPr>
          <w:p w14:paraId="2A1E66A4">
            <w:pPr>
              <w:pStyle w:val="12"/>
              <w:spacing w:beforeAutospacing="0" w:afterAutospacing="0" w:line="360" w:lineRule="auto"/>
              <w:jc w:val="center"/>
              <w:rPr>
                <w:rFonts w:ascii="仿宋" w:hAnsi="仿宋" w:eastAsia="仿宋" w:cs="仿宋"/>
                <w:sz w:val="28"/>
                <w:szCs w:val="28"/>
              </w:rPr>
            </w:pPr>
            <w:r>
              <w:rPr>
                <w:rStyle w:val="15"/>
                <w:rFonts w:hint="eastAsia" w:ascii="仿宋" w:hAnsi="仿宋" w:eastAsia="仿宋" w:cs="仿宋"/>
                <w:sz w:val="28"/>
                <w:szCs w:val="28"/>
              </w:rPr>
              <w:t>序号</w:t>
            </w:r>
          </w:p>
        </w:tc>
        <w:tc>
          <w:tcPr>
            <w:tcW w:w="684" w:type="pct"/>
            <w:shd w:val="clear" w:color="auto" w:fill="FFFFFF"/>
            <w:tcMar>
              <w:top w:w="0" w:type="dxa"/>
              <w:left w:w="105" w:type="dxa"/>
              <w:bottom w:w="0" w:type="dxa"/>
              <w:right w:w="105" w:type="dxa"/>
            </w:tcMar>
          </w:tcPr>
          <w:p w14:paraId="73DF9494">
            <w:pPr>
              <w:pStyle w:val="12"/>
              <w:spacing w:beforeAutospacing="0" w:afterAutospacing="0" w:line="360" w:lineRule="auto"/>
              <w:jc w:val="center"/>
              <w:rPr>
                <w:rFonts w:ascii="仿宋" w:hAnsi="仿宋" w:eastAsia="仿宋" w:cs="仿宋"/>
                <w:sz w:val="28"/>
                <w:szCs w:val="28"/>
              </w:rPr>
            </w:pPr>
            <w:r>
              <w:rPr>
                <w:rStyle w:val="15"/>
                <w:rFonts w:hint="eastAsia" w:ascii="仿宋" w:hAnsi="仿宋" w:eastAsia="仿宋" w:cs="仿宋"/>
                <w:sz w:val="28"/>
                <w:szCs w:val="28"/>
              </w:rPr>
              <w:t>岗位</w:t>
            </w:r>
          </w:p>
        </w:tc>
        <w:tc>
          <w:tcPr>
            <w:tcW w:w="494" w:type="pct"/>
            <w:shd w:val="clear" w:color="auto" w:fill="FFFFFF"/>
            <w:tcMar>
              <w:top w:w="0" w:type="dxa"/>
              <w:left w:w="105" w:type="dxa"/>
              <w:bottom w:w="0" w:type="dxa"/>
              <w:right w:w="105" w:type="dxa"/>
            </w:tcMar>
          </w:tcPr>
          <w:p w14:paraId="24044AFE">
            <w:pPr>
              <w:pStyle w:val="12"/>
              <w:spacing w:beforeAutospacing="0" w:afterAutospacing="0" w:line="360" w:lineRule="auto"/>
              <w:jc w:val="center"/>
              <w:rPr>
                <w:rFonts w:ascii="仿宋" w:hAnsi="仿宋" w:eastAsia="仿宋" w:cs="仿宋"/>
                <w:sz w:val="28"/>
                <w:szCs w:val="28"/>
              </w:rPr>
            </w:pPr>
            <w:r>
              <w:rPr>
                <w:rStyle w:val="15"/>
                <w:rFonts w:hint="eastAsia" w:ascii="仿宋" w:hAnsi="仿宋" w:eastAsia="仿宋" w:cs="仿宋"/>
                <w:sz w:val="28"/>
                <w:szCs w:val="28"/>
              </w:rPr>
              <w:t>人数</w:t>
            </w:r>
          </w:p>
        </w:tc>
        <w:tc>
          <w:tcPr>
            <w:tcW w:w="1880" w:type="pct"/>
            <w:shd w:val="clear" w:color="auto" w:fill="FFFFFF"/>
            <w:tcMar>
              <w:top w:w="0" w:type="dxa"/>
              <w:left w:w="105" w:type="dxa"/>
              <w:bottom w:w="0" w:type="dxa"/>
              <w:right w:w="105" w:type="dxa"/>
            </w:tcMar>
          </w:tcPr>
          <w:p w14:paraId="59C0791C">
            <w:pPr>
              <w:pStyle w:val="12"/>
              <w:spacing w:beforeAutospacing="0" w:afterAutospacing="0" w:line="360" w:lineRule="auto"/>
              <w:jc w:val="center"/>
              <w:rPr>
                <w:rFonts w:ascii="仿宋" w:hAnsi="仿宋" w:eastAsia="仿宋" w:cs="仿宋"/>
                <w:sz w:val="28"/>
                <w:szCs w:val="28"/>
              </w:rPr>
            </w:pPr>
            <w:r>
              <w:rPr>
                <w:rStyle w:val="15"/>
                <w:rFonts w:hint="eastAsia" w:ascii="仿宋" w:hAnsi="仿宋" w:eastAsia="仿宋" w:cs="仿宋"/>
                <w:sz w:val="28"/>
                <w:szCs w:val="28"/>
              </w:rPr>
              <w:t>主要职责</w:t>
            </w:r>
          </w:p>
        </w:tc>
        <w:tc>
          <w:tcPr>
            <w:tcW w:w="1352" w:type="pct"/>
            <w:shd w:val="clear" w:color="auto" w:fill="FFFFFF"/>
            <w:tcMar>
              <w:top w:w="0" w:type="dxa"/>
              <w:left w:w="105" w:type="dxa"/>
              <w:bottom w:w="0" w:type="dxa"/>
              <w:right w:w="105" w:type="dxa"/>
            </w:tcMar>
          </w:tcPr>
          <w:p w14:paraId="2BC2EB0D">
            <w:pPr>
              <w:pStyle w:val="12"/>
              <w:spacing w:beforeAutospacing="0" w:afterAutospacing="0" w:line="360" w:lineRule="auto"/>
              <w:jc w:val="center"/>
              <w:rPr>
                <w:rStyle w:val="15"/>
                <w:rFonts w:ascii="仿宋" w:hAnsi="仿宋" w:eastAsia="仿宋" w:cs="仿宋"/>
                <w:sz w:val="28"/>
                <w:szCs w:val="28"/>
              </w:rPr>
            </w:pPr>
            <w:r>
              <w:rPr>
                <w:rStyle w:val="15"/>
                <w:rFonts w:hint="eastAsia" w:ascii="仿宋" w:hAnsi="仿宋" w:eastAsia="仿宋" w:cs="仿宋"/>
                <w:sz w:val="28"/>
                <w:szCs w:val="28"/>
              </w:rPr>
              <w:t>岗位要求</w:t>
            </w:r>
          </w:p>
        </w:tc>
      </w:tr>
      <w:tr w14:paraId="06BC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2" w:type="pct"/>
            <w:shd w:val="clear" w:color="auto" w:fill="FFFFFF"/>
            <w:tcMar>
              <w:top w:w="0" w:type="dxa"/>
              <w:left w:w="105" w:type="dxa"/>
              <w:bottom w:w="0" w:type="dxa"/>
              <w:right w:w="105" w:type="dxa"/>
            </w:tcMar>
            <w:vAlign w:val="center"/>
          </w:tcPr>
          <w:p w14:paraId="5A58F0E9">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1</w:t>
            </w:r>
          </w:p>
        </w:tc>
        <w:tc>
          <w:tcPr>
            <w:tcW w:w="684" w:type="pct"/>
            <w:shd w:val="clear" w:color="auto" w:fill="FFFFFF"/>
            <w:tcMar>
              <w:top w:w="0" w:type="dxa"/>
              <w:left w:w="105" w:type="dxa"/>
              <w:bottom w:w="0" w:type="dxa"/>
              <w:right w:w="105" w:type="dxa"/>
            </w:tcMar>
            <w:vAlign w:val="center"/>
          </w:tcPr>
          <w:p w14:paraId="4624E6D9">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项目经理</w:t>
            </w:r>
          </w:p>
        </w:tc>
        <w:tc>
          <w:tcPr>
            <w:tcW w:w="494" w:type="pct"/>
            <w:shd w:val="clear" w:color="auto" w:fill="FFFFFF"/>
            <w:tcMar>
              <w:top w:w="0" w:type="dxa"/>
              <w:left w:w="105" w:type="dxa"/>
              <w:bottom w:w="0" w:type="dxa"/>
              <w:right w:w="105" w:type="dxa"/>
            </w:tcMar>
            <w:vAlign w:val="center"/>
          </w:tcPr>
          <w:p w14:paraId="6FA9CBB2">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1</w:t>
            </w:r>
          </w:p>
        </w:tc>
        <w:tc>
          <w:tcPr>
            <w:tcW w:w="1880" w:type="pct"/>
            <w:shd w:val="clear" w:color="auto" w:fill="FFFFFF"/>
            <w:tcMar>
              <w:top w:w="0" w:type="dxa"/>
              <w:left w:w="105" w:type="dxa"/>
              <w:bottom w:w="0" w:type="dxa"/>
              <w:right w:w="105" w:type="dxa"/>
            </w:tcMar>
            <w:vAlign w:val="center"/>
          </w:tcPr>
          <w:p w14:paraId="67972B4B">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负责项目日常协调管理，确保项目安全、有序运转；合理安排人员，做好各方面安全管理；站内会议保障；负责项目的资料管理及文件交换；公用部分的正常运行和维护；采购人交办的临时事宜。</w:t>
            </w:r>
          </w:p>
        </w:tc>
        <w:tc>
          <w:tcPr>
            <w:tcW w:w="1352" w:type="pct"/>
            <w:shd w:val="clear" w:color="auto" w:fill="FFFFFF"/>
            <w:tcMar>
              <w:top w:w="0" w:type="dxa"/>
              <w:left w:w="105" w:type="dxa"/>
              <w:bottom w:w="0" w:type="dxa"/>
              <w:right w:w="105" w:type="dxa"/>
            </w:tcMar>
            <w:vAlign w:val="center"/>
          </w:tcPr>
          <w:p w14:paraId="20A9CEA8">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45周岁以下，</w:t>
            </w:r>
            <w:r>
              <w:rPr>
                <w:rFonts w:hint="eastAsia" w:ascii="仿宋_GB2312" w:hAnsi="仿宋" w:eastAsia="仿宋_GB2312" w:cs="宋体"/>
                <w:kern w:val="2"/>
                <w:sz w:val="28"/>
                <w:szCs w:val="28"/>
                <w:highlight w:val="none"/>
                <w:lang w:eastAsia="zh-CN"/>
              </w:rPr>
              <w:t>身体健康，</w:t>
            </w:r>
            <w:r>
              <w:rPr>
                <w:rFonts w:hint="eastAsia" w:ascii="仿宋_GB2312" w:hAnsi="仿宋" w:eastAsia="仿宋_GB2312" w:cs="宋体"/>
                <w:kern w:val="2"/>
                <w:sz w:val="28"/>
                <w:szCs w:val="28"/>
              </w:rPr>
              <w:t>大专以上学历，</w:t>
            </w:r>
            <w:r>
              <w:rPr>
                <w:rFonts w:hint="eastAsia" w:ascii="仿宋_GB2312" w:hAnsi="仿宋" w:eastAsia="仿宋_GB2312" w:cs="宋体"/>
                <w:kern w:val="2"/>
                <w:sz w:val="28"/>
                <w:szCs w:val="28"/>
                <w:lang w:eastAsia="zh-CN"/>
              </w:rPr>
              <w:t>并</w:t>
            </w:r>
            <w:r>
              <w:rPr>
                <w:rFonts w:hint="eastAsia" w:ascii="仿宋_GB2312" w:hAnsi="仿宋" w:eastAsia="仿宋_GB2312" w:cs="宋体"/>
                <w:sz w:val="28"/>
                <w:szCs w:val="28"/>
              </w:rPr>
              <w:t>持有物业管理师证</w:t>
            </w:r>
            <w:r>
              <w:rPr>
                <w:rFonts w:hint="eastAsia" w:ascii="仿宋_GB2312" w:hAnsi="仿宋" w:eastAsia="仿宋_GB2312" w:cs="宋体"/>
                <w:sz w:val="28"/>
                <w:szCs w:val="28"/>
                <w:lang w:eastAsia="zh-CN"/>
              </w:rPr>
              <w:t>，</w:t>
            </w:r>
            <w:r>
              <w:rPr>
                <w:rFonts w:hint="eastAsia" w:ascii="仿宋_GB2312" w:hAnsi="仿宋" w:eastAsia="仿宋_GB2312" w:cs="宋体"/>
                <w:kern w:val="2"/>
                <w:sz w:val="28"/>
                <w:szCs w:val="28"/>
              </w:rPr>
              <w:t>3年以上物业项目经理工作经验。</w:t>
            </w:r>
          </w:p>
        </w:tc>
      </w:tr>
      <w:tr w14:paraId="404B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2" w:type="pct"/>
            <w:shd w:val="clear" w:color="auto" w:fill="FFFFFF"/>
            <w:tcMar>
              <w:top w:w="0" w:type="dxa"/>
              <w:left w:w="105" w:type="dxa"/>
              <w:bottom w:w="0" w:type="dxa"/>
              <w:right w:w="105" w:type="dxa"/>
            </w:tcMar>
            <w:vAlign w:val="center"/>
          </w:tcPr>
          <w:p w14:paraId="6A02E74D">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2</w:t>
            </w:r>
          </w:p>
        </w:tc>
        <w:tc>
          <w:tcPr>
            <w:tcW w:w="684" w:type="pct"/>
            <w:shd w:val="clear" w:color="auto" w:fill="FFFFFF"/>
            <w:tcMar>
              <w:top w:w="0" w:type="dxa"/>
              <w:left w:w="105" w:type="dxa"/>
              <w:bottom w:w="0" w:type="dxa"/>
              <w:right w:w="105" w:type="dxa"/>
            </w:tcMar>
            <w:vAlign w:val="center"/>
          </w:tcPr>
          <w:p w14:paraId="7412EAF6">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保安员</w:t>
            </w:r>
          </w:p>
        </w:tc>
        <w:tc>
          <w:tcPr>
            <w:tcW w:w="494" w:type="pct"/>
            <w:shd w:val="clear" w:color="auto" w:fill="FFFFFF"/>
            <w:tcMar>
              <w:top w:w="0" w:type="dxa"/>
              <w:left w:w="105" w:type="dxa"/>
              <w:bottom w:w="0" w:type="dxa"/>
              <w:right w:w="105" w:type="dxa"/>
            </w:tcMar>
            <w:vAlign w:val="center"/>
          </w:tcPr>
          <w:p w14:paraId="0E602D89">
            <w:pPr>
              <w:pStyle w:val="12"/>
              <w:spacing w:beforeAutospacing="0" w:afterAutospacing="0" w:line="360" w:lineRule="auto"/>
              <w:jc w:val="center"/>
              <w:rPr>
                <w:rFonts w:ascii="仿宋_GB2312" w:hAnsi="仿宋" w:eastAsia="仿宋_GB2312" w:cs="宋体"/>
                <w:kern w:val="2"/>
                <w:sz w:val="28"/>
                <w:szCs w:val="28"/>
              </w:rPr>
            </w:pPr>
            <w:r>
              <w:rPr>
                <w:rFonts w:ascii="仿宋_GB2312" w:hAnsi="仿宋" w:eastAsia="仿宋_GB2312" w:cs="宋体"/>
                <w:kern w:val="2"/>
                <w:sz w:val="28"/>
                <w:szCs w:val="28"/>
              </w:rPr>
              <w:t>3</w:t>
            </w:r>
          </w:p>
        </w:tc>
        <w:tc>
          <w:tcPr>
            <w:tcW w:w="1880" w:type="pct"/>
            <w:shd w:val="clear" w:color="auto" w:fill="FFFFFF"/>
            <w:tcMar>
              <w:top w:w="0" w:type="dxa"/>
              <w:left w:w="105" w:type="dxa"/>
              <w:bottom w:w="0" w:type="dxa"/>
              <w:right w:w="105" w:type="dxa"/>
            </w:tcMar>
            <w:vAlign w:val="center"/>
          </w:tcPr>
          <w:p w14:paraId="1F404710">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24小时值班，负责人员进出登记、车辆进出管理，邮件代收及临时交办事项。</w:t>
            </w:r>
          </w:p>
        </w:tc>
        <w:tc>
          <w:tcPr>
            <w:tcW w:w="1352" w:type="pct"/>
            <w:shd w:val="clear" w:color="auto" w:fill="FFFFFF"/>
            <w:tcMar>
              <w:top w:w="0" w:type="dxa"/>
              <w:left w:w="105" w:type="dxa"/>
              <w:bottom w:w="0" w:type="dxa"/>
              <w:right w:w="105" w:type="dxa"/>
            </w:tcMar>
            <w:vAlign w:val="center"/>
          </w:tcPr>
          <w:p w14:paraId="6BB00F26">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highlight w:val="none"/>
                <w:lang w:eastAsia="zh-CN"/>
              </w:rPr>
              <w:t>身体健康，</w:t>
            </w:r>
            <w:r>
              <w:rPr>
                <w:rFonts w:hint="eastAsia" w:ascii="仿宋_GB2312" w:hAnsi="仿宋" w:eastAsia="仿宋_GB2312" w:cs="宋体"/>
                <w:kern w:val="2"/>
                <w:sz w:val="28"/>
                <w:szCs w:val="28"/>
              </w:rPr>
              <w:t>初中以上学历，1年以上工作经验，持有保安员证。</w:t>
            </w:r>
          </w:p>
          <w:p w14:paraId="4F55EF62">
            <w:pPr>
              <w:pStyle w:val="12"/>
              <w:spacing w:beforeAutospacing="0" w:afterAutospacing="0" w:line="360" w:lineRule="auto"/>
              <w:jc w:val="both"/>
              <w:rPr>
                <w:rFonts w:hint="eastAsia" w:ascii="仿宋_GB2312" w:hAnsi="仿宋" w:eastAsia="仿宋_GB2312" w:cs="宋体"/>
                <w:kern w:val="2"/>
                <w:sz w:val="28"/>
                <w:szCs w:val="28"/>
              </w:rPr>
            </w:pPr>
          </w:p>
        </w:tc>
      </w:tr>
      <w:tr w14:paraId="798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2" w:type="pct"/>
            <w:shd w:val="clear" w:color="auto" w:fill="FFFFFF"/>
            <w:tcMar>
              <w:top w:w="0" w:type="dxa"/>
              <w:left w:w="105" w:type="dxa"/>
              <w:bottom w:w="0" w:type="dxa"/>
              <w:right w:w="105" w:type="dxa"/>
            </w:tcMar>
            <w:vAlign w:val="center"/>
          </w:tcPr>
          <w:p w14:paraId="78BCAD48">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3</w:t>
            </w:r>
          </w:p>
        </w:tc>
        <w:tc>
          <w:tcPr>
            <w:tcW w:w="684" w:type="pct"/>
            <w:shd w:val="clear" w:color="auto" w:fill="FFFFFF"/>
            <w:tcMar>
              <w:top w:w="0" w:type="dxa"/>
              <w:left w:w="105" w:type="dxa"/>
              <w:bottom w:w="0" w:type="dxa"/>
              <w:right w:w="105" w:type="dxa"/>
            </w:tcMar>
            <w:vAlign w:val="center"/>
          </w:tcPr>
          <w:p w14:paraId="6AB31855">
            <w:pPr>
              <w:pStyle w:val="12"/>
              <w:spacing w:beforeAutospacing="0" w:afterAutospacing="0" w:line="360" w:lineRule="auto"/>
              <w:jc w:val="both"/>
              <w:rPr>
                <w:rFonts w:ascii="仿宋_GB2312" w:hAnsi="仿宋" w:eastAsia="仿宋_GB2312" w:cs="宋体"/>
                <w:kern w:val="2"/>
                <w:sz w:val="28"/>
                <w:szCs w:val="28"/>
              </w:rPr>
            </w:pPr>
          </w:p>
          <w:p w14:paraId="5BD06AEF">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保洁员</w:t>
            </w:r>
          </w:p>
          <w:p w14:paraId="329D79C6">
            <w:pPr>
              <w:pStyle w:val="12"/>
              <w:spacing w:beforeAutospacing="0" w:afterAutospacing="0" w:line="360" w:lineRule="auto"/>
              <w:jc w:val="both"/>
              <w:rPr>
                <w:rFonts w:hint="eastAsia" w:ascii="仿宋_GB2312" w:hAnsi="仿宋" w:eastAsia="仿宋_GB2312" w:cs="宋体"/>
                <w:kern w:val="2"/>
                <w:sz w:val="28"/>
                <w:szCs w:val="28"/>
              </w:rPr>
            </w:pPr>
            <w:r>
              <w:rPr>
                <w:rFonts w:hint="eastAsia" w:ascii="仿宋_GB2312" w:hAnsi="仿宋" w:eastAsia="仿宋_GB2312" w:cs="宋体"/>
                <w:kern w:val="2"/>
                <w:sz w:val="28"/>
                <w:szCs w:val="28"/>
              </w:rPr>
              <w:t>(含</w:t>
            </w:r>
            <w:r>
              <w:rPr>
                <w:rFonts w:ascii="仿宋_GB2312" w:hAnsi="仿宋" w:eastAsia="仿宋_GB2312" w:cs="宋体"/>
                <w:kern w:val="2"/>
                <w:sz w:val="28"/>
                <w:szCs w:val="28"/>
              </w:rPr>
              <w:t>绿化服务</w:t>
            </w:r>
            <w:r>
              <w:rPr>
                <w:rFonts w:hint="eastAsia" w:ascii="仿宋_GB2312" w:hAnsi="仿宋" w:eastAsia="仿宋_GB2312" w:cs="宋体"/>
                <w:kern w:val="2"/>
                <w:sz w:val="28"/>
                <w:szCs w:val="28"/>
              </w:rPr>
              <w:t>)</w:t>
            </w:r>
          </w:p>
        </w:tc>
        <w:tc>
          <w:tcPr>
            <w:tcW w:w="494" w:type="pct"/>
            <w:shd w:val="clear" w:color="auto" w:fill="FFFFFF"/>
            <w:tcMar>
              <w:top w:w="0" w:type="dxa"/>
              <w:left w:w="105" w:type="dxa"/>
              <w:bottom w:w="0" w:type="dxa"/>
              <w:right w:w="105" w:type="dxa"/>
            </w:tcMar>
            <w:vAlign w:val="center"/>
          </w:tcPr>
          <w:p w14:paraId="5E7424F2">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1</w:t>
            </w:r>
          </w:p>
        </w:tc>
        <w:tc>
          <w:tcPr>
            <w:tcW w:w="1880" w:type="pct"/>
            <w:shd w:val="clear" w:color="auto" w:fill="FFFFFF"/>
            <w:tcMar>
              <w:top w:w="0" w:type="dxa"/>
              <w:left w:w="105" w:type="dxa"/>
              <w:bottom w:w="0" w:type="dxa"/>
              <w:right w:w="105" w:type="dxa"/>
            </w:tcMar>
            <w:vAlign w:val="center"/>
          </w:tcPr>
          <w:p w14:paraId="4A8F9DAC">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公共区域、会议室、站领导办公室保洁、会务保障工作；垃圾分类；消杀。日常养护、修剪、除草、施肥杀虫、补植、移栽等。</w:t>
            </w:r>
          </w:p>
        </w:tc>
        <w:tc>
          <w:tcPr>
            <w:tcW w:w="1352" w:type="pct"/>
            <w:shd w:val="clear" w:color="auto" w:fill="FFFFFF"/>
            <w:tcMar>
              <w:top w:w="0" w:type="dxa"/>
              <w:left w:w="105" w:type="dxa"/>
              <w:bottom w:w="0" w:type="dxa"/>
              <w:right w:w="105" w:type="dxa"/>
            </w:tcMar>
            <w:vAlign w:val="center"/>
          </w:tcPr>
          <w:p w14:paraId="2D1B31E2">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55周岁以下，身体健康，1年以上工作经验。</w:t>
            </w:r>
          </w:p>
        </w:tc>
      </w:tr>
      <w:tr w14:paraId="148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2" w:type="pct"/>
            <w:shd w:val="clear" w:color="auto" w:fill="FFFFFF"/>
            <w:tcMar>
              <w:top w:w="0" w:type="dxa"/>
              <w:left w:w="105" w:type="dxa"/>
              <w:bottom w:w="0" w:type="dxa"/>
              <w:right w:w="105" w:type="dxa"/>
            </w:tcMar>
            <w:vAlign w:val="center"/>
          </w:tcPr>
          <w:p w14:paraId="50EED270">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4</w:t>
            </w:r>
          </w:p>
        </w:tc>
        <w:tc>
          <w:tcPr>
            <w:tcW w:w="684" w:type="pct"/>
            <w:shd w:val="clear" w:color="auto" w:fill="FFFFFF"/>
            <w:tcMar>
              <w:top w:w="0" w:type="dxa"/>
              <w:left w:w="105" w:type="dxa"/>
              <w:bottom w:w="0" w:type="dxa"/>
              <w:right w:w="105" w:type="dxa"/>
            </w:tcMar>
            <w:vAlign w:val="center"/>
          </w:tcPr>
          <w:p w14:paraId="738E498B">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水电工</w:t>
            </w:r>
          </w:p>
        </w:tc>
        <w:tc>
          <w:tcPr>
            <w:tcW w:w="494" w:type="pct"/>
            <w:shd w:val="clear" w:color="auto" w:fill="FFFFFF"/>
            <w:tcMar>
              <w:top w:w="0" w:type="dxa"/>
              <w:left w:w="105" w:type="dxa"/>
              <w:bottom w:w="0" w:type="dxa"/>
              <w:right w:w="105" w:type="dxa"/>
            </w:tcMar>
            <w:vAlign w:val="center"/>
          </w:tcPr>
          <w:p w14:paraId="13B8213D">
            <w:pPr>
              <w:pStyle w:val="12"/>
              <w:spacing w:beforeAutospacing="0" w:afterAutospacing="0" w:line="360" w:lineRule="auto"/>
              <w:jc w:val="center"/>
              <w:rPr>
                <w:rFonts w:ascii="仿宋_GB2312" w:hAnsi="仿宋" w:eastAsia="仿宋_GB2312" w:cs="宋体"/>
                <w:kern w:val="2"/>
                <w:sz w:val="28"/>
                <w:szCs w:val="28"/>
              </w:rPr>
            </w:pPr>
            <w:r>
              <w:rPr>
                <w:rFonts w:hint="eastAsia" w:ascii="仿宋_GB2312" w:hAnsi="仿宋" w:eastAsia="仿宋_GB2312" w:cs="宋体"/>
                <w:kern w:val="2"/>
                <w:sz w:val="28"/>
                <w:szCs w:val="28"/>
              </w:rPr>
              <w:t>1</w:t>
            </w:r>
          </w:p>
        </w:tc>
        <w:tc>
          <w:tcPr>
            <w:tcW w:w="1880" w:type="pct"/>
            <w:shd w:val="clear" w:color="auto" w:fill="FFFFFF"/>
            <w:tcMar>
              <w:top w:w="0" w:type="dxa"/>
              <w:left w:w="105" w:type="dxa"/>
              <w:bottom w:w="0" w:type="dxa"/>
              <w:right w:w="105" w:type="dxa"/>
            </w:tcMar>
            <w:vAlign w:val="center"/>
          </w:tcPr>
          <w:p w14:paraId="2C67C62D">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消防设施设备维护，做好登记；水电零星维修。</w:t>
            </w:r>
          </w:p>
        </w:tc>
        <w:tc>
          <w:tcPr>
            <w:tcW w:w="1352" w:type="pct"/>
            <w:shd w:val="clear" w:color="auto" w:fill="FFFFFF"/>
            <w:tcMar>
              <w:top w:w="0" w:type="dxa"/>
              <w:left w:w="105" w:type="dxa"/>
              <w:bottom w:w="0" w:type="dxa"/>
              <w:right w:w="105" w:type="dxa"/>
            </w:tcMar>
            <w:vAlign w:val="center"/>
          </w:tcPr>
          <w:p w14:paraId="5BD2873A">
            <w:pPr>
              <w:pStyle w:val="12"/>
              <w:spacing w:beforeAutospacing="0" w:afterAutospacing="0" w:line="360" w:lineRule="auto"/>
              <w:jc w:val="both"/>
              <w:rPr>
                <w:rFonts w:ascii="仿宋_GB2312" w:hAnsi="仿宋" w:eastAsia="仿宋_GB2312" w:cs="宋体"/>
                <w:kern w:val="2"/>
                <w:sz w:val="28"/>
                <w:szCs w:val="28"/>
              </w:rPr>
            </w:pPr>
            <w:r>
              <w:rPr>
                <w:rFonts w:hint="eastAsia" w:ascii="仿宋_GB2312" w:hAnsi="仿宋" w:eastAsia="仿宋_GB2312" w:cs="宋体"/>
                <w:kern w:val="2"/>
                <w:sz w:val="28"/>
                <w:szCs w:val="28"/>
              </w:rPr>
              <w:t>55周岁以下，身体健康，3年以上工作经验。持有电工证。</w:t>
            </w:r>
          </w:p>
        </w:tc>
      </w:tr>
    </w:tbl>
    <w:p w14:paraId="2B45C59E">
      <w:pPr>
        <w:widowControl/>
        <w:shd w:val="clear" w:color="auto" w:fill="FFFFFF"/>
        <w:spacing w:line="600" w:lineRule="exact"/>
        <w:ind w:firstLine="562" w:firstLineChars="200"/>
        <w:outlineLvl w:val="0"/>
        <w:rPr>
          <w:rFonts w:ascii="仿宋" w:hAnsi="仿宋" w:eastAsia="仿宋" w:cs="仿宋"/>
          <w:b/>
          <w:kern w:val="44"/>
          <w:sz w:val="28"/>
        </w:rPr>
      </w:pPr>
      <w:bookmarkStart w:id="25" w:name="_Toc12179"/>
      <w:bookmarkStart w:id="26" w:name="_Toc121817478"/>
      <w:bookmarkStart w:id="27" w:name="_Toc7554"/>
      <w:r>
        <w:rPr>
          <w:rFonts w:hint="eastAsia" w:ascii="仿宋" w:hAnsi="仿宋" w:eastAsia="仿宋" w:cs="仿宋"/>
          <w:b/>
          <w:kern w:val="44"/>
          <w:sz w:val="28"/>
        </w:rPr>
        <w:t>四、投标人资格要求</w:t>
      </w:r>
    </w:p>
    <w:p w14:paraId="5345B883">
      <w:pPr>
        <w:spacing w:line="600" w:lineRule="exact"/>
        <w:ind w:firstLine="560" w:firstLineChars="200"/>
        <w:rPr>
          <w:rFonts w:ascii="仿宋" w:hAnsi="仿宋" w:eastAsia="仿宋" w:cs="仿宋"/>
          <w:bCs/>
          <w:kern w:val="44"/>
          <w:sz w:val="28"/>
        </w:rPr>
      </w:pPr>
      <w:r>
        <w:rPr>
          <w:rFonts w:hint="eastAsia" w:ascii="仿宋" w:hAnsi="仿宋" w:eastAsia="仿宋" w:cs="仿宋"/>
          <w:bCs/>
          <w:kern w:val="44"/>
          <w:sz w:val="28"/>
          <w:lang w:val="en-US" w:eastAsia="zh-CN"/>
        </w:rPr>
        <w:t>1、</w:t>
      </w:r>
      <w:r>
        <w:rPr>
          <w:rFonts w:hint="eastAsia" w:ascii="仿宋" w:hAnsi="仿宋" w:eastAsia="仿宋" w:cs="仿宋"/>
          <w:bCs/>
          <w:kern w:val="44"/>
          <w:sz w:val="28"/>
        </w:rPr>
        <w:t>营业执照等证明文件</w:t>
      </w:r>
    </w:p>
    <w:p w14:paraId="75C94EA8">
      <w:pPr>
        <w:pStyle w:val="2"/>
        <w:ind w:left="0" w:leftChars="0" w:firstLine="560"/>
        <w:rPr>
          <w:rFonts w:ascii="仿宋_GB2312" w:hAnsi="仿宋" w:cs="宋体"/>
          <w:sz w:val="28"/>
          <w:szCs w:val="28"/>
        </w:rPr>
      </w:pPr>
      <w:r>
        <w:rPr>
          <w:rFonts w:hint="eastAsia" w:ascii="仿宋_GB2312" w:hAnsi="仿宋" w:cs="宋体"/>
          <w:sz w:val="28"/>
          <w:szCs w:val="28"/>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w:t>
      </w:r>
    </w:p>
    <w:p w14:paraId="7FA53C1A">
      <w:pPr>
        <w:ind w:firstLine="560" w:firstLineChars="200"/>
        <w:rPr>
          <w:rFonts w:ascii="仿宋" w:hAnsi="仿宋" w:eastAsia="仿宋" w:cs="仿宋"/>
          <w:b/>
          <w:kern w:val="44"/>
          <w:sz w:val="28"/>
        </w:rPr>
      </w:pPr>
      <w:r>
        <w:rPr>
          <w:rFonts w:hint="eastAsia" w:ascii="仿宋" w:hAnsi="仿宋" w:eastAsia="仿宋" w:cs="仿宋"/>
          <w:bCs/>
          <w:kern w:val="44"/>
          <w:sz w:val="28"/>
          <w:lang w:val="en-US" w:eastAsia="zh-CN"/>
        </w:rPr>
        <w:t>2、</w:t>
      </w:r>
      <w:r>
        <w:rPr>
          <w:rFonts w:hint="eastAsia" w:ascii="仿宋" w:hAnsi="仿宋" w:eastAsia="仿宋" w:cs="仿宋"/>
          <w:bCs/>
          <w:kern w:val="44"/>
          <w:sz w:val="28"/>
        </w:rPr>
        <w:t>单位授权书</w:t>
      </w:r>
    </w:p>
    <w:p w14:paraId="4C606379">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若投标人代表为单位授权的委托代理人，应提供本单位授权书及其身份证正反面复印件；若投标人代表为单位负责人，应提交其身份证正反面复印件，可不提供本单位授权书。</w:t>
      </w:r>
    </w:p>
    <w:p w14:paraId="34CC1432">
      <w:pPr>
        <w:spacing w:line="600" w:lineRule="exact"/>
        <w:ind w:firstLine="560" w:firstLineChars="200"/>
        <w:rPr>
          <w:rFonts w:ascii="仿宋" w:hAnsi="仿宋" w:eastAsia="仿宋" w:cs="仿宋"/>
          <w:bCs/>
          <w:kern w:val="44"/>
          <w:sz w:val="28"/>
        </w:rPr>
      </w:pPr>
      <w:r>
        <w:rPr>
          <w:rFonts w:hint="eastAsia" w:ascii="仿宋" w:hAnsi="仿宋" w:eastAsia="仿宋" w:cs="仿宋"/>
          <w:bCs/>
          <w:kern w:val="44"/>
          <w:sz w:val="28"/>
          <w:lang w:val="en-US" w:eastAsia="zh-CN"/>
        </w:rPr>
        <w:t>3、</w:t>
      </w:r>
      <w:r>
        <w:rPr>
          <w:rFonts w:hint="eastAsia" w:ascii="仿宋" w:hAnsi="仿宋" w:eastAsia="仿宋" w:cs="仿宋"/>
          <w:bCs/>
          <w:kern w:val="44"/>
          <w:sz w:val="28"/>
        </w:rPr>
        <w:t>提供财务状况报告（财务报告或资信证明）</w:t>
      </w:r>
    </w:p>
    <w:p w14:paraId="13C02287">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投标人提供的财务报告复印件或资信证明复印件。</w:t>
      </w:r>
    </w:p>
    <w:p w14:paraId="7434D72B">
      <w:pPr>
        <w:spacing w:line="600" w:lineRule="exact"/>
        <w:ind w:firstLine="560" w:firstLineChars="200"/>
        <w:rPr>
          <w:rFonts w:ascii="仿宋" w:hAnsi="仿宋" w:eastAsia="仿宋" w:cs="仿宋"/>
          <w:bCs/>
          <w:kern w:val="44"/>
          <w:sz w:val="28"/>
        </w:rPr>
      </w:pPr>
      <w:r>
        <w:rPr>
          <w:rFonts w:hint="eastAsia" w:ascii="仿宋" w:hAnsi="仿宋" w:eastAsia="仿宋" w:cs="仿宋"/>
          <w:bCs/>
          <w:kern w:val="44"/>
          <w:sz w:val="28"/>
          <w:lang w:val="en-US" w:eastAsia="zh-CN"/>
        </w:rPr>
        <w:t>4、</w:t>
      </w:r>
      <w:r>
        <w:rPr>
          <w:rFonts w:hint="eastAsia" w:ascii="仿宋" w:hAnsi="仿宋" w:eastAsia="仿宋" w:cs="仿宋"/>
          <w:bCs/>
          <w:kern w:val="44"/>
          <w:sz w:val="28"/>
        </w:rPr>
        <w:t>参加采购活动前三年内在经营活动中没有重大违法记录的声明</w:t>
      </w:r>
    </w:p>
    <w:p w14:paraId="5C3DE476">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投标人承诺参加本项目采购活动(投标截止时间)前三年内未被列入失信被执行人名单、重大税收违法案件当事人名单、政府采购严重违法失信行为记录名单且无其他重大违法记录。若有以上情况，按照无效标处理。</w:t>
      </w:r>
    </w:p>
    <w:p w14:paraId="367A9A48">
      <w:pPr>
        <w:spacing w:line="600" w:lineRule="exact"/>
        <w:ind w:firstLine="560" w:firstLineChars="200"/>
        <w:rPr>
          <w:rFonts w:ascii="仿宋" w:hAnsi="仿宋" w:eastAsia="仿宋" w:cs="仿宋"/>
          <w:bCs/>
          <w:kern w:val="44"/>
          <w:sz w:val="28"/>
        </w:rPr>
      </w:pPr>
      <w:r>
        <w:rPr>
          <w:rFonts w:hint="eastAsia" w:ascii="仿宋" w:hAnsi="仿宋" w:eastAsia="仿宋" w:cs="仿宋"/>
          <w:bCs/>
          <w:kern w:val="44"/>
          <w:sz w:val="28"/>
          <w:lang w:val="en-US" w:eastAsia="zh-CN"/>
        </w:rPr>
        <w:t>5、</w:t>
      </w:r>
      <w:r>
        <w:rPr>
          <w:rFonts w:hint="eastAsia" w:ascii="仿宋" w:hAnsi="仿宋" w:eastAsia="仿宋" w:cs="仿宋"/>
          <w:bCs/>
          <w:kern w:val="44"/>
          <w:sz w:val="28"/>
        </w:rPr>
        <w:t>报价文件</w:t>
      </w:r>
    </w:p>
    <w:p w14:paraId="3622683D">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实际报价不得超过项目预算最高限价26万元，否则为无效投标。投标价格应包含项目实施过程中所需的一切相关费用。</w:t>
      </w:r>
    </w:p>
    <w:p w14:paraId="4D568C70">
      <w:pPr>
        <w:pStyle w:val="4"/>
        <w:numPr>
          <w:ilvl w:val="0"/>
          <w:numId w:val="2"/>
        </w:numPr>
        <w:spacing w:beforeAutospacing="0" w:afterAutospacing="0" w:line="360" w:lineRule="auto"/>
        <w:rPr>
          <w:rFonts w:hint="default" w:ascii="仿宋" w:hAnsi="仿宋" w:eastAsia="仿宋" w:cs="仿宋"/>
          <w:bCs/>
          <w:sz w:val="28"/>
          <w:szCs w:val="24"/>
        </w:rPr>
      </w:pPr>
      <w:r>
        <w:rPr>
          <w:rFonts w:ascii="仿宋" w:hAnsi="仿宋" w:eastAsia="仿宋" w:cs="仿宋"/>
          <w:bCs/>
          <w:sz w:val="28"/>
          <w:szCs w:val="24"/>
        </w:rPr>
        <w:t>评</w:t>
      </w:r>
      <w:bookmarkEnd w:id="25"/>
      <w:bookmarkEnd w:id="26"/>
      <w:bookmarkEnd w:id="27"/>
      <w:r>
        <w:rPr>
          <w:rFonts w:ascii="仿宋" w:hAnsi="仿宋" w:eastAsia="仿宋" w:cs="仿宋"/>
          <w:bCs/>
          <w:sz w:val="28"/>
          <w:szCs w:val="24"/>
        </w:rPr>
        <w:t>标</w:t>
      </w:r>
    </w:p>
    <w:p w14:paraId="2DBF7E13">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lang w:val="en-US" w:eastAsia="zh-CN"/>
        </w:rPr>
        <w:t>1、</w:t>
      </w:r>
      <w:r>
        <w:rPr>
          <w:rFonts w:hint="eastAsia" w:ascii="仿宋_GB2312" w:hAnsi="仿宋" w:eastAsia="仿宋_GB2312" w:cs="宋体"/>
          <w:sz w:val="28"/>
          <w:szCs w:val="28"/>
        </w:rPr>
        <w:t>评标方法</w:t>
      </w:r>
    </w:p>
    <w:p w14:paraId="32EAF9F3">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本项目采用综合评分法，资格审查合格的投标人不足三家的，不进行评标，按照流标处理。满足三家及以上由站采购技术委员会专家组成评审小组进行评标。投标文件满足采购文件全部实质性要求，且按照评审因素的量化指标评审得分（即评标总得分）最高的投标人为中标候选人。</w:t>
      </w:r>
    </w:p>
    <w:p w14:paraId="2F7595DE">
      <w:pPr>
        <w:spacing w:line="600" w:lineRule="exact"/>
        <w:ind w:firstLine="560" w:firstLineChars="200"/>
      </w:pPr>
      <w:r>
        <w:rPr>
          <w:rFonts w:hint="eastAsia" w:ascii="仿宋_GB2312" w:hAnsi="仿宋" w:eastAsia="仿宋_GB2312" w:cs="宋体"/>
          <w:sz w:val="28"/>
          <w:szCs w:val="28"/>
          <w:lang w:val="en-US" w:eastAsia="zh-CN"/>
        </w:rPr>
        <w:t>2、</w:t>
      </w:r>
      <w:r>
        <w:rPr>
          <w:rFonts w:hint="eastAsia" w:ascii="仿宋_GB2312" w:hAnsi="仿宋" w:eastAsia="仿宋_GB2312" w:cs="宋体"/>
          <w:sz w:val="28"/>
          <w:szCs w:val="28"/>
        </w:rPr>
        <w:t>评分标准</w:t>
      </w:r>
    </w:p>
    <w:p w14:paraId="2489BB13">
      <w:pPr>
        <w:spacing w:line="360" w:lineRule="auto"/>
        <w:ind w:firstLine="560" w:firstLineChars="200"/>
        <w:jc w:val="left"/>
        <w:outlineLvl w:val="1"/>
        <w:rPr>
          <w:rFonts w:ascii="仿宋" w:hAnsi="仿宋" w:eastAsia="仿宋" w:cs="仿宋"/>
          <w:sz w:val="28"/>
          <w:szCs w:val="28"/>
        </w:rPr>
      </w:pPr>
      <w:bookmarkStart w:id="28" w:name="_Toc30526"/>
      <w:bookmarkStart w:id="29" w:name="_Toc12271"/>
      <w:bookmarkStart w:id="30" w:name="_Toc121817479"/>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价格项（满分为</w:t>
      </w:r>
      <w:r>
        <w:rPr>
          <w:rFonts w:ascii="仿宋" w:hAnsi="仿宋" w:eastAsia="仿宋" w:cs="仿宋"/>
          <w:sz w:val="28"/>
          <w:szCs w:val="28"/>
        </w:rPr>
        <w:t>10</w:t>
      </w:r>
      <w:r>
        <w:rPr>
          <w:rFonts w:hint="eastAsia" w:ascii="仿宋" w:hAnsi="仿宋" w:eastAsia="仿宋" w:cs="仿宋"/>
          <w:sz w:val="28"/>
          <w:szCs w:val="28"/>
        </w:rPr>
        <w:t>分）</w:t>
      </w:r>
      <w:bookmarkEnd w:id="28"/>
      <w:bookmarkEnd w:id="29"/>
      <w:bookmarkEnd w:id="30"/>
    </w:p>
    <w:p w14:paraId="284E3F5A">
      <w:pPr>
        <w:ind w:firstLine="560" w:firstLineChars="200"/>
        <w:rPr>
          <w:rFonts w:ascii="仿宋_GB2312" w:hAnsi="仿宋" w:eastAsia="仿宋_GB2312" w:cs="宋体"/>
          <w:sz w:val="28"/>
          <w:szCs w:val="28"/>
        </w:rPr>
      </w:pPr>
      <w:r>
        <w:rPr>
          <w:rFonts w:hint="eastAsia" w:ascii="仿宋_GB2312" w:hAnsi="仿宋" w:eastAsia="仿宋_GB2312" w:cs="宋体"/>
          <w:sz w:val="28"/>
          <w:szCs w:val="28"/>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2FE45B0B">
      <w:pPr>
        <w:spacing w:line="360" w:lineRule="auto"/>
        <w:ind w:firstLine="560" w:firstLineChars="200"/>
        <w:jc w:val="left"/>
        <w:outlineLvl w:val="1"/>
        <w:rPr>
          <w:rFonts w:ascii="仿宋" w:hAnsi="仿宋" w:eastAsia="仿宋" w:cs="仿宋"/>
          <w:b/>
          <w:bCs/>
          <w:sz w:val="28"/>
          <w:szCs w:val="28"/>
        </w:rPr>
      </w:pPr>
      <w:bookmarkStart w:id="31" w:name="_Toc24491"/>
      <w:bookmarkStart w:id="32" w:name="_Toc3798"/>
      <w:bookmarkStart w:id="33" w:name="_Toc121817480"/>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技术项（满分</w:t>
      </w:r>
      <w:r>
        <w:rPr>
          <w:rFonts w:hint="eastAsia" w:ascii="仿宋" w:hAnsi="仿宋" w:eastAsia="仿宋" w:cs="仿宋"/>
          <w:sz w:val="28"/>
          <w:szCs w:val="28"/>
          <w:lang w:val="en-US" w:eastAsia="zh-CN"/>
        </w:rPr>
        <w:t>81</w:t>
      </w:r>
      <w:r>
        <w:rPr>
          <w:rFonts w:hint="eastAsia" w:ascii="仿宋" w:hAnsi="仿宋" w:eastAsia="仿宋" w:cs="仿宋"/>
          <w:sz w:val="28"/>
          <w:szCs w:val="28"/>
        </w:rPr>
        <w:t>分）</w:t>
      </w:r>
      <w:bookmarkEnd w:id="31"/>
      <w:bookmarkEnd w:id="32"/>
      <w:bookmarkEnd w:id="33"/>
    </w:p>
    <w:tbl>
      <w:tblPr>
        <w:tblStyle w:val="13"/>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198"/>
        <w:gridCol w:w="5932"/>
        <w:gridCol w:w="722"/>
      </w:tblGrid>
      <w:tr w14:paraId="1CFA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7" w:type="pct"/>
            <w:vAlign w:val="center"/>
          </w:tcPr>
          <w:p w14:paraId="365ED887">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序号</w:t>
            </w:r>
          </w:p>
        </w:tc>
        <w:tc>
          <w:tcPr>
            <w:tcW w:w="711" w:type="pct"/>
            <w:vAlign w:val="center"/>
          </w:tcPr>
          <w:p w14:paraId="6FF6A4B5">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评标项目</w:t>
            </w:r>
          </w:p>
        </w:tc>
        <w:tc>
          <w:tcPr>
            <w:tcW w:w="3522" w:type="pct"/>
            <w:vAlign w:val="center"/>
          </w:tcPr>
          <w:p w14:paraId="57E95AAD">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评分标准</w:t>
            </w:r>
          </w:p>
        </w:tc>
        <w:tc>
          <w:tcPr>
            <w:tcW w:w="428" w:type="pct"/>
            <w:vAlign w:val="center"/>
          </w:tcPr>
          <w:p w14:paraId="4573904E">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分值</w:t>
            </w:r>
          </w:p>
        </w:tc>
      </w:tr>
      <w:tr w14:paraId="0BB2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3F57B848">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1</w:t>
            </w:r>
          </w:p>
        </w:tc>
        <w:tc>
          <w:tcPr>
            <w:tcW w:w="711" w:type="pct"/>
            <w:vAlign w:val="center"/>
          </w:tcPr>
          <w:p w14:paraId="211452ED">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响应情况</w:t>
            </w:r>
          </w:p>
        </w:tc>
        <w:tc>
          <w:tcPr>
            <w:tcW w:w="3522" w:type="pct"/>
            <w:vAlign w:val="center"/>
          </w:tcPr>
          <w:p w14:paraId="417D9F80">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根据各投标人所投服务对第三项中的服务内容与各项要求的响应承诺情况，由评委进行评议并评分，完全满足招标文件服务要求的（评标指标项共计6大项，2</w:t>
            </w:r>
            <w:r>
              <w:rPr>
                <w:rFonts w:hint="eastAsia" w:ascii="仿宋_GB2312" w:hAnsi="仿宋" w:eastAsia="仿宋_GB2312" w:cs="宋体"/>
                <w:sz w:val="28"/>
                <w:szCs w:val="28"/>
                <w:lang w:val="en-US" w:eastAsia="zh-CN"/>
              </w:rPr>
              <w:t>6</w:t>
            </w:r>
            <w:r>
              <w:rPr>
                <w:rFonts w:hint="eastAsia" w:ascii="仿宋_GB2312" w:hAnsi="仿宋" w:eastAsia="仿宋_GB2312" w:cs="宋体"/>
                <w:sz w:val="28"/>
                <w:szCs w:val="28"/>
              </w:rPr>
              <w:t>小项）得</w:t>
            </w:r>
            <w:r>
              <w:rPr>
                <w:rFonts w:hint="eastAsia" w:ascii="仿宋_GB2312" w:hAnsi="仿宋" w:eastAsia="仿宋_GB2312" w:cs="宋体"/>
                <w:sz w:val="28"/>
                <w:szCs w:val="28"/>
                <w:lang w:val="en-US" w:eastAsia="zh-CN"/>
              </w:rPr>
              <w:t>78</w:t>
            </w:r>
            <w:r>
              <w:rPr>
                <w:rFonts w:hint="eastAsia" w:ascii="仿宋_GB2312" w:hAnsi="仿宋" w:eastAsia="仿宋_GB2312" w:cs="宋体"/>
                <w:sz w:val="28"/>
                <w:szCs w:val="28"/>
              </w:rPr>
              <w:t>分，每负偏离1项扣</w:t>
            </w:r>
            <w:r>
              <w:rPr>
                <w:rFonts w:hint="eastAsia" w:ascii="仿宋_GB2312" w:hAnsi="仿宋" w:eastAsia="仿宋_GB2312" w:cs="宋体"/>
                <w:sz w:val="28"/>
                <w:szCs w:val="28"/>
                <w:lang w:val="en-US" w:eastAsia="zh-CN"/>
              </w:rPr>
              <w:t>3</w:t>
            </w:r>
            <w:r>
              <w:rPr>
                <w:rFonts w:hint="eastAsia" w:ascii="仿宋_GB2312" w:hAnsi="仿宋" w:eastAsia="仿宋_GB2312" w:cs="宋体"/>
                <w:sz w:val="28"/>
                <w:szCs w:val="28"/>
              </w:rPr>
              <w:t>分，扣完为止。</w:t>
            </w:r>
          </w:p>
        </w:tc>
        <w:tc>
          <w:tcPr>
            <w:tcW w:w="428" w:type="pct"/>
            <w:vAlign w:val="center"/>
          </w:tcPr>
          <w:p w14:paraId="2DCD73D3">
            <w:pPr>
              <w:spacing w:line="360" w:lineRule="auto"/>
              <w:jc w:val="center"/>
              <w:rPr>
                <w:rFonts w:hint="default" w:ascii="仿宋_GB2312" w:hAnsi="仿宋" w:eastAsia="仿宋_GB2312" w:cs="宋体"/>
                <w:sz w:val="28"/>
                <w:szCs w:val="28"/>
                <w:lang w:val="en-US" w:eastAsia="zh-CN"/>
              </w:rPr>
            </w:pPr>
            <w:r>
              <w:rPr>
                <w:rFonts w:hint="eastAsia" w:ascii="仿宋_GB2312" w:hAnsi="仿宋" w:eastAsia="仿宋_GB2312" w:cs="宋体"/>
                <w:sz w:val="28"/>
                <w:szCs w:val="28"/>
                <w:lang w:val="en-US" w:eastAsia="zh-CN"/>
              </w:rPr>
              <w:t>78</w:t>
            </w:r>
          </w:p>
        </w:tc>
      </w:tr>
      <w:tr w14:paraId="1B13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58F7AE7D">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11" w:type="pct"/>
            <w:vAlign w:val="center"/>
          </w:tcPr>
          <w:p w14:paraId="6D88C6BB">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管理方案及整体目标承诺</w:t>
            </w:r>
          </w:p>
        </w:tc>
        <w:tc>
          <w:tcPr>
            <w:tcW w:w="3522" w:type="pct"/>
            <w:vAlign w:val="center"/>
          </w:tcPr>
          <w:p w14:paraId="05DC9319">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根据投标人对本项目物业的建筑架构、配套设施、周边环境等方面进行分析、综合其布局、功能上的特点，列出管理上的难点、特点，提出相应的管理措施、管理方案及整体目标承诺是否科学、完整、是否符合本项目特点等情况，方案完整合理可行、针对性强的得</w:t>
            </w:r>
            <w:r>
              <w:rPr>
                <w:rFonts w:hint="eastAsia" w:ascii="仿宋_GB2312" w:hAnsi="仿宋" w:eastAsia="仿宋_GB2312" w:cs="宋体"/>
                <w:sz w:val="28"/>
                <w:szCs w:val="28"/>
                <w:lang w:val="en-US" w:eastAsia="zh-CN"/>
              </w:rPr>
              <w:t>1.5</w:t>
            </w:r>
            <w:r>
              <w:rPr>
                <w:rFonts w:hint="eastAsia" w:ascii="仿宋_GB2312" w:hAnsi="仿宋" w:eastAsia="仿宋_GB2312" w:cs="宋体"/>
                <w:sz w:val="28"/>
                <w:szCs w:val="28"/>
              </w:rPr>
              <w:t>分；方案较完整合理可行，部分具有针对性的得</w:t>
            </w:r>
            <w:r>
              <w:rPr>
                <w:rFonts w:hint="eastAsia" w:ascii="仿宋_GB2312" w:hAnsi="仿宋" w:eastAsia="仿宋_GB2312" w:cs="宋体"/>
                <w:sz w:val="28"/>
                <w:szCs w:val="28"/>
                <w:lang w:val="en-US" w:eastAsia="zh-CN"/>
              </w:rPr>
              <w:t>0.5</w:t>
            </w:r>
            <w:r>
              <w:rPr>
                <w:rFonts w:hint="eastAsia" w:ascii="仿宋_GB2312" w:hAnsi="仿宋" w:eastAsia="仿宋_GB2312" w:cs="宋体"/>
                <w:sz w:val="28"/>
                <w:szCs w:val="28"/>
              </w:rPr>
              <w:t>分；未提供的不得分。</w:t>
            </w:r>
          </w:p>
        </w:tc>
        <w:tc>
          <w:tcPr>
            <w:tcW w:w="428" w:type="pct"/>
            <w:vAlign w:val="center"/>
          </w:tcPr>
          <w:p w14:paraId="3DE4058D">
            <w:pPr>
              <w:spacing w:line="360" w:lineRule="auto"/>
              <w:jc w:val="center"/>
              <w:rPr>
                <w:rFonts w:hint="default" w:ascii="仿宋_GB2312" w:hAnsi="仿宋" w:eastAsia="仿宋_GB2312" w:cs="宋体"/>
                <w:sz w:val="28"/>
                <w:szCs w:val="28"/>
                <w:lang w:val="en-US" w:eastAsia="zh-CN"/>
              </w:rPr>
            </w:pPr>
            <w:r>
              <w:rPr>
                <w:rFonts w:hint="eastAsia" w:ascii="仿宋_GB2312" w:hAnsi="仿宋" w:eastAsia="仿宋_GB2312" w:cs="宋体"/>
                <w:sz w:val="28"/>
                <w:szCs w:val="28"/>
                <w:lang w:val="en-US" w:eastAsia="zh-CN"/>
              </w:rPr>
              <w:t>1.5</w:t>
            </w:r>
          </w:p>
        </w:tc>
      </w:tr>
      <w:tr w14:paraId="7E46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4E1E5D2B">
            <w:pPr>
              <w:spacing w:line="360" w:lineRule="auto"/>
              <w:jc w:val="center"/>
              <w:rPr>
                <w:rFonts w:hint="eastAsia" w:ascii="仿宋_GB2312" w:hAnsi="仿宋" w:eastAsia="仿宋_GB2312" w:cs="宋体"/>
                <w:sz w:val="28"/>
                <w:szCs w:val="28"/>
                <w:lang w:eastAsia="zh-CN"/>
              </w:rPr>
            </w:pPr>
            <w:r>
              <w:rPr>
                <w:rFonts w:hint="eastAsia" w:ascii="仿宋_GB2312" w:hAnsi="仿宋" w:eastAsia="仿宋_GB2312" w:cs="宋体"/>
                <w:sz w:val="28"/>
                <w:szCs w:val="28"/>
                <w:lang w:val="en-US" w:eastAsia="zh-CN"/>
              </w:rPr>
              <w:t>3</w:t>
            </w:r>
          </w:p>
        </w:tc>
        <w:tc>
          <w:tcPr>
            <w:tcW w:w="711" w:type="pct"/>
            <w:vAlign w:val="center"/>
          </w:tcPr>
          <w:p w14:paraId="1BB7025B">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应急处理方案</w:t>
            </w:r>
          </w:p>
        </w:tc>
        <w:tc>
          <w:tcPr>
            <w:tcW w:w="3522" w:type="pct"/>
            <w:vAlign w:val="center"/>
          </w:tcPr>
          <w:p w14:paraId="3FD495AA">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根据投标人针对本项目提供的突发事件应急方案（治安应急预案、供电、供水应急预案、消防应急预案）的完整、合理、可行情况，由评委进行评分：方案完整合理可行，针对性强的得</w:t>
            </w:r>
            <w:r>
              <w:rPr>
                <w:rFonts w:hint="eastAsia" w:ascii="仿宋_GB2312" w:hAnsi="仿宋" w:eastAsia="仿宋_GB2312" w:cs="宋体"/>
                <w:sz w:val="28"/>
                <w:szCs w:val="28"/>
                <w:lang w:val="en-US" w:eastAsia="zh-CN"/>
              </w:rPr>
              <w:t>1.5</w:t>
            </w:r>
            <w:r>
              <w:rPr>
                <w:rFonts w:hint="eastAsia" w:ascii="仿宋_GB2312" w:hAnsi="仿宋" w:eastAsia="仿宋_GB2312" w:cs="宋体"/>
                <w:sz w:val="28"/>
                <w:szCs w:val="28"/>
              </w:rPr>
              <w:t>分；方案较完整合理可行，部分具有针对性的得</w:t>
            </w:r>
            <w:r>
              <w:rPr>
                <w:rFonts w:hint="eastAsia" w:ascii="仿宋_GB2312" w:hAnsi="仿宋" w:eastAsia="仿宋_GB2312" w:cs="宋体"/>
                <w:sz w:val="28"/>
                <w:szCs w:val="28"/>
                <w:lang w:val="en-US" w:eastAsia="zh-CN"/>
              </w:rPr>
              <w:t>0.5</w:t>
            </w:r>
            <w:r>
              <w:rPr>
                <w:rFonts w:hint="eastAsia" w:ascii="仿宋_GB2312" w:hAnsi="仿宋" w:eastAsia="仿宋_GB2312" w:cs="宋体"/>
                <w:sz w:val="28"/>
                <w:szCs w:val="28"/>
              </w:rPr>
              <w:t>分；未提供的不得分。</w:t>
            </w:r>
          </w:p>
        </w:tc>
        <w:tc>
          <w:tcPr>
            <w:tcW w:w="428" w:type="pct"/>
            <w:vAlign w:val="center"/>
          </w:tcPr>
          <w:p w14:paraId="3A46A670">
            <w:pPr>
              <w:spacing w:line="360" w:lineRule="auto"/>
              <w:jc w:val="center"/>
              <w:rPr>
                <w:rFonts w:hint="default" w:ascii="仿宋_GB2312" w:hAnsi="仿宋" w:eastAsia="仿宋_GB2312" w:cs="宋体"/>
                <w:sz w:val="28"/>
                <w:szCs w:val="28"/>
                <w:lang w:val="en-US" w:eastAsia="zh-CN"/>
              </w:rPr>
            </w:pPr>
            <w:r>
              <w:rPr>
                <w:rFonts w:hint="eastAsia" w:ascii="仿宋_GB2312" w:hAnsi="仿宋" w:eastAsia="仿宋_GB2312" w:cs="宋体"/>
                <w:sz w:val="28"/>
                <w:szCs w:val="28"/>
                <w:lang w:val="en-US" w:eastAsia="zh-CN"/>
              </w:rPr>
              <w:t>1.5</w:t>
            </w:r>
          </w:p>
        </w:tc>
      </w:tr>
    </w:tbl>
    <w:p w14:paraId="5B6A7955">
      <w:pPr>
        <w:spacing w:line="360" w:lineRule="auto"/>
        <w:ind w:firstLine="560" w:firstLineChars="200"/>
        <w:jc w:val="left"/>
        <w:outlineLvl w:val="1"/>
        <w:rPr>
          <w:rFonts w:ascii="仿宋" w:hAnsi="仿宋" w:eastAsia="仿宋" w:cs="仿宋"/>
          <w:sz w:val="28"/>
          <w:szCs w:val="28"/>
        </w:rPr>
      </w:pPr>
      <w:bookmarkStart w:id="34" w:name="_Toc7773"/>
      <w:bookmarkStart w:id="35" w:name="_Toc2228"/>
      <w:bookmarkStart w:id="36" w:name="_Toc12181748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商务项（满分</w:t>
      </w:r>
      <w:r>
        <w:rPr>
          <w:rFonts w:hint="eastAsia" w:ascii="仿宋" w:hAnsi="仿宋" w:eastAsia="仿宋" w:cs="仿宋"/>
          <w:sz w:val="28"/>
          <w:szCs w:val="28"/>
          <w:lang w:val="en-US" w:eastAsia="zh-CN"/>
        </w:rPr>
        <w:t>9</w:t>
      </w:r>
      <w:r>
        <w:rPr>
          <w:rFonts w:hint="eastAsia" w:ascii="仿宋" w:hAnsi="仿宋" w:eastAsia="仿宋" w:cs="仿宋"/>
          <w:sz w:val="28"/>
          <w:szCs w:val="28"/>
        </w:rPr>
        <w:t>分）</w:t>
      </w:r>
      <w:bookmarkEnd w:id="34"/>
      <w:bookmarkEnd w:id="35"/>
      <w:bookmarkEnd w:id="36"/>
    </w:p>
    <w:tbl>
      <w:tblPr>
        <w:tblStyle w:val="13"/>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7"/>
        <w:gridCol w:w="1197"/>
        <w:gridCol w:w="5903"/>
        <w:gridCol w:w="718"/>
      </w:tblGrid>
      <w:tr w14:paraId="62B6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7" w:type="pct"/>
            <w:gridSpan w:val="2"/>
            <w:vAlign w:val="center"/>
          </w:tcPr>
          <w:p w14:paraId="28CE00CD">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713" w:type="pct"/>
            <w:vAlign w:val="center"/>
          </w:tcPr>
          <w:p w14:paraId="30B8B5CD">
            <w:pPr>
              <w:spacing w:line="360" w:lineRule="auto"/>
              <w:jc w:val="center"/>
              <w:rPr>
                <w:rFonts w:ascii="仿宋" w:hAnsi="仿宋" w:eastAsia="仿宋" w:cs="仿宋"/>
                <w:sz w:val="28"/>
                <w:szCs w:val="28"/>
              </w:rPr>
            </w:pPr>
            <w:r>
              <w:rPr>
                <w:rFonts w:ascii="仿宋" w:hAnsi="仿宋" w:eastAsia="仿宋" w:cs="仿宋"/>
                <w:kern w:val="0"/>
                <w:sz w:val="28"/>
                <w:szCs w:val="28"/>
              </w:rPr>
              <w:t>评标项目</w:t>
            </w:r>
          </w:p>
        </w:tc>
        <w:tc>
          <w:tcPr>
            <w:tcW w:w="3520" w:type="pct"/>
            <w:vAlign w:val="center"/>
          </w:tcPr>
          <w:p w14:paraId="2B16B232">
            <w:pPr>
              <w:spacing w:line="360" w:lineRule="auto"/>
              <w:jc w:val="center"/>
              <w:rPr>
                <w:rFonts w:ascii="仿宋" w:hAnsi="仿宋" w:eastAsia="仿宋" w:cs="仿宋"/>
                <w:sz w:val="28"/>
                <w:szCs w:val="28"/>
              </w:rPr>
            </w:pPr>
            <w:r>
              <w:rPr>
                <w:rFonts w:hint="eastAsia" w:ascii="仿宋" w:hAnsi="仿宋" w:eastAsia="仿宋" w:cs="仿宋"/>
                <w:kern w:val="0"/>
                <w:sz w:val="28"/>
                <w:szCs w:val="28"/>
              </w:rPr>
              <w:t>评分标准</w:t>
            </w:r>
          </w:p>
        </w:tc>
        <w:tc>
          <w:tcPr>
            <w:tcW w:w="428" w:type="pct"/>
            <w:vAlign w:val="center"/>
          </w:tcPr>
          <w:p w14:paraId="647C77DA">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分值</w:t>
            </w:r>
          </w:p>
        </w:tc>
      </w:tr>
      <w:tr w14:paraId="4AE5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6" w:type="pct"/>
            <w:vAlign w:val="center"/>
          </w:tcPr>
          <w:p w14:paraId="6E6F792C">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1</w:t>
            </w:r>
          </w:p>
        </w:tc>
        <w:tc>
          <w:tcPr>
            <w:tcW w:w="724" w:type="pct"/>
            <w:gridSpan w:val="2"/>
            <w:vAlign w:val="center"/>
          </w:tcPr>
          <w:p w14:paraId="0DCF8E01">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管理业绩</w:t>
            </w:r>
          </w:p>
        </w:tc>
        <w:tc>
          <w:tcPr>
            <w:tcW w:w="3520" w:type="pct"/>
            <w:vAlign w:val="center"/>
          </w:tcPr>
          <w:p w14:paraId="7696AD26">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根据投标人提供近三年由投标人自行完成的或在管的物业服务项目（非住宅）业绩情况（同一项目须包括以下服务内容：保洁、维修、绿化、安防）进行评分，每提供一项业绩得1分，满分3分。 注：投标人须提供该业绩项目的中标公告（提供相关网站中标公告的下载网页并注明网址）、中标通知书复印件、采购合同文本复印件（合同需体现所包含的服务内容），以及能够证明该业绩项目已经采购人验收合格或项目正在履行的相关证明文件复印件（采购人单位出具的验收合格证明或付款凭证），所有材料缺一不可，否则不得分。</w:t>
            </w:r>
          </w:p>
        </w:tc>
        <w:tc>
          <w:tcPr>
            <w:tcW w:w="428" w:type="pct"/>
            <w:vAlign w:val="center"/>
          </w:tcPr>
          <w:p w14:paraId="2F082C9B">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3</w:t>
            </w:r>
          </w:p>
        </w:tc>
      </w:tr>
      <w:tr w14:paraId="3C8C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6" w:type="pct"/>
            <w:vAlign w:val="center"/>
          </w:tcPr>
          <w:p w14:paraId="678F0A7D">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2</w:t>
            </w:r>
          </w:p>
        </w:tc>
        <w:tc>
          <w:tcPr>
            <w:tcW w:w="724" w:type="pct"/>
            <w:gridSpan w:val="2"/>
            <w:vAlign w:val="center"/>
          </w:tcPr>
          <w:p w14:paraId="7DEEBCD4">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物业服务评价</w:t>
            </w:r>
          </w:p>
        </w:tc>
        <w:tc>
          <w:tcPr>
            <w:tcW w:w="3520" w:type="pct"/>
            <w:vAlign w:val="center"/>
          </w:tcPr>
          <w:p w14:paraId="3E8B2043">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根据投标人所提供的自202</w:t>
            </w:r>
            <w:r>
              <w:rPr>
                <w:rFonts w:hint="eastAsia" w:ascii="仿宋_GB2312" w:hAnsi="仿宋" w:eastAsia="仿宋_GB2312" w:cs="宋体"/>
                <w:sz w:val="28"/>
                <w:szCs w:val="28"/>
                <w:lang w:val="en-US" w:eastAsia="zh-CN"/>
              </w:rPr>
              <w:t>1</w:t>
            </w:r>
            <w:r>
              <w:rPr>
                <w:rFonts w:hint="eastAsia" w:ascii="仿宋_GB2312" w:hAnsi="仿宋" w:eastAsia="仿宋_GB2312" w:cs="宋体"/>
                <w:sz w:val="28"/>
                <w:szCs w:val="28"/>
              </w:rPr>
              <w:t>年1月1日起至本次投标截止日期止，由投标人正在履行或已完成的非住宅物业服务的满意度情况进行评议，由采购人提供的得满分或者满意或者优(或者同等评语)的用户满意度评价报告，每提供一份得1分，满分3分。 须同时提供用户满意度评价证明材料、合同复印件并加盖公章，未提供者不得分。同时列表注明采购人单位名称、联系人、联系方式等内容，否则不得分。该项评分与业绩评分项不得重复得分。</w:t>
            </w:r>
          </w:p>
        </w:tc>
        <w:tc>
          <w:tcPr>
            <w:tcW w:w="428" w:type="pct"/>
            <w:vAlign w:val="center"/>
          </w:tcPr>
          <w:p w14:paraId="76CA11C1">
            <w:pPr>
              <w:spacing w:line="360" w:lineRule="auto"/>
              <w:jc w:val="center"/>
              <w:rPr>
                <w:rFonts w:ascii="仿宋_GB2312" w:hAnsi="仿宋" w:eastAsia="仿宋_GB2312" w:cs="宋体"/>
                <w:sz w:val="28"/>
                <w:szCs w:val="28"/>
              </w:rPr>
            </w:pPr>
            <w:r>
              <w:rPr>
                <w:rFonts w:hint="eastAsia" w:ascii="仿宋_GB2312" w:hAnsi="仿宋" w:eastAsia="仿宋_GB2312" w:cs="宋体"/>
                <w:sz w:val="28"/>
                <w:szCs w:val="28"/>
              </w:rPr>
              <w:t>3</w:t>
            </w:r>
          </w:p>
        </w:tc>
      </w:tr>
      <w:tr w14:paraId="6183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gridSpan w:val="2"/>
            <w:vAlign w:val="center"/>
          </w:tcPr>
          <w:p w14:paraId="0C404022">
            <w:pPr>
              <w:spacing w:line="360" w:lineRule="auto"/>
              <w:jc w:val="center"/>
              <w:rPr>
                <w:rFonts w:hint="eastAsia" w:ascii="仿宋_GB2312" w:hAnsi="仿宋" w:eastAsia="仿宋_GB2312" w:cs="宋体"/>
                <w:sz w:val="28"/>
                <w:szCs w:val="28"/>
                <w:lang w:eastAsia="zh-CN"/>
              </w:rPr>
            </w:pPr>
            <w:r>
              <w:rPr>
                <w:rFonts w:hint="eastAsia" w:ascii="仿宋_GB2312" w:hAnsi="仿宋" w:eastAsia="仿宋_GB2312" w:cs="宋体"/>
                <w:sz w:val="28"/>
                <w:szCs w:val="28"/>
                <w:lang w:val="en-US" w:eastAsia="zh-CN"/>
              </w:rPr>
              <w:t>3</w:t>
            </w:r>
          </w:p>
        </w:tc>
        <w:tc>
          <w:tcPr>
            <w:tcW w:w="713" w:type="pct"/>
            <w:vAlign w:val="center"/>
          </w:tcPr>
          <w:p w14:paraId="0AFD1778">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员工权益保障</w:t>
            </w:r>
          </w:p>
        </w:tc>
        <w:tc>
          <w:tcPr>
            <w:tcW w:w="3520" w:type="pct"/>
            <w:vAlign w:val="center"/>
          </w:tcPr>
          <w:p w14:paraId="4C8F8F3F">
            <w:pPr>
              <w:spacing w:line="360" w:lineRule="auto"/>
              <w:jc w:val="left"/>
              <w:rPr>
                <w:rFonts w:ascii="仿宋_GB2312" w:hAnsi="仿宋" w:eastAsia="仿宋_GB2312" w:cs="宋体"/>
                <w:sz w:val="28"/>
                <w:szCs w:val="28"/>
              </w:rPr>
            </w:pPr>
            <w:r>
              <w:rPr>
                <w:rFonts w:hint="eastAsia" w:ascii="仿宋_GB2312" w:hAnsi="仿宋" w:eastAsia="仿宋_GB2312" w:cs="宋体"/>
                <w:sz w:val="28"/>
                <w:szCs w:val="28"/>
              </w:rPr>
              <w:t>根据投标人承诺中标后为本项目投入的所有人员（每人）购买意外伤害保险或雇主责任险，死亡伤残赔偿限额≥100万元的得</w:t>
            </w:r>
            <w:r>
              <w:rPr>
                <w:rFonts w:hint="eastAsia" w:ascii="仿宋_GB2312" w:hAnsi="仿宋" w:eastAsia="仿宋_GB2312" w:cs="宋体"/>
                <w:sz w:val="28"/>
                <w:szCs w:val="28"/>
                <w:lang w:val="en-US" w:eastAsia="zh-CN"/>
              </w:rPr>
              <w:t>3</w:t>
            </w:r>
            <w:r>
              <w:rPr>
                <w:rFonts w:hint="eastAsia" w:ascii="仿宋_GB2312" w:hAnsi="仿宋" w:eastAsia="仿宋_GB2312" w:cs="宋体"/>
                <w:sz w:val="28"/>
                <w:szCs w:val="28"/>
              </w:rPr>
              <w:t>分。需提供承诺函且承诺为本项目投入的所有人员购买的意外伤害险的保障日期不少于本项目合同服务期，未提供的不得分。</w:t>
            </w:r>
          </w:p>
        </w:tc>
        <w:tc>
          <w:tcPr>
            <w:tcW w:w="428" w:type="pct"/>
            <w:vAlign w:val="center"/>
          </w:tcPr>
          <w:p w14:paraId="2182AEBE">
            <w:pPr>
              <w:spacing w:line="360" w:lineRule="auto"/>
              <w:jc w:val="center"/>
              <w:rPr>
                <w:rFonts w:hint="eastAsia" w:ascii="仿宋_GB2312" w:hAnsi="仿宋" w:eastAsia="仿宋_GB2312" w:cs="宋体"/>
                <w:sz w:val="28"/>
                <w:szCs w:val="28"/>
                <w:lang w:val="en-US" w:eastAsia="zh-CN"/>
              </w:rPr>
            </w:pPr>
            <w:r>
              <w:rPr>
                <w:rFonts w:hint="eastAsia" w:ascii="仿宋_GB2312" w:hAnsi="仿宋" w:eastAsia="仿宋_GB2312" w:cs="宋体"/>
                <w:color w:val="auto"/>
                <w:sz w:val="28"/>
                <w:szCs w:val="28"/>
                <w:lang w:val="en-US" w:eastAsia="zh-CN"/>
              </w:rPr>
              <w:t>3</w:t>
            </w:r>
          </w:p>
        </w:tc>
      </w:tr>
    </w:tbl>
    <w:p w14:paraId="57B85A9E">
      <w:pPr>
        <w:pStyle w:val="4"/>
        <w:spacing w:beforeAutospacing="0" w:afterAutospacing="0"/>
        <w:rPr>
          <w:rFonts w:hint="default" w:ascii="仿宋" w:hAnsi="仿宋" w:eastAsia="仿宋" w:cs="仿宋"/>
          <w:bCs/>
          <w:sz w:val="28"/>
          <w:szCs w:val="24"/>
        </w:rPr>
      </w:pPr>
    </w:p>
    <w:p w14:paraId="46273F4F">
      <w:pPr>
        <w:pStyle w:val="4"/>
        <w:spacing w:beforeAutospacing="0" w:afterAutospacing="0"/>
        <w:ind w:firstLine="562" w:firstLineChars="200"/>
        <w:rPr>
          <w:rFonts w:hint="default" w:ascii="仿宋" w:hAnsi="仿宋" w:eastAsia="仿宋" w:cs="仿宋"/>
          <w:bCs/>
          <w:sz w:val="28"/>
          <w:szCs w:val="24"/>
        </w:rPr>
      </w:pPr>
      <w:r>
        <w:rPr>
          <w:rFonts w:ascii="仿宋" w:hAnsi="仿宋" w:eastAsia="仿宋" w:cs="仿宋"/>
          <w:bCs/>
          <w:sz w:val="28"/>
          <w:szCs w:val="24"/>
        </w:rPr>
        <w:t>六、商务要求</w:t>
      </w:r>
    </w:p>
    <w:p w14:paraId="64E0EA88">
      <w:pPr>
        <w:numPr>
          <w:ilvl w:val="0"/>
          <w:numId w:val="3"/>
        </w:numPr>
        <w:spacing w:line="360" w:lineRule="auto"/>
        <w:ind w:firstLine="560" w:firstLineChars="200"/>
        <w:rPr>
          <w:rFonts w:ascii="仿宋" w:hAnsi="仿宋" w:eastAsia="仿宋" w:cs="仿宋"/>
          <w:sz w:val="28"/>
          <w:szCs w:val="28"/>
        </w:rPr>
      </w:pPr>
      <w:r>
        <w:rPr>
          <w:rFonts w:hint="eastAsia" w:ascii="仿宋_GB2312" w:hAnsi="仿宋" w:eastAsia="仿宋_GB2312" w:cs="宋体"/>
          <w:sz w:val="28"/>
          <w:szCs w:val="28"/>
        </w:rPr>
        <w:t>本项目不接受联合体投标，不允许分包。</w:t>
      </w:r>
    </w:p>
    <w:p w14:paraId="51BFF8CF">
      <w:pPr>
        <w:pStyle w:val="2"/>
        <w:spacing w:after="0"/>
        <w:ind w:left="0" w:leftChars="0" w:firstLine="560"/>
        <w:rPr>
          <w:rFonts w:ascii="仿宋_GB2312" w:hAnsi="仿宋" w:cs="宋体"/>
          <w:sz w:val="28"/>
          <w:szCs w:val="28"/>
        </w:rPr>
      </w:pPr>
      <w:r>
        <w:rPr>
          <w:rFonts w:hint="eastAsia" w:ascii="仿宋" w:hAnsi="仿宋" w:eastAsia="仿宋" w:cs="仿宋"/>
          <w:sz w:val="28"/>
          <w:szCs w:val="28"/>
        </w:rPr>
        <w:t>2、</w:t>
      </w:r>
      <w:r>
        <w:rPr>
          <w:rFonts w:hint="eastAsia" w:ascii="仿宋_GB2312" w:hAnsi="仿宋" w:cs="宋体"/>
          <w:sz w:val="28"/>
          <w:szCs w:val="28"/>
        </w:rPr>
        <w:t>是否收取履约保证金：否。</w:t>
      </w:r>
    </w:p>
    <w:p w14:paraId="5DDE28A2">
      <w:pPr>
        <w:spacing w:line="360" w:lineRule="auto"/>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3、付款方式：合同签订后，按12期支付，根据每月考核结果于次月15日前支付上月服务费。</w:t>
      </w:r>
    </w:p>
    <w:p w14:paraId="0F7AAD4E">
      <w:pPr>
        <w:pStyle w:val="4"/>
        <w:spacing w:beforeAutospacing="0" w:afterAutospacing="0" w:line="360" w:lineRule="auto"/>
        <w:ind w:firstLine="562" w:firstLineChars="200"/>
        <w:rPr>
          <w:rFonts w:hint="default" w:ascii="仿宋" w:hAnsi="仿宋" w:eastAsia="仿宋" w:cs="仿宋"/>
          <w:bCs/>
          <w:sz w:val="28"/>
          <w:szCs w:val="24"/>
        </w:rPr>
      </w:pPr>
      <w:r>
        <w:rPr>
          <w:rFonts w:ascii="仿宋" w:hAnsi="仿宋" w:eastAsia="仿宋" w:cs="仿宋"/>
          <w:bCs/>
          <w:sz w:val="28"/>
          <w:szCs w:val="24"/>
        </w:rPr>
        <w:t>七、投标文件</w:t>
      </w:r>
    </w:p>
    <w:p w14:paraId="4C31BB8E">
      <w:pPr>
        <w:pStyle w:val="4"/>
        <w:spacing w:beforeAutospacing="0" w:afterAutospacing="0" w:line="360" w:lineRule="auto"/>
        <w:ind w:firstLine="560" w:firstLineChars="200"/>
        <w:rPr>
          <w:rFonts w:hint="default" w:ascii="仿宋" w:hAnsi="仿宋" w:eastAsia="仿宋" w:cs="仿宋"/>
          <w:b w:val="0"/>
          <w:sz w:val="28"/>
          <w:szCs w:val="24"/>
        </w:rPr>
      </w:pPr>
      <w:r>
        <w:rPr>
          <w:rFonts w:ascii="仿宋" w:hAnsi="仿宋" w:eastAsia="仿宋" w:cs="仿宋"/>
          <w:b w:val="0"/>
          <w:sz w:val="28"/>
          <w:szCs w:val="24"/>
        </w:rPr>
        <w:t>1、投标文件要求</w:t>
      </w:r>
    </w:p>
    <w:p w14:paraId="01147900">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（1）投标人应按照服务内容要求，提供全部相关证明材料。</w:t>
      </w:r>
    </w:p>
    <w:p w14:paraId="57898600">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（2）提交项目正式报价文件。</w:t>
      </w:r>
    </w:p>
    <w:p w14:paraId="6D90BF1A">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（3）投标文件中所有相关证明材料均应加盖投标人单位公章。</w:t>
      </w:r>
    </w:p>
    <w:p w14:paraId="3B6FA84B">
      <w:pPr>
        <w:pStyle w:val="2"/>
        <w:spacing w:after="0" w:line="600" w:lineRule="exact"/>
        <w:ind w:left="0" w:leftChars="0" w:firstLine="560"/>
        <w:rPr>
          <w:rFonts w:ascii="仿宋" w:hAnsi="仿宋" w:eastAsia="仿宋" w:cs="仿宋"/>
          <w:sz w:val="28"/>
        </w:rPr>
      </w:pPr>
      <w:r>
        <w:rPr>
          <w:rFonts w:hint="eastAsia" w:ascii="仿宋_GB2312" w:hAnsi="仿宋" w:cs="宋体"/>
          <w:sz w:val="28"/>
          <w:szCs w:val="28"/>
        </w:rPr>
        <w:t>（4）投标文件必须装订成册，附全部投标材料清单目录，加盖骑缝章，并密封送至采购人处，经审验如有不符或遗漏，视为投标文件作废。</w:t>
      </w:r>
    </w:p>
    <w:p w14:paraId="2AD9B583">
      <w:pPr>
        <w:pStyle w:val="4"/>
        <w:spacing w:beforeAutospacing="0" w:afterAutospacing="0" w:line="360" w:lineRule="auto"/>
        <w:ind w:firstLine="560" w:firstLineChars="200"/>
        <w:rPr>
          <w:rFonts w:hint="default" w:ascii="仿宋" w:hAnsi="仿宋" w:eastAsia="仿宋" w:cs="仿宋"/>
          <w:b w:val="0"/>
          <w:sz w:val="28"/>
          <w:szCs w:val="24"/>
        </w:rPr>
      </w:pPr>
      <w:r>
        <w:rPr>
          <w:rFonts w:ascii="仿宋" w:hAnsi="仿宋" w:eastAsia="仿宋" w:cs="仿宋"/>
          <w:b w:val="0"/>
          <w:sz w:val="28"/>
          <w:szCs w:val="24"/>
        </w:rPr>
        <w:t>2、投标时间</w:t>
      </w:r>
    </w:p>
    <w:p w14:paraId="65116B5D">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请于</w:t>
      </w:r>
      <w:r>
        <w:rPr>
          <w:rFonts w:hint="eastAsia" w:ascii="仿宋_GB2312" w:hAnsi="仿宋" w:cs="宋体"/>
          <w:sz w:val="28"/>
          <w:szCs w:val="28"/>
          <w:lang w:val="en-US" w:eastAsia="zh-CN"/>
        </w:rPr>
        <w:t>2024</w:t>
      </w:r>
      <w:r>
        <w:rPr>
          <w:rFonts w:hint="eastAsia" w:ascii="仿宋_GB2312" w:hAnsi="仿宋" w:cs="宋体"/>
          <w:sz w:val="28"/>
          <w:szCs w:val="28"/>
        </w:rPr>
        <w:t>年</w:t>
      </w:r>
      <w:r>
        <w:rPr>
          <w:rFonts w:hint="eastAsia" w:ascii="仿宋_GB2312" w:hAnsi="仿宋" w:cs="宋体"/>
          <w:sz w:val="28"/>
          <w:szCs w:val="28"/>
          <w:lang w:val="en-US" w:eastAsia="zh-CN"/>
        </w:rPr>
        <w:t>12</w:t>
      </w:r>
      <w:r>
        <w:rPr>
          <w:rFonts w:hint="eastAsia" w:ascii="仿宋_GB2312" w:hAnsi="仿宋" w:cs="宋体"/>
          <w:sz w:val="28"/>
          <w:szCs w:val="28"/>
        </w:rPr>
        <w:t>月</w:t>
      </w:r>
      <w:r>
        <w:rPr>
          <w:rFonts w:hint="eastAsia" w:ascii="仿宋_GB2312" w:hAnsi="仿宋" w:cs="宋体"/>
          <w:sz w:val="28"/>
          <w:szCs w:val="28"/>
          <w:lang w:val="en-US" w:eastAsia="zh-CN"/>
        </w:rPr>
        <w:t>30</w:t>
      </w:r>
      <w:r>
        <w:rPr>
          <w:rFonts w:hint="eastAsia" w:ascii="仿宋_GB2312" w:hAnsi="仿宋" w:cs="宋体"/>
          <w:sz w:val="28"/>
          <w:szCs w:val="28"/>
        </w:rPr>
        <w:t>日</w:t>
      </w:r>
      <w:r>
        <w:rPr>
          <w:rFonts w:ascii="仿宋_GB2312" w:hAnsi="仿宋" w:cs="宋体"/>
          <w:sz w:val="28"/>
          <w:szCs w:val="28"/>
        </w:rPr>
        <w:t>9</w:t>
      </w:r>
      <w:r>
        <w:rPr>
          <w:rFonts w:hint="eastAsia" w:ascii="仿宋_GB2312" w:hAnsi="仿宋" w:cs="宋体"/>
          <w:sz w:val="28"/>
          <w:szCs w:val="28"/>
        </w:rPr>
        <w:t>:</w:t>
      </w:r>
      <w:r>
        <w:rPr>
          <w:rFonts w:ascii="仿宋_GB2312" w:hAnsi="仿宋" w:cs="宋体"/>
          <w:sz w:val="28"/>
          <w:szCs w:val="28"/>
        </w:rPr>
        <w:t>0</w:t>
      </w:r>
      <w:r>
        <w:rPr>
          <w:rFonts w:hint="eastAsia" w:ascii="仿宋_GB2312" w:hAnsi="仿宋" w:cs="宋体"/>
          <w:sz w:val="28"/>
          <w:szCs w:val="28"/>
        </w:rPr>
        <w:t>0</w:t>
      </w:r>
      <w:r>
        <w:rPr>
          <w:rFonts w:ascii="仿宋_GB2312" w:hAnsi="仿宋" w:cs="宋体"/>
          <w:sz w:val="28"/>
          <w:szCs w:val="28"/>
        </w:rPr>
        <w:t xml:space="preserve"> </w:t>
      </w:r>
      <w:r>
        <w:rPr>
          <w:rFonts w:hint="eastAsia" w:ascii="仿宋_GB2312" w:hAnsi="仿宋" w:cs="宋体"/>
          <w:sz w:val="28"/>
          <w:szCs w:val="28"/>
        </w:rPr>
        <w:t>(北京时间)之前将密封的投标文件送达福建省环境监测中心站（福州市鼓楼区福飞南路138号408室），逾期送达或不符合规定的投标文件将被拒绝接受。</w:t>
      </w:r>
    </w:p>
    <w:p w14:paraId="66948808">
      <w:pPr>
        <w:pStyle w:val="2"/>
        <w:spacing w:after="0" w:line="600" w:lineRule="exact"/>
        <w:ind w:left="0" w:leftChars="0" w:firstLine="560"/>
        <w:rPr>
          <w:rFonts w:ascii="仿宋" w:hAnsi="仿宋" w:eastAsia="仿宋" w:cs="仿宋"/>
          <w:kern w:val="44"/>
          <w:sz w:val="28"/>
        </w:rPr>
      </w:pPr>
      <w:r>
        <w:rPr>
          <w:rFonts w:hint="eastAsia" w:ascii="仿宋" w:hAnsi="仿宋" w:eastAsia="仿宋" w:cs="仿宋"/>
          <w:kern w:val="44"/>
          <w:sz w:val="28"/>
        </w:rPr>
        <w:t>3、咨询方式</w:t>
      </w:r>
    </w:p>
    <w:p w14:paraId="120A1EED">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项目负责人：郝先生，电话0</w:t>
      </w:r>
      <w:r>
        <w:rPr>
          <w:rFonts w:ascii="仿宋_GB2312" w:hAnsi="仿宋" w:cs="宋体"/>
          <w:sz w:val="28"/>
          <w:szCs w:val="28"/>
        </w:rPr>
        <w:t>591-83571</w:t>
      </w:r>
      <w:r>
        <w:rPr>
          <w:rFonts w:hint="eastAsia" w:ascii="仿宋_GB2312" w:hAnsi="仿宋" w:cs="宋体"/>
          <w:sz w:val="28"/>
          <w:szCs w:val="28"/>
        </w:rPr>
        <w:t>160</w:t>
      </w:r>
    </w:p>
    <w:p w14:paraId="70CDFD68">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投标联系人：徐先生，电话0591-83571</w:t>
      </w:r>
      <w:r>
        <w:rPr>
          <w:rFonts w:ascii="仿宋_GB2312" w:hAnsi="仿宋" w:cs="宋体"/>
          <w:sz w:val="28"/>
          <w:szCs w:val="28"/>
        </w:rPr>
        <w:t>292</w:t>
      </w:r>
    </w:p>
    <w:p w14:paraId="1EA02302">
      <w:pPr>
        <w:pStyle w:val="2"/>
        <w:spacing w:after="0" w:line="600" w:lineRule="exact"/>
        <w:ind w:left="0" w:leftChars="0" w:firstLine="560"/>
        <w:rPr>
          <w:rFonts w:ascii="仿宋_GB2312" w:hAnsi="仿宋" w:cs="宋体"/>
          <w:sz w:val="28"/>
          <w:szCs w:val="28"/>
        </w:rPr>
      </w:pPr>
      <w:r>
        <w:rPr>
          <w:rFonts w:hint="eastAsia" w:ascii="仿宋_GB2312" w:hAnsi="仿宋" w:cs="宋体"/>
          <w:sz w:val="28"/>
          <w:szCs w:val="28"/>
        </w:rPr>
        <w:t>联系地址：福建省福州市鼓楼区福飞南路138号</w:t>
      </w:r>
    </w:p>
    <w:p w14:paraId="7D5EBBBC">
      <w:pPr>
        <w:spacing w:line="360" w:lineRule="auto"/>
        <w:rPr>
          <w:rFonts w:ascii="仿宋" w:hAnsi="仿宋" w:eastAsia="仿宋" w:cs="仿宋"/>
          <w:sz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A7F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wps:spPr>
                    <wps:txbx>
                      <w:txbxContent>
                        <w:p w14:paraId="3258854B">
                          <w:pPr>
                            <w:pStyle w:val="7"/>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lECTdEAAAADAQAADwAAAAAAAAABACAAAAAiAAAAZHJzL2Rvd25yZXYueG1sUEsB&#10;AhQAFAAAAAgAh07iQJe+Zyn8AQAABAQAAA4AAAAAAAAAAQAgAAAAIAEAAGRycy9lMm9Eb2MueG1s&#10;UEsFBgAAAAAGAAYAWQEAAI4FAAAAAA==&#10;">
              <v:fill on="f" focussize="0,0"/>
              <v:stroke on="f"/>
              <v:imagedata o:title=""/>
              <o:lock v:ext="edit" aspectratio="f"/>
              <v:textbox inset="0mm,0mm,0mm,0mm" style="mso-fit-shape-to-text:t;">
                <w:txbxContent>
                  <w:p w14:paraId="3258854B">
                    <w:pPr>
                      <w:pStyle w:val="7"/>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7ECC4"/>
    <w:multiLevelType w:val="singleLevel"/>
    <w:tmpl w:val="9A57ECC4"/>
    <w:lvl w:ilvl="0" w:tentative="0">
      <w:start w:val="5"/>
      <w:numFmt w:val="chineseCounting"/>
      <w:suff w:val="nothing"/>
      <w:lvlText w:val="%1、"/>
      <w:lvlJc w:val="left"/>
      <w:rPr>
        <w:rFonts w:hint="eastAsia"/>
      </w:rPr>
    </w:lvl>
  </w:abstractNum>
  <w:abstractNum w:abstractNumId="1">
    <w:nsid w:val="F6DBABF2"/>
    <w:multiLevelType w:val="singleLevel"/>
    <w:tmpl w:val="F6DBABF2"/>
    <w:lvl w:ilvl="0" w:tentative="0">
      <w:start w:val="1"/>
      <w:numFmt w:val="decimal"/>
      <w:suff w:val="nothing"/>
      <w:lvlText w:val="%1、"/>
      <w:lvlJc w:val="left"/>
    </w:lvl>
  </w:abstractNum>
  <w:abstractNum w:abstractNumId="2">
    <w:nsid w:val="3B9EAEE8"/>
    <w:multiLevelType w:val="singleLevel"/>
    <w:tmpl w:val="3B9EAEE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OGU4MThmMGMyMWM1MGQ0OTlkNjJhZDlkODZjZTkifQ=="/>
  </w:docVars>
  <w:rsids>
    <w:rsidRoot w:val="79205C5E"/>
    <w:rsid w:val="00011BD6"/>
    <w:rsid w:val="00040827"/>
    <w:rsid w:val="00065FA6"/>
    <w:rsid w:val="00085135"/>
    <w:rsid w:val="00093F1B"/>
    <w:rsid w:val="000C1828"/>
    <w:rsid w:val="000C60A9"/>
    <w:rsid w:val="000F2FC2"/>
    <w:rsid w:val="00112CB2"/>
    <w:rsid w:val="001214C6"/>
    <w:rsid w:val="002056D3"/>
    <w:rsid w:val="00232F9A"/>
    <w:rsid w:val="0025129C"/>
    <w:rsid w:val="0026688E"/>
    <w:rsid w:val="00283DB9"/>
    <w:rsid w:val="002E56D0"/>
    <w:rsid w:val="003117A7"/>
    <w:rsid w:val="00321C61"/>
    <w:rsid w:val="00337DE3"/>
    <w:rsid w:val="00363BA4"/>
    <w:rsid w:val="0036603F"/>
    <w:rsid w:val="003C7E48"/>
    <w:rsid w:val="003E1FFE"/>
    <w:rsid w:val="003E4BF9"/>
    <w:rsid w:val="004131A4"/>
    <w:rsid w:val="004210A4"/>
    <w:rsid w:val="00462861"/>
    <w:rsid w:val="00483B8E"/>
    <w:rsid w:val="00491C63"/>
    <w:rsid w:val="004B7818"/>
    <w:rsid w:val="004C247C"/>
    <w:rsid w:val="004F5C33"/>
    <w:rsid w:val="00503401"/>
    <w:rsid w:val="005374D1"/>
    <w:rsid w:val="00541AFD"/>
    <w:rsid w:val="00573381"/>
    <w:rsid w:val="005A010A"/>
    <w:rsid w:val="005A0C99"/>
    <w:rsid w:val="005F4AB0"/>
    <w:rsid w:val="005F617D"/>
    <w:rsid w:val="00604561"/>
    <w:rsid w:val="0061762C"/>
    <w:rsid w:val="006278C1"/>
    <w:rsid w:val="006332FA"/>
    <w:rsid w:val="00644F11"/>
    <w:rsid w:val="006461F5"/>
    <w:rsid w:val="00694A30"/>
    <w:rsid w:val="0069744B"/>
    <w:rsid w:val="006D366C"/>
    <w:rsid w:val="00730195"/>
    <w:rsid w:val="0073027A"/>
    <w:rsid w:val="00733E11"/>
    <w:rsid w:val="00746D3D"/>
    <w:rsid w:val="00776417"/>
    <w:rsid w:val="007A2B18"/>
    <w:rsid w:val="007A36FD"/>
    <w:rsid w:val="007B323C"/>
    <w:rsid w:val="007B39B7"/>
    <w:rsid w:val="007F1AA2"/>
    <w:rsid w:val="00807098"/>
    <w:rsid w:val="00830AE7"/>
    <w:rsid w:val="0083650C"/>
    <w:rsid w:val="008819E6"/>
    <w:rsid w:val="008C16CF"/>
    <w:rsid w:val="008C2698"/>
    <w:rsid w:val="008C4F71"/>
    <w:rsid w:val="008D79CF"/>
    <w:rsid w:val="008F606D"/>
    <w:rsid w:val="0094076E"/>
    <w:rsid w:val="00947CEA"/>
    <w:rsid w:val="00960A4B"/>
    <w:rsid w:val="00990C1E"/>
    <w:rsid w:val="009A1F65"/>
    <w:rsid w:val="009E7A2F"/>
    <w:rsid w:val="009F3CEC"/>
    <w:rsid w:val="00A17474"/>
    <w:rsid w:val="00A40B55"/>
    <w:rsid w:val="00A411E1"/>
    <w:rsid w:val="00A73AA1"/>
    <w:rsid w:val="00AA5111"/>
    <w:rsid w:val="00B02E64"/>
    <w:rsid w:val="00B07D32"/>
    <w:rsid w:val="00B17A0F"/>
    <w:rsid w:val="00B31E92"/>
    <w:rsid w:val="00B33ECF"/>
    <w:rsid w:val="00B51588"/>
    <w:rsid w:val="00B642BC"/>
    <w:rsid w:val="00B65B43"/>
    <w:rsid w:val="00BC233A"/>
    <w:rsid w:val="00C45A82"/>
    <w:rsid w:val="00C52746"/>
    <w:rsid w:val="00C53FEB"/>
    <w:rsid w:val="00C74DEE"/>
    <w:rsid w:val="00C97A9C"/>
    <w:rsid w:val="00CB1429"/>
    <w:rsid w:val="00CC5732"/>
    <w:rsid w:val="00CF20E4"/>
    <w:rsid w:val="00CF6B15"/>
    <w:rsid w:val="00D52353"/>
    <w:rsid w:val="00D57319"/>
    <w:rsid w:val="00DB2AEE"/>
    <w:rsid w:val="00DD4BC6"/>
    <w:rsid w:val="00DE6A0D"/>
    <w:rsid w:val="00E22F9B"/>
    <w:rsid w:val="00E23D4D"/>
    <w:rsid w:val="00E31F0C"/>
    <w:rsid w:val="00E93EB2"/>
    <w:rsid w:val="00ED2046"/>
    <w:rsid w:val="00EF248E"/>
    <w:rsid w:val="00EF4618"/>
    <w:rsid w:val="00F058AA"/>
    <w:rsid w:val="00F07504"/>
    <w:rsid w:val="00F07641"/>
    <w:rsid w:val="00F36463"/>
    <w:rsid w:val="00F7597C"/>
    <w:rsid w:val="00F76BBF"/>
    <w:rsid w:val="00F82933"/>
    <w:rsid w:val="00F959D2"/>
    <w:rsid w:val="00FA67EB"/>
    <w:rsid w:val="00FB32EE"/>
    <w:rsid w:val="023641FE"/>
    <w:rsid w:val="04087876"/>
    <w:rsid w:val="054560D8"/>
    <w:rsid w:val="0562261D"/>
    <w:rsid w:val="05AF1B79"/>
    <w:rsid w:val="062D1280"/>
    <w:rsid w:val="0DE77108"/>
    <w:rsid w:val="0E8C38F2"/>
    <w:rsid w:val="0E8D0ACD"/>
    <w:rsid w:val="0F5330DC"/>
    <w:rsid w:val="100827DD"/>
    <w:rsid w:val="102D678E"/>
    <w:rsid w:val="11C71912"/>
    <w:rsid w:val="12435B88"/>
    <w:rsid w:val="134C7FD8"/>
    <w:rsid w:val="1639309C"/>
    <w:rsid w:val="167C38BD"/>
    <w:rsid w:val="17845E96"/>
    <w:rsid w:val="191E00CF"/>
    <w:rsid w:val="1B91226F"/>
    <w:rsid w:val="21451C59"/>
    <w:rsid w:val="21B428A9"/>
    <w:rsid w:val="22FB2CB9"/>
    <w:rsid w:val="234C79A5"/>
    <w:rsid w:val="23690525"/>
    <w:rsid w:val="23A82569"/>
    <w:rsid w:val="27836D01"/>
    <w:rsid w:val="27F64A0D"/>
    <w:rsid w:val="28C71425"/>
    <w:rsid w:val="28F0495A"/>
    <w:rsid w:val="2EE5324D"/>
    <w:rsid w:val="30CD6FCB"/>
    <w:rsid w:val="30E2718C"/>
    <w:rsid w:val="338E4750"/>
    <w:rsid w:val="37E94C8E"/>
    <w:rsid w:val="38B61A2A"/>
    <w:rsid w:val="38F45E29"/>
    <w:rsid w:val="39F63F7E"/>
    <w:rsid w:val="3D617930"/>
    <w:rsid w:val="3DF5240C"/>
    <w:rsid w:val="40980764"/>
    <w:rsid w:val="42280EAC"/>
    <w:rsid w:val="43C27D9D"/>
    <w:rsid w:val="43F31AEF"/>
    <w:rsid w:val="4488257B"/>
    <w:rsid w:val="46DF1529"/>
    <w:rsid w:val="48132BC1"/>
    <w:rsid w:val="49243C84"/>
    <w:rsid w:val="498E5D2A"/>
    <w:rsid w:val="4D4F5BB4"/>
    <w:rsid w:val="4DCB03CA"/>
    <w:rsid w:val="4E392BBD"/>
    <w:rsid w:val="4F6856AB"/>
    <w:rsid w:val="51637D72"/>
    <w:rsid w:val="53832E7C"/>
    <w:rsid w:val="57BC4A1B"/>
    <w:rsid w:val="5D45063D"/>
    <w:rsid w:val="5D91505B"/>
    <w:rsid w:val="5E4742FB"/>
    <w:rsid w:val="61DF40F5"/>
    <w:rsid w:val="643C1A70"/>
    <w:rsid w:val="64AE06C7"/>
    <w:rsid w:val="66CC6FD5"/>
    <w:rsid w:val="69390775"/>
    <w:rsid w:val="6D535020"/>
    <w:rsid w:val="6D5541A2"/>
    <w:rsid w:val="6FA803CC"/>
    <w:rsid w:val="71187AAD"/>
    <w:rsid w:val="73BF3510"/>
    <w:rsid w:val="74FA4F6E"/>
    <w:rsid w:val="788075B7"/>
    <w:rsid w:val="78C064CE"/>
    <w:rsid w:val="791A3DC9"/>
    <w:rsid w:val="79205C5E"/>
    <w:rsid w:val="7EC33E1E"/>
    <w:rsid w:val="7FED7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firstLine="420" w:firstLineChars="200"/>
    </w:pPr>
    <w:rPr>
      <w:rFonts w:ascii="Times New Roman"/>
    </w:rPr>
  </w:style>
  <w:style w:type="paragraph" w:styleId="3">
    <w:name w:val="Body Text Indent"/>
    <w:basedOn w:val="1"/>
    <w:qFormat/>
    <w:uiPriority w:val="99"/>
    <w:pPr>
      <w:ind w:left="420"/>
    </w:pPr>
    <w:rPr>
      <w:rFonts w:ascii="仿宋_GB2312" w:eastAsia="仿宋_GB2312"/>
    </w:rPr>
  </w:style>
  <w:style w:type="paragraph" w:styleId="5">
    <w:name w:val="Body Text"/>
    <w:basedOn w:val="1"/>
    <w:qFormat/>
    <w:uiPriority w:val="0"/>
    <w:pPr>
      <w:spacing w:line="380" w:lineRule="exact"/>
    </w:pPr>
    <w:rPr>
      <w:sz w:val="24"/>
    </w:rPr>
  </w:style>
  <w:style w:type="paragraph" w:styleId="6">
    <w:name w:val="Balloon Text"/>
    <w:basedOn w:val="1"/>
    <w:link w:val="20"/>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Fließtext3"/>
    <w:basedOn w:val="1"/>
    <w:qFormat/>
    <w:uiPriority w:val="0"/>
    <w:pPr>
      <w:overflowPunct w:val="0"/>
      <w:autoSpaceDE w:val="0"/>
      <w:autoSpaceDN w:val="0"/>
      <w:adjustRightInd w:val="0"/>
      <w:textAlignment w:val="baseline"/>
    </w:pPr>
    <w:rPr>
      <w:rFonts w:cs="Times New Roman"/>
      <w:kern w:val="28"/>
      <w:szCs w:val="20"/>
    </w:rPr>
  </w:style>
  <w:style w:type="character" w:customStyle="1" w:styleId="18">
    <w:name w:val="页眉 Char"/>
    <w:basedOn w:val="14"/>
    <w:link w:val="8"/>
    <w:qFormat/>
    <w:uiPriority w:val="0"/>
    <w:rPr>
      <w:rFonts w:asciiTheme="minorHAnsi" w:hAnsiTheme="minorHAnsi" w:eastAsiaTheme="minorEastAsia" w:cstheme="minorBidi"/>
      <w:kern w:val="2"/>
      <w:sz w:val="18"/>
      <w:szCs w:val="18"/>
    </w:rPr>
  </w:style>
  <w:style w:type="character" w:customStyle="1" w:styleId="19">
    <w:name w:val="页脚 Char"/>
    <w:basedOn w:val="14"/>
    <w:link w:val="7"/>
    <w:qFormat/>
    <w:uiPriority w:val="0"/>
    <w:rPr>
      <w:rFonts w:asciiTheme="minorHAnsi" w:hAnsiTheme="minorHAnsi" w:eastAsiaTheme="minorEastAsia" w:cstheme="minorBidi"/>
      <w:kern w:val="2"/>
      <w:sz w:val="18"/>
      <w:szCs w:val="18"/>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4049</Words>
  <Characters>4132</Characters>
  <Lines>13</Lines>
  <Paragraphs>13</Paragraphs>
  <TotalTime>37</TotalTime>
  <ScaleCrop>false</ScaleCrop>
  <LinksUpToDate>false</LinksUpToDate>
  <CharactersWithSpaces>4186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2019-12-09T02:07:00Z</dcterms:created>
  <dc:creator>lenovo</dc:creator>
  <cp:lastModifiedBy>彩虹</cp:lastModifiedBy>
  <cp:lastPrinted>2024-12-20T02:32:00Z</cp:lastPrinted>
  <dcterms:modified xsi:type="dcterms:W3CDTF">2024-12-20T09:21:51Z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7B22642D183E4B188C9576B7217C2503_13</vt:lpwstr>
  </property>
</Properties>
</file>