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89B5E">
      <w:pPr>
        <w:bidi w:val="0"/>
        <w:jc w:val="center"/>
        <w:rPr>
          <w:rFonts w:hint="eastAsia" w:ascii="方正小标宋简体" w:hAnsi="方正小标宋简体" w:eastAsia="方正小标宋简体" w:cs="方正小标宋简体"/>
          <w:color w:val="auto"/>
          <w:sz w:val="44"/>
          <w:szCs w:val="44"/>
          <w:lang w:eastAsia="zh-CN"/>
        </w:rPr>
      </w:pPr>
      <w:bookmarkStart w:id="0" w:name="_Toc70603989"/>
      <w:bookmarkStart w:id="8" w:name="_GoBack"/>
      <w:bookmarkEnd w:id="8"/>
    </w:p>
    <w:p w14:paraId="0FD8B3BA">
      <w:pPr>
        <w:bidi w:val="0"/>
        <w:jc w:val="center"/>
        <w:rPr>
          <w:rFonts w:hint="eastAsia" w:ascii="方正小标宋简体" w:hAnsi="方正小标宋简体" w:eastAsia="方正小标宋简体" w:cs="方正小标宋简体"/>
          <w:color w:val="auto"/>
          <w:sz w:val="44"/>
          <w:szCs w:val="44"/>
          <w:lang w:eastAsia="zh-CN"/>
        </w:rPr>
      </w:pPr>
    </w:p>
    <w:p w14:paraId="6D1FD64D">
      <w:pPr>
        <w:bidi w:val="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福建省三明</w:t>
      </w:r>
      <w:r>
        <w:rPr>
          <w:rFonts w:hint="eastAsia" w:ascii="方正小标宋简体" w:hAnsi="方正小标宋简体" w:eastAsia="方正小标宋简体" w:cs="方正小标宋简体"/>
          <w:color w:val="auto"/>
          <w:sz w:val="44"/>
          <w:szCs w:val="44"/>
        </w:rPr>
        <w:t>环境监测中心站实验室气</w:t>
      </w:r>
      <w:r>
        <w:rPr>
          <w:rFonts w:hint="eastAsia" w:ascii="方正小标宋简体" w:hAnsi="方正小标宋简体" w:eastAsia="方正小标宋简体" w:cs="方正小标宋简体"/>
          <w:color w:val="auto"/>
          <w:sz w:val="44"/>
          <w:szCs w:val="44"/>
          <w:lang w:val="en-US" w:eastAsia="zh-CN"/>
        </w:rPr>
        <w:t>体</w:t>
      </w:r>
    </w:p>
    <w:p w14:paraId="593AC098">
      <w:pPr>
        <w:bidi w:val="0"/>
        <w:jc w:val="center"/>
        <w:rPr>
          <w:rFonts w:hint="eastAsia" w:ascii="方正小标宋简体" w:eastAsia="方正小标宋简体" w:cs="Times New Roman"/>
          <w:color w:val="auto"/>
          <w:szCs w:val="48"/>
          <w:lang w:val="en-US" w:eastAsia="zh-CN"/>
        </w:rPr>
      </w:pPr>
      <w:r>
        <w:rPr>
          <w:rFonts w:hint="eastAsia" w:ascii="方正小标宋简体" w:hAnsi="方正小标宋简体" w:eastAsia="方正小标宋简体" w:cs="方正小标宋简体"/>
          <w:color w:val="auto"/>
          <w:sz w:val="44"/>
          <w:szCs w:val="44"/>
          <w:lang w:val="en-US" w:eastAsia="zh-CN"/>
        </w:rPr>
        <w:t>采购</w:t>
      </w:r>
      <w:r>
        <w:rPr>
          <w:rFonts w:hint="eastAsia" w:ascii="方正小标宋简体" w:hAnsi="方正小标宋简体" w:eastAsia="方正小标宋简体" w:cs="方正小标宋简体"/>
          <w:color w:val="auto"/>
          <w:sz w:val="44"/>
          <w:szCs w:val="44"/>
        </w:rPr>
        <w:t>项目</w:t>
      </w:r>
      <w:bookmarkEnd w:id="0"/>
      <w:r>
        <w:rPr>
          <w:rFonts w:hint="eastAsia" w:ascii="方正小标宋简体" w:hAnsi="方正小标宋简体" w:eastAsia="方正小标宋简体" w:cs="方正小标宋简体"/>
          <w:color w:val="auto"/>
          <w:sz w:val="44"/>
          <w:szCs w:val="44"/>
          <w:lang w:eastAsia="zh-CN"/>
        </w:rPr>
        <w:t>公告</w:t>
      </w:r>
    </w:p>
    <w:p w14:paraId="394FF61E">
      <w:pPr>
        <w:rPr>
          <w:color w:val="auto"/>
        </w:rPr>
      </w:pPr>
    </w:p>
    <w:p w14:paraId="3BAC6314">
      <w:pPr>
        <w:rPr>
          <w:color w:val="auto"/>
        </w:rPr>
      </w:pPr>
    </w:p>
    <w:p w14:paraId="052165F9">
      <w:pPr>
        <w:rPr>
          <w:color w:val="auto"/>
        </w:rPr>
      </w:pPr>
    </w:p>
    <w:p w14:paraId="0279CD6E">
      <w:pPr>
        <w:rPr>
          <w:color w:val="auto"/>
        </w:rPr>
      </w:pPr>
    </w:p>
    <w:p w14:paraId="6FF76367">
      <w:pPr>
        <w:rPr>
          <w:color w:val="auto"/>
        </w:rPr>
      </w:pPr>
    </w:p>
    <w:p w14:paraId="20F3B9F4">
      <w:pPr>
        <w:rPr>
          <w:color w:val="auto"/>
        </w:rPr>
      </w:pPr>
    </w:p>
    <w:p w14:paraId="2464595A">
      <w:pPr>
        <w:rPr>
          <w:color w:val="auto"/>
        </w:rPr>
      </w:pPr>
    </w:p>
    <w:p w14:paraId="7ADD6C76">
      <w:pPr>
        <w:rPr>
          <w:color w:val="auto"/>
        </w:rPr>
      </w:pPr>
    </w:p>
    <w:p w14:paraId="15BB85CB">
      <w:pPr>
        <w:rPr>
          <w:color w:val="auto"/>
        </w:rPr>
      </w:pPr>
    </w:p>
    <w:p w14:paraId="7E6127B6">
      <w:pPr>
        <w:rPr>
          <w:color w:val="auto"/>
        </w:rPr>
      </w:pPr>
    </w:p>
    <w:p w14:paraId="002D088D">
      <w:pPr>
        <w:rPr>
          <w:color w:val="auto"/>
        </w:rPr>
      </w:pPr>
    </w:p>
    <w:p w14:paraId="3179F0D5">
      <w:pPr>
        <w:rPr>
          <w:color w:val="auto"/>
        </w:rPr>
      </w:pPr>
    </w:p>
    <w:p w14:paraId="7EB21B91">
      <w:pPr>
        <w:ind w:firstLine="1606" w:firstLineChars="500"/>
        <w:rPr>
          <w:rFonts w:ascii="CESI仿宋-GB13000" w:hAnsi="CESI仿宋-GB13000" w:eastAsia="CESI仿宋-GB13000" w:cs="CESI仿宋-GB13000"/>
          <w:b/>
          <w:bCs/>
          <w:color w:val="auto"/>
          <w:sz w:val="32"/>
          <w:szCs w:val="32"/>
        </w:rPr>
      </w:pPr>
      <w:r>
        <w:rPr>
          <w:rFonts w:hint="eastAsia" w:ascii="CESI仿宋-GB13000" w:hAnsi="CESI仿宋-GB13000" w:eastAsia="CESI仿宋-GB13000" w:cs="CESI仿宋-GB13000"/>
          <w:b/>
          <w:bCs/>
          <w:color w:val="auto"/>
          <w:sz w:val="32"/>
          <w:szCs w:val="32"/>
        </w:rPr>
        <w:t>采购单位：</w:t>
      </w:r>
      <w:r>
        <w:rPr>
          <w:rFonts w:hint="eastAsia" w:ascii="CESI仿宋-GB13000" w:hAnsi="CESI仿宋-GB13000" w:eastAsia="CESI仿宋-GB13000" w:cs="CESI仿宋-GB13000"/>
          <w:b/>
          <w:bCs/>
          <w:color w:val="auto"/>
          <w:sz w:val="32"/>
          <w:szCs w:val="32"/>
          <w:lang w:eastAsia="zh-CN"/>
        </w:rPr>
        <w:t>福建省三明</w:t>
      </w:r>
      <w:r>
        <w:rPr>
          <w:rFonts w:hint="eastAsia" w:ascii="CESI仿宋-GB13000" w:hAnsi="CESI仿宋-GB13000" w:eastAsia="CESI仿宋-GB13000" w:cs="CESI仿宋-GB13000"/>
          <w:b/>
          <w:bCs/>
          <w:color w:val="auto"/>
          <w:sz w:val="32"/>
          <w:szCs w:val="32"/>
        </w:rPr>
        <w:t>环境监测中心站</w:t>
      </w:r>
    </w:p>
    <w:p w14:paraId="6E6180F4">
      <w:pPr>
        <w:ind w:firstLine="1606" w:firstLineChars="500"/>
        <w:rPr>
          <w:rFonts w:hint="default" w:ascii="CESI仿宋-GB13000" w:hAnsi="CESI仿宋-GB13000" w:eastAsia="仿宋_GB2312" w:cs="CESI仿宋-GB13000"/>
          <w:b/>
          <w:bCs/>
          <w:color w:val="auto"/>
          <w:sz w:val="32"/>
          <w:szCs w:val="32"/>
          <w:lang w:val="en-US" w:eastAsia="zh-CN"/>
        </w:rPr>
      </w:pPr>
      <w:r>
        <w:rPr>
          <w:rFonts w:hint="eastAsia" w:ascii="CESI仿宋-GB13000" w:hAnsi="CESI仿宋-GB13000" w:eastAsia="CESI仿宋-GB13000" w:cs="CESI仿宋-GB13000"/>
          <w:b/>
          <w:bCs/>
          <w:color w:val="auto"/>
          <w:sz w:val="32"/>
          <w:szCs w:val="32"/>
        </w:rPr>
        <w:t>项目编号：</w:t>
      </w:r>
      <w:r>
        <w:rPr>
          <w:rFonts w:hint="eastAsia" w:ascii="仿宋_GB2312" w:hAnsi="仿宋" w:eastAsia="仿宋_GB2312"/>
          <w:b/>
          <w:color w:val="auto"/>
          <w:sz w:val="32"/>
          <w:szCs w:val="24"/>
          <w:lang w:val="en-US" w:eastAsia="zh-CN"/>
        </w:rPr>
        <w:t>SMHJJC</w:t>
      </w:r>
      <w:r>
        <w:rPr>
          <w:rFonts w:hint="eastAsia" w:ascii="仿宋_GB2312" w:hAnsi="仿宋" w:eastAsia="仿宋_GB2312"/>
          <w:b/>
          <w:color w:val="auto"/>
          <w:sz w:val="32"/>
          <w:szCs w:val="24"/>
        </w:rPr>
        <w:t>20</w:t>
      </w:r>
      <w:r>
        <w:rPr>
          <w:rFonts w:hint="eastAsia" w:ascii="仿宋_GB2312" w:hAnsi="仿宋" w:eastAsia="仿宋_GB2312"/>
          <w:b/>
          <w:color w:val="auto"/>
          <w:sz w:val="32"/>
          <w:szCs w:val="24"/>
          <w:lang w:val="en-US" w:eastAsia="zh-CN"/>
        </w:rPr>
        <w:t>2505</w:t>
      </w:r>
    </w:p>
    <w:p w14:paraId="28D1CF59">
      <w:pPr>
        <w:ind w:firstLine="1606" w:firstLineChars="500"/>
        <w:rPr>
          <w:rFonts w:hint="default" w:ascii="CESI仿宋-GB13000" w:hAnsi="CESI仿宋-GB13000" w:eastAsia="CESI仿宋-GB13000" w:cs="CESI仿宋-GB13000"/>
          <w:color w:val="auto"/>
          <w:sz w:val="28"/>
          <w:szCs w:val="28"/>
          <w:lang w:val="en-US" w:eastAsia="zh-CN"/>
        </w:rPr>
      </w:pPr>
      <w:r>
        <w:rPr>
          <w:rFonts w:hint="eastAsia" w:ascii="CESI仿宋-GB13000" w:hAnsi="CESI仿宋-GB13000" w:eastAsia="CESI仿宋-GB13000" w:cs="CESI仿宋-GB13000"/>
          <w:b/>
          <w:bCs/>
          <w:color w:val="auto"/>
          <w:sz w:val="32"/>
          <w:szCs w:val="32"/>
        </w:rPr>
        <w:t>时    间：</w:t>
      </w:r>
      <w:r>
        <w:rPr>
          <w:rFonts w:hint="eastAsia" w:ascii="CESI仿宋-GB13000" w:hAnsi="CESI仿宋-GB13000" w:eastAsia="CESI仿宋-GB13000" w:cs="CESI仿宋-GB13000"/>
          <w:b/>
          <w:bCs/>
          <w:color w:val="auto"/>
          <w:sz w:val="32"/>
          <w:szCs w:val="32"/>
          <w:lang w:val="en-US" w:eastAsia="zh-CN"/>
        </w:rPr>
        <w:t>2025年10月</w:t>
      </w:r>
    </w:p>
    <w:p w14:paraId="085CA29E">
      <w:pPr>
        <w:rPr>
          <w:color w:val="auto"/>
        </w:rPr>
      </w:pPr>
    </w:p>
    <w:p w14:paraId="1BE40276">
      <w:pPr>
        <w:rPr>
          <w:color w:val="auto"/>
        </w:rPr>
      </w:pPr>
    </w:p>
    <w:p w14:paraId="36BAA691">
      <w:pPr>
        <w:rPr>
          <w:color w:val="auto"/>
        </w:rPr>
      </w:pPr>
    </w:p>
    <w:p w14:paraId="07B0C42B">
      <w:pPr>
        <w:rPr>
          <w:color w:val="auto"/>
        </w:rPr>
      </w:pPr>
    </w:p>
    <w:p w14:paraId="619CC3CB">
      <w:pPr>
        <w:rPr>
          <w:color w:val="auto"/>
        </w:rPr>
      </w:pPr>
    </w:p>
    <w:p w14:paraId="79E718D5">
      <w:pPr>
        <w:rPr>
          <w:color w:val="auto"/>
        </w:rPr>
      </w:pPr>
    </w:p>
    <w:p w14:paraId="33A901C3">
      <w:pPr>
        <w:rPr>
          <w:color w:val="auto"/>
        </w:rPr>
      </w:pPr>
    </w:p>
    <w:p w14:paraId="4CA7A215">
      <w:pPr>
        <w:rPr>
          <w:color w:val="auto"/>
        </w:rPr>
      </w:pPr>
    </w:p>
    <w:p w14:paraId="3FF9D8E6">
      <w:pPr>
        <w:rPr>
          <w:color w:val="auto"/>
        </w:rPr>
        <w:sectPr>
          <w:footerReference r:id="rId3" w:type="default"/>
          <w:pgSz w:w="11906" w:h="16838"/>
          <w:pgMar w:top="1440" w:right="1800" w:bottom="1440" w:left="1800" w:header="851" w:footer="992" w:gutter="0"/>
          <w:cols w:space="425" w:num="1"/>
          <w:docGrid w:type="lines" w:linePitch="312" w:charSpace="0"/>
        </w:sectPr>
      </w:pPr>
    </w:p>
    <w:p w14:paraId="0C6A5AAC">
      <w:pPr>
        <w:widowControl/>
        <w:jc w:val="center"/>
        <w:outlineLvl w:val="0"/>
        <w:rPr>
          <w:rFonts w:ascii="方正小标宋简体" w:hAnsi="宋体" w:eastAsia="方正小标宋简体" w:cs="隶书"/>
          <w:color w:val="auto"/>
          <w:sz w:val="36"/>
          <w:szCs w:val="36"/>
        </w:rPr>
      </w:pPr>
      <w:bookmarkStart w:id="1" w:name="_Toc29546"/>
      <w:bookmarkStart w:id="2" w:name="_Toc70603990"/>
      <w:r>
        <w:rPr>
          <w:rFonts w:hint="eastAsia" w:ascii="方正小标宋简体" w:hAnsi="Times New Roman" w:eastAsia="方正小标宋简体" w:cs="Times New Roman"/>
          <w:color w:val="auto"/>
          <w:sz w:val="36"/>
          <w:szCs w:val="36"/>
        </w:rPr>
        <w:t>第一章 采购邀请</w:t>
      </w:r>
      <w:bookmarkEnd w:id="1"/>
      <w:r>
        <w:rPr>
          <w:rFonts w:hint="eastAsia" w:ascii="方正小标宋简体" w:hAnsi="Times New Roman" w:eastAsia="方正小标宋简体" w:cs="Times New Roman"/>
          <w:color w:val="auto"/>
          <w:sz w:val="36"/>
          <w:szCs w:val="36"/>
        </w:rPr>
        <w:t>函</w:t>
      </w:r>
      <w:bookmarkEnd w:id="2"/>
    </w:p>
    <w:p w14:paraId="2F308D3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福建省</w:t>
      </w:r>
      <w:r>
        <w:rPr>
          <w:rFonts w:hint="eastAsia" w:ascii="仿宋_GB2312" w:hAnsi="仿宋_GB2312" w:eastAsia="仿宋_GB2312" w:cs="仿宋_GB2312"/>
          <w:color w:val="auto"/>
          <w:sz w:val="32"/>
          <w:szCs w:val="32"/>
          <w:lang w:eastAsia="zh-CN"/>
        </w:rPr>
        <w:t>三明</w:t>
      </w:r>
      <w:r>
        <w:rPr>
          <w:rFonts w:hint="eastAsia" w:ascii="仿宋_GB2312" w:hAnsi="仿宋_GB2312" w:eastAsia="仿宋_GB2312" w:cs="仿宋_GB2312"/>
          <w:color w:val="auto"/>
          <w:sz w:val="32"/>
          <w:szCs w:val="32"/>
        </w:rPr>
        <w:t>环境监测中心站对实验室</w:t>
      </w:r>
      <w:r>
        <w:rPr>
          <w:rFonts w:hint="eastAsia" w:ascii="仿宋_GB2312" w:hAnsi="仿宋_GB2312" w:eastAsia="仿宋_GB2312" w:cs="仿宋_GB2312"/>
          <w:color w:val="auto"/>
          <w:sz w:val="32"/>
          <w:szCs w:val="32"/>
          <w:lang w:val="en-US" w:eastAsia="zh-CN"/>
        </w:rPr>
        <w:t>气体</w:t>
      </w:r>
      <w:r>
        <w:rPr>
          <w:rFonts w:hint="eastAsia" w:ascii="仿宋_GB2312" w:hAnsi="仿宋_GB2312" w:eastAsia="仿宋_GB2312" w:cs="仿宋_GB2312"/>
          <w:color w:val="auto"/>
          <w:sz w:val="32"/>
          <w:szCs w:val="32"/>
        </w:rPr>
        <w:t>采购项目进行招标，现欢迎合格投标人前来提交密封的投标书。</w:t>
      </w:r>
    </w:p>
    <w:p w14:paraId="448F88A9">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一、招标方式：自行采购</w:t>
      </w:r>
    </w:p>
    <w:p w14:paraId="5DC0C6C6">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二、招标文件获取方式：</w:t>
      </w:r>
    </w:p>
    <w:p w14:paraId="0C9009FE">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公告电子版附件,请进入https://sthjt.fujian.gov.cn/zwgk/ghjh/下载。</w:t>
      </w:r>
    </w:p>
    <w:p w14:paraId="6696DB84">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三、投标截止时间：202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日17：00时（北京时间），投标人应在此之前将密封盖章的投标文件邮寄或送达招标联系人（邮寄的以收件人签收时间为准），逾期送达的或不符合规定的投标文件将被拒绝接受。</w:t>
      </w:r>
    </w:p>
    <w:p w14:paraId="38589350">
      <w:pPr>
        <w:ind w:firstLine="56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rPr>
        <w:t>四、投标文件送达地点：</w:t>
      </w:r>
      <w:r>
        <w:rPr>
          <w:rFonts w:hint="eastAsia" w:ascii="仿宋_GB2312" w:hAnsi="仿宋_GB2312" w:eastAsia="仿宋_GB2312" w:cs="仿宋_GB2312"/>
          <w:color w:val="auto"/>
          <w:sz w:val="32"/>
          <w:szCs w:val="32"/>
          <w:lang w:eastAsia="zh-CN"/>
        </w:rPr>
        <w:t>福建省</w:t>
      </w:r>
      <w:r>
        <w:rPr>
          <w:rFonts w:hint="eastAsia" w:ascii="仿宋_GB2312" w:hAnsi="仿宋_GB2312" w:eastAsia="仿宋_GB2312" w:cs="仿宋_GB2312"/>
          <w:color w:val="auto"/>
          <w:kern w:val="0"/>
          <w:sz w:val="32"/>
          <w:szCs w:val="32"/>
        </w:rPr>
        <w:t>三明市三元区绿岩新村76幢4</w:t>
      </w:r>
      <w:r>
        <w:rPr>
          <w:rFonts w:hint="eastAsia" w:ascii="仿宋_GB2312" w:hAnsi="仿宋_GB2312" w:eastAsia="仿宋_GB2312" w:cs="仿宋_GB2312"/>
          <w:color w:val="auto"/>
          <w:kern w:val="0"/>
          <w:sz w:val="32"/>
          <w:szCs w:val="32"/>
          <w:lang w:val="en-US" w:eastAsia="zh-CN"/>
        </w:rPr>
        <w:t>10室福建省三明环境监测中心站。</w:t>
      </w:r>
    </w:p>
    <w:p w14:paraId="39450EA8">
      <w:pPr>
        <w:ind w:firstLine="56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eastAsia="zh-CN"/>
        </w:rPr>
        <w:t>刘先生</w:t>
      </w:r>
      <w:r>
        <w:rPr>
          <w:rFonts w:hint="eastAsia" w:ascii="仿宋_GB2312" w:hAnsi="仿宋_GB2312" w:eastAsia="仿宋_GB2312" w:cs="仿宋_GB2312"/>
          <w:color w:val="auto"/>
          <w:sz w:val="32"/>
          <w:szCs w:val="32"/>
        </w:rPr>
        <w:t xml:space="preserve">  电话：</w:t>
      </w:r>
      <w:r>
        <w:rPr>
          <w:rFonts w:hint="eastAsia" w:ascii="仿宋_GB2312" w:hAnsi="仿宋_GB2312" w:eastAsia="仿宋_GB2312" w:cs="仿宋_GB2312"/>
          <w:color w:val="auto"/>
          <w:sz w:val="32"/>
          <w:szCs w:val="32"/>
          <w:lang w:val="en-US" w:eastAsia="zh-CN"/>
        </w:rPr>
        <w:t>0598-8236855</w:t>
      </w:r>
    </w:p>
    <w:p w14:paraId="46A2FB80">
      <w:pPr>
        <w:ind w:firstLine="560"/>
        <w:rPr>
          <w:rFonts w:hint="eastAsia" w:ascii="仿宋_GB2312" w:hAnsi="仿宋_GB2312" w:eastAsia="仿宋_GB2312" w:cs="仿宋_GB2312"/>
          <w:color w:val="auto"/>
          <w:sz w:val="32"/>
          <w:szCs w:val="32"/>
        </w:rPr>
      </w:pPr>
    </w:p>
    <w:p w14:paraId="55CA0AA4">
      <w:pPr>
        <w:ind w:firstLine="560"/>
        <w:rPr>
          <w:rFonts w:hint="eastAsia" w:ascii="仿宋_GB2312" w:hAnsi="仿宋_GB2312" w:eastAsia="仿宋_GB2312" w:cs="仿宋_GB2312"/>
          <w:color w:val="auto"/>
          <w:sz w:val="32"/>
          <w:szCs w:val="32"/>
        </w:rPr>
      </w:pPr>
    </w:p>
    <w:p w14:paraId="706711EE">
      <w:pPr>
        <w:wordWrap w:val="0"/>
        <w:ind w:firstLine="56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福建省三明环境监测中心站</w:t>
      </w:r>
    </w:p>
    <w:p w14:paraId="2593E8E5">
      <w:pPr>
        <w:wordWrap w:val="0"/>
        <w:ind w:firstLine="561"/>
        <w:jc w:val="center"/>
        <w:rPr>
          <w:rFonts w:ascii="CESI仿宋-GB2312" w:hAnsi="CESI仿宋-GB2312" w:eastAsia="CESI仿宋-GB2312" w:cs="CESI仿宋-GB2312"/>
          <w:color w:val="auto"/>
          <w:sz w:val="28"/>
          <w:szCs w:val="28"/>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w:t>
      </w:r>
    </w:p>
    <w:p w14:paraId="3C7148B8">
      <w:pPr>
        <w:ind w:firstLine="560"/>
        <w:jc w:val="right"/>
        <w:rPr>
          <w:rFonts w:ascii="Times New Roman" w:hAnsi="Times New Roman" w:eastAsia="仿宋_GB2312" w:cs="Times New Roman"/>
          <w:color w:val="auto"/>
        </w:rPr>
      </w:pPr>
    </w:p>
    <w:p w14:paraId="34D54729">
      <w:pPr>
        <w:widowControl/>
        <w:jc w:val="left"/>
        <w:rPr>
          <w:color w:val="auto"/>
        </w:rPr>
      </w:pPr>
      <w:r>
        <w:rPr>
          <w:color w:val="auto"/>
        </w:rPr>
        <w:br w:type="page"/>
      </w:r>
    </w:p>
    <w:p w14:paraId="657C59D1">
      <w:pPr>
        <w:jc w:val="center"/>
        <w:outlineLvl w:val="0"/>
        <w:rPr>
          <w:rFonts w:ascii="方正小标宋简体" w:eastAsia="方正小标宋简体"/>
          <w:b/>
          <w:bCs/>
          <w:color w:val="auto"/>
          <w:sz w:val="36"/>
          <w:szCs w:val="36"/>
        </w:rPr>
      </w:pPr>
      <w:bookmarkStart w:id="3" w:name="_Toc70603991"/>
      <w:r>
        <w:rPr>
          <w:rFonts w:hint="eastAsia" w:ascii="方正小标宋简体" w:eastAsia="方正小标宋简体"/>
          <w:b/>
          <w:bCs/>
          <w:color w:val="auto"/>
          <w:sz w:val="36"/>
          <w:szCs w:val="36"/>
        </w:rPr>
        <w:t>第二章 供应商须知</w:t>
      </w:r>
      <w:bookmarkEnd w:id="3"/>
    </w:p>
    <w:p w14:paraId="33EE0D85">
      <w:pPr>
        <w:keepNext w:val="0"/>
        <w:keepLines w:val="0"/>
        <w:pageBreakBefore w:val="0"/>
        <w:widowControl w:val="0"/>
        <w:kinsoku/>
        <w:wordWrap/>
        <w:overflowPunct/>
        <w:topLinePunct w:val="0"/>
        <w:bidi w:val="0"/>
        <w:adjustRightInd/>
        <w:snapToGrid/>
        <w:spacing w:line="240" w:lineRule="auto"/>
        <w:ind w:right="0" w:firstLine="560" w:firstLineChars="200"/>
        <w:jc w:val="left"/>
        <w:textAlignment w:val="auto"/>
        <w:rPr>
          <w:rFonts w:hint="eastAsia" w:ascii="仿宋_GB2312" w:hAnsi="仿宋_GB2312" w:eastAsia="仿宋_GB2312" w:cs="仿宋_GB2312"/>
          <w:b/>
          <w:bCs/>
          <w:color w:val="auto"/>
          <w:sz w:val="28"/>
          <w:szCs w:val="28"/>
        </w:rPr>
      </w:pPr>
      <w:r>
        <w:rPr>
          <w:rFonts w:hint="eastAsia" w:ascii="黑体" w:hAnsi="黑体" w:eastAsia="黑体" w:cs="黑体"/>
          <w:b w:val="0"/>
          <w:bCs w:val="0"/>
          <w:color w:val="auto"/>
          <w:sz w:val="28"/>
          <w:szCs w:val="28"/>
        </w:rPr>
        <w:t>一、项目概况</w:t>
      </w:r>
    </w:p>
    <w:p w14:paraId="034F883D">
      <w:pPr>
        <w:keepNext w:val="0"/>
        <w:keepLines w:val="0"/>
        <w:pageBreakBefore w:val="0"/>
        <w:widowControl w:val="0"/>
        <w:kinsoku/>
        <w:wordWrap/>
        <w:overflowPunct/>
        <w:topLinePunct w:val="0"/>
        <w:bidi w:val="0"/>
        <w:adjustRightInd/>
        <w:snapToGrid/>
        <w:spacing w:line="240" w:lineRule="auto"/>
        <w:ind w:right="0"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（一）项目名称：实验室</w:t>
      </w:r>
      <w:r>
        <w:rPr>
          <w:rFonts w:hint="eastAsia" w:ascii="仿宋_GB2312" w:hAnsi="仿宋_GB2312" w:eastAsia="仿宋_GB2312" w:cs="仿宋_GB2312"/>
          <w:color w:val="auto"/>
          <w:sz w:val="28"/>
          <w:szCs w:val="28"/>
          <w:lang w:val="en-US" w:eastAsia="zh-CN"/>
        </w:rPr>
        <w:t>气体采购</w:t>
      </w:r>
    </w:p>
    <w:p w14:paraId="75A76449">
      <w:pPr>
        <w:keepNext w:val="0"/>
        <w:keepLines w:val="0"/>
        <w:pageBreakBefore w:val="0"/>
        <w:widowControl w:val="0"/>
        <w:kinsoku/>
        <w:wordWrap/>
        <w:overflowPunct/>
        <w:topLinePunct w:val="0"/>
        <w:bidi w:val="0"/>
        <w:adjustRightInd/>
        <w:snapToGrid/>
        <w:spacing w:line="240" w:lineRule="auto"/>
        <w:ind w:right="0"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z w:val="28"/>
          <w:szCs w:val="28"/>
        </w:rPr>
        <w:t>（二）项目地址：</w:t>
      </w:r>
      <w:r>
        <w:rPr>
          <w:rFonts w:hint="eastAsia" w:ascii="仿宋_GB2312" w:hAnsi="仿宋_GB2312" w:eastAsia="仿宋_GB2312" w:cs="仿宋_GB2312"/>
          <w:color w:val="auto"/>
          <w:sz w:val="28"/>
          <w:szCs w:val="28"/>
          <w:lang w:eastAsia="zh-CN"/>
        </w:rPr>
        <w:t>福建省</w:t>
      </w:r>
      <w:r>
        <w:rPr>
          <w:rFonts w:hint="eastAsia" w:ascii="仿宋_GB2312" w:hAnsi="仿宋_GB2312" w:eastAsia="仿宋_GB2312" w:cs="仿宋_GB2312"/>
          <w:color w:val="auto"/>
          <w:kern w:val="0"/>
          <w:sz w:val="28"/>
          <w:szCs w:val="28"/>
        </w:rPr>
        <w:t>三明市三元区绿岩新村76幢</w:t>
      </w:r>
      <w:r>
        <w:rPr>
          <w:rFonts w:hint="eastAsia" w:ascii="仿宋_GB2312" w:hAnsi="仿宋_GB2312" w:eastAsia="仿宋_GB2312" w:cs="仿宋_GB2312"/>
          <w:color w:val="auto"/>
          <w:kern w:val="0"/>
          <w:sz w:val="28"/>
          <w:szCs w:val="28"/>
          <w:lang w:val="en-US" w:eastAsia="zh-CN"/>
        </w:rPr>
        <w:t>，福建省三明环境监测中心站。</w:t>
      </w:r>
    </w:p>
    <w:p w14:paraId="070E1629">
      <w:pPr>
        <w:keepNext w:val="0"/>
        <w:keepLines w:val="0"/>
        <w:pageBreakBefore w:val="0"/>
        <w:widowControl w:val="0"/>
        <w:kinsoku/>
        <w:wordWrap/>
        <w:overflowPunct/>
        <w:topLinePunct w:val="0"/>
        <w:bidi w:val="0"/>
        <w:adjustRightInd/>
        <w:snapToGrid/>
        <w:spacing w:line="240" w:lineRule="auto"/>
        <w:ind w:left="279" w:leftChars="133" w:right="0" w:firstLine="280" w:firstLineChars="1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（三）服务期限：2年</w:t>
      </w:r>
    </w:p>
    <w:p w14:paraId="18CECBA2">
      <w:pPr>
        <w:keepNext w:val="0"/>
        <w:keepLines w:val="0"/>
        <w:pageBreakBefore w:val="0"/>
        <w:widowControl w:val="0"/>
        <w:kinsoku/>
        <w:wordWrap/>
        <w:overflowPunct/>
        <w:topLinePunct w:val="0"/>
        <w:bidi w:val="0"/>
        <w:adjustRightInd/>
        <w:snapToGrid/>
        <w:spacing w:line="240" w:lineRule="auto"/>
        <w:ind w:right="0"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（四）预算金额：</w:t>
      </w:r>
      <w:r>
        <w:rPr>
          <w:rFonts w:hint="eastAsia" w:ascii="仿宋_GB2312" w:hAnsi="仿宋_GB2312" w:eastAsia="仿宋_GB2312" w:cs="仿宋_GB2312"/>
          <w:color w:val="auto"/>
          <w:sz w:val="28"/>
          <w:szCs w:val="28"/>
          <w:lang w:val="en-US" w:eastAsia="zh-CN"/>
        </w:rPr>
        <w:t>96010元/年（根据全年用气需求量估算）</w:t>
      </w:r>
    </w:p>
    <w:p w14:paraId="39C620F4">
      <w:pPr>
        <w:keepNext w:val="0"/>
        <w:keepLines w:val="0"/>
        <w:pageBreakBefore w:val="0"/>
        <w:widowControl w:val="0"/>
        <w:kinsoku/>
        <w:wordWrap/>
        <w:overflowPunct/>
        <w:topLinePunct w:val="0"/>
        <w:bidi w:val="0"/>
        <w:adjustRightInd/>
        <w:snapToGrid/>
        <w:spacing w:line="240" w:lineRule="auto"/>
        <w:ind w:right="0" w:firstLine="560" w:firstLineChars="200"/>
        <w:jc w:val="left"/>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五</w:t>
      </w:r>
      <w:r>
        <w:rPr>
          <w:rFonts w:hint="eastAsia" w:ascii="仿宋_GB2312" w:hAnsi="仿宋_GB2312" w:eastAsia="仿宋_GB2312" w:cs="仿宋_GB2312"/>
          <w:color w:val="auto"/>
          <w:sz w:val="28"/>
          <w:szCs w:val="28"/>
        </w:rPr>
        <w:t>）服务内容：采购人</w:t>
      </w:r>
      <w:r>
        <w:rPr>
          <w:rFonts w:hint="eastAsia" w:ascii="仿宋_GB2312" w:hAnsi="仿宋_GB2312" w:eastAsia="仿宋_GB2312" w:cs="仿宋_GB2312"/>
          <w:color w:val="auto"/>
          <w:sz w:val="28"/>
          <w:szCs w:val="36"/>
        </w:rPr>
        <w:t>按需购买，以实际用量结算。对于年度采购计划外的临时特殊情况采购，仍按本招标要求优质优价供货服务。供应商对所应标的货物应能满足相应国家标准方法的要求。</w:t>
      </w:r>
    </w:p>
    <w:p w14:paraId="55DFF5B6">
      <w:pPr>
        <w:keepNext w:val="0"/>
        <w:keepLines w:val="0"/>
        <w:pageBreakBefore w:val="0"/>
        <w:widowControl w:val="0"/>
        <w:kinsoku/>
        <w:wordWrap/>
        <w:overflowPunct/>
        <w:topLinePunct w:val="0"/>
        <w:bidi w:val="0"/>
        <w:adjustRightInd/>
        <w:snapToGrid/>
        <w:spacing w:line="240" w:lineRule="auto"/>
        <w:ind w:right="0" w:firstLine="560" w:firstLineChars="200"/>
        <w:textAlignment w:val="auto"/>
        <w:rPr>
          <w:rFonts w:hint="eastAsia" w:ascii="仿宋_GB2312" w:hAnsi="仿宋_GB2312" w:eastAsia="仿宋_GB2312" w:cs="仿宋_GB2312"/>
          <w:b/>
          <w:color w:val="auto"/>
          <w:sz w:val="28"/>
          <w:szCs w:val="28"/>
        </w:rPr>
      </w:pPr>
      <w:r>
        <w:rPr>
          <w:rFonts w:hint="eastAsia" w:ascii="黑体" w:hAnsi="黑体" w:eastAsia="黑体" w:cs="黑体"/>
          <w:b w:val="0"/>
          <w:bCs/>
          <w:color w:val="auto"/>
          <w:sz w:val="28"/>
          <w:szCs w:val="28"/>
        </w:rPr>
        <w:t>二、技术要求</w:t>
      </w:r>
    </w:p>
    <w:p w14:paraId="40A860FD">
      <w:pPr>
        <w:keepNext w:val="0"/>
        <w:keepLines w:val="0"/>
        <w:pageBreakBefore w:val="0"/>
        <w:widowControl w:val="0"/>
        <w:kinsoku/>
        <w:wordWrap/>
        <w:overflowPunct/>
        <w:topLinePunct w:val="0"/>
        <w:autoSpaceDE w:val="0"/>
        <w:autoSpaceDN w:val="0"/>
        <w:bidi w:val="0"/>
        <w:adjustRightInd/>
        <w:snapToGrid/>
        <w:spacing w:line="240" w:lineRule="auto"/>
        <w:ind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b/>
          <w:color w:val="auto"/>
          <w:sz w:val="28"/>
          <w:szCs w:val="28"/>
        </w:rPr>
        <w:t>气体</w:t>
      </w:r>
      <w:r>
        <w:rPr>
          <w:rFonts w:hint="eastAsia" w:ascii="仿宋_GB2312" w:hAnsi="仿宋_GB2312" w:eastAsia="仿宋_GB2312" w:cs="仿宋_GB2312"/>
          <w:b/>
          <w:color w:val="auto"/>
          <w:sz w:val="28"/>
          <w:szCs w:val="28"/>
          <w:lang w:eastAsia="zh-TW"/>
        </w:rPr>
        <w:t>用途</w:t>
      </w:r>
    </w:p>
    <w:p w14:paraId="7292D0BB">
      <w:pPr>
        <w:keepNext w:val="0"/>
        <w:keepLines w:val="0"/>
        <w:pageBreakBefore w:val="0"/>
        <w:widowControl w:val="0"/>
        <w:kinsoku/>
        <w:wordWrap/>
        <w:overflowPunct/>
        <w:topLinePunct w:val="0"/>
        <w:autoSpaceDE w:val="0"/>
        <w:autoSpaceDN w:val="0"/>
        <w:bidi w:val="0"/>
        <w:adjustRightInd/>
        <w:snapToGrid/>
        <w:spacing w:line="240" w:lineRule="auto"/>
        <w:ind w:right="0" w:firstLine="560"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仪器设备运行所需的各类气体。</w:t>
      </w:r>
    </w:p>
    <w:p w14:paraId="0B4B2B9F">
      <w:pPr>
        <w:keepNext w:val="0"/>
        <w:keepLines w:val="0"/>
        <w:pageBreakBefore w:val="0"/>
        <w:widowControl w:val="0"/>
        <w:kinsoku/>
        <w:wordWrap/>
        <w:overflowPunct/>
        <w:topLinePunct w:val="0"/>
        <w:bidi w:val="0"/>
        <w:adjustRightInd/>
        <w:snapToGrid/>
        <w:spacing w:line="240" w:lineRule="auto"/>
        <w:ind w:right="0" w:firstLine="560"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b/>
          <w:color w:val="auto"/>
          <w:sz w:val="28"/>
          <w:szCs w:val="28"/>
        </w:rPr>
        <w:t>气体种类及技术规格</w:t>
      </w:r>
    </w:p>
    <w:p w14:paraId="177518E7">
      <w:pPr>
        <w:keepNext w:val="0"/>
        <w:keepLines w:val="0"/>
        <w:pageBreakBefore w:val="0"/>
        <w:widowControl w:val="0"/>
        <w:numPr>
          <w:ilvl w:val="0"/>
          <w:numId w:val="0"/>
        </w:numPr>
        <w:kinsoku/>
        <w:wordWrap/>
        <w:overflowPunct/>
        <w:topLinePunct w:val="0"/>
        <w:bidi w:val="0"/>
        <w:adjustRightInd/>
        <w:snapToGrid/>
        <w:spacing w:line="240" w:lineRule="auto"/>
        <w:ind w:right="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投标人提供气体规格应优于或等于采购方提供的</w:t>
      </w:r>
      <w:r>
        <w:rPr>
          <w:rFonts w:hint="eastAsia" w:ascii="仿宋_GB2312" w:hAnsi="仿宋_GB2312" w:eastAsia="仿宋_GB2312" w:cs="仿宋_GB2312"/>
          <w:bCs/>
          <w:color w:val="auto"/>
          <w:sz w:val="28"/>
          <w:szCs w:val="28"/>
        </w:rPr>
        <w:t>表1《货物清单一览表》</w:t>
      </w:r>
      <w:r>
        <w:rPr>
          <w:rFonts w:hint="eastAsia" w:ascii="仿宋_GB2312" w:hAnsi="仿宋_GB2312" w:eastAsia="仿宋_GB2312" w:cs="仿宋_GB2312"/>
          <w:color w:val="auto"/>
          <w:sz w:val="28"/>
          <w:szCs w:val="28"/>
        </w:rPr>
        <w:t>指标，保障实验室气体的品质；</w:t>
      </w:r>
    </w:p>
    <w:p w14:paraId="74920B43">
      <w:pPr>
        <w:keepNext w:val="0"/>
        <w:keepLines w:val="0"/>
        <w:pageBreakBefore w:val="0"/>
        <w:widowControl w:val="0"/>
        <w:numPr>
          <w:ilvl w:val="0"/>
          <w:numId w:val="0"/>
        </w:numPr>
        <w:kinsoku/>
        <w:wordWrap/>
        <w:overflowPunct/>
        <w:topLinePunct w:val="0"/>
        <w:bidi w:val="0"/>
        <w:adjustRightInd/>
        <w:snapToGrid/>
        <w:spacing w:line="240" w:lineRule="auto"/>
        <w:ind w:right="0" w:firstLine="560" w:firstLineChars="200"/>
        <w:jc w:val="left"/>
        <w:textAlignment w:val="auto"/>
        <w:rPr>
          <w:rFonts w:ascii="宋体" w:hAnsi="宋体"/>
          <w:bCs/>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气体报价按照以下规格</w:t>
      </w:r>
      <w:r>
        <w:rPr>
          <w:rFonts w:hint="eastAsia" w:ascii="仿宋_GB2312" w:hAnsi="仿宋_GB2312" w:eastAsia="仿宋_GB2312" w:cs="仿宋_GB2312"/>
          <w:color w:val="auto"/>
          <w:sz w:val="28"/>
          <w:szCs w:val="28"/>
          <w:lang w:eastAsia="zh-CN"/>
        </w:rPr>
        <w:t>及数量</w:t>
      </w:r>
      <w:r>
        <w:rPr>
          <w:rFonts w:hint="eastAsia" w:ascii="仿宋_GB2312" w:hAnsi="仿宋_GB2312" w:eastAsia="仿宋_GB2312" w:cs="仿宋_GB2312"/>
          <w:bCs/>
          <w:color w:val="auto"/>
          <w:sz w:val="28"/>
          <w:szCs w:val="28"/>
        </w:rPr>
        <w:t>进行报价（含税，要详细列明所有费用）：</w:t>
      </w:r>
    </w:p>
    <w:p w14:paraId="4FCD1C8D">
      <w:pPr>
        <w:spacing w:line="276" w:lineRule="auto"/>
        <w:jc w:val="center"/>
        <w:rPr>
          <w:rFonts w:hint="eastAsia" w:ascii="仿宋_GB2312" w:hAnsi="仿宋_GB2312" w:eastAsia="仿宋_GB2312" w:cs="仿宋_GB2312"/>
          <w:bCs/>
          <w:color w:val="auto"/>
          <w:sz w:val="28"/>
          <w:szCs w:val="28"/>
        </w:rPr>
      </w:pPr>
    </w:p>
    <w:p w14:paraId="7DF73DA2">
      <w:pPr>
        <w:spacing w:line="276" w:lineRule="auto"/>
        <w:jc w:val="center"/>
        <w:rPr>
          <w:rFonts w:hint="eastAsia" w:ascii="仿宋_GB2312" w:hAnsi="仿宋_GB2312" w:eastAsia="仿宋_GB2312" w:cs="仿宋_GB2312"/>
          <w:bCs/>
          <w:color w:val="auto"/>
          <w:sz w:val="28"/>
          <w:szCs w:val="28"/>
        </w:rPr>
      </w:pPr>
    </w:p>
    <w:p w14:paraId="7E1787E9">
      <w:pPr>
        <w:spacing w:line="276" w:lineRule="auto"/>
        <w:jc w:val="center"/>
        <w:rPr>
          <w:rFonts w:hint="eastAsia" w:ascii="仿宋_GB2312" w:hAnsi="仿宋_GB2312" w:eastAsia="仿宋_GB2312" w:cs="仿宋_GB2312"/>
          <w:bCs/>
          <w:color w:val="auto"/>
          <w:sz w:val="28"/>
          <w:szCs w:val="28"/>
        </w:rPr>
      </w:pPr>
    </w:p>
    <w:p w14:paraId="1CF4F727">
      <w:pPr>
        <w:spacing w:line="276" w:lineRule="auto"/>
        <w:jc w:val="center"/>
        <w:rPr>
          <w:rFonts w:hint="eastAsia" w:ascii="仿宋_GB2312" w:hAnsi="仿宋_GB2312" w:eastAsia="仿宋_GB2312" w:cs="仿宋_GB2312"/>
          <w:bCs/>
          <w:color w:val="auto"/>
          <w:sz w:val="28"/>
          <w:szCs w:val="28"/>
        </w:rPr>
      </w:pPr>
    </w:p>
    <w:p w14:paraId="1C3856A6">
      <w:pPr>
        <w:spacing w:line="276" w:lineRule="auto"/>
        <w:jc w:val="center"/>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rPr>
        <w:t>表1 货物清单一览表</w:t>
      </w:r>
      <w:r>
        <w:rPr>
          <w:rFonts w:hint="eastAsia" w:ascii="仿宋_GB2312" w:hAnsi="仿宋_GB2312" w:eastAsia="仿宋_GB2312" w:cs="仿宋_GB2312"/>
          <w:bCs/>
          <w:color w:val="auto"/>
          <w:sz w:val="28"/>
          <w:szCs w:val="28"/>
          <w:lang w:eastAsia="zh-CN"/>
        </w:rPr>
        <w:t>（年用量）</w:t>
      </w:r>
    </w:p>
    <w:tbl>
      <w:tblPr>
        <w:tblStyle w:val="15"/>
        <w:tblW w:w="49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071"/>
        <w:gridCol w:w="2208"/>
        <w:gridCol w:w="696"/>
        <w:gridCol w:w="681"/>
        <w:gridCol w:w="1254"/>
        <w:gridCol w:w="1217"/>
        <w:gridCol w:w="850"/>
      </w:tblGrid>
      <w:tr w14:paraId="1DD5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53" w:type="pct"/>
            <w:vAlign w:val="center"/>
          </w:tcPr>
          <w:p w14:paraId="74D62246">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序号</w:t>
            </w:r>
          </w:p>
        </w:tc>
        <w:tc>
          <w:tcPr>
            <w:tcW w:w="638" w:type="pct"/>
            <w:vAlign w:val="center"/>
          </w:tcPr>
          <w:p w14:paraId="10B11B11">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产品名称</w:t>
            </w:r>
          </w:p>
        </w:tc>
        <w:tc>
          <w:tcPr>
            <w:tcW w:w="1314" w:type="pct"/>
            <w:vAlign w:val="center"/>
          </w:tcPr>
          <w:p w14:paraId="2A981448">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型号规格</w:t>
            </w:r>
          </w:p>
        </w:tc>
        <w:tc>
          <w:tcPr>
            <w:tcW w:w="414" w:type="pct"/>
            <w:vAlign w:val="center"/>
          </w:tcPr>
          <w:p w14:paraId="5D78EC7A">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数量</w:t>
            </w:r>
          </w:p>
        </w:tc>
        <w:tc>
          <w:tcPr>
            <w:tcW w:w="405" w:type="pct"/>
            <w:vAlign w:val="center"/>
          </w:tcPr>
          <w:p w14:paraId="1D755DEC">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单位</w:t>
            </w:r>
          </w:p>
        </w:tc>
        <w:tc>
          <w:tcPr>
            <w:tcW w:w="746" w:type="pct"/>
            <w:vAlign w:val="center"/>
          </w:tcPr>
          <w:p w14:paraId="26A869B9">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单价</w:t>
            </w:r>
          </w:p>
          <w:p w14:paraId="6F2427FB">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（元/瓶）</w:t>
            </w:r>
          </w:p>
        </w:tc>
        <w:tc>
          <w:tcPr>
            <w:tcW w:w="724" w:type="pct"/>
            <w:vAlign w:val="center"/>
          </w:tcPr>
          <w:p w14:paraId="60E28C35">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总</w:t>
            </w:r>
            <w:r>
              <w:rPr>
                <w:rFonts w:hint="eastAsia" w:ascii="仿宋_GB2312" w:hAnsi="仿宋_GB2312" w:eastAsia="仿宋_GB2312" w:cs="仿宋_GB2312"/>
                <w:color w:val="auto"/>
                <w:lang w:val="en-US" w:eastAsia="zh-CN"/>
              </w:rPr>
              <w:t>价</w:t>
            </w:r>
          </w:p>
          <w:p w14:paraId="31774A21">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（元）</w:t>
            </w:r>
          </w:p>
        </w:tc>
        <w:tc>
          <w:tcPr>
            <w:tcW w:w="503" w:type="pct"/>
            <w:vAlign w:val="center"/>
          </w:tcPr>
          <w:p w14:paraId="56B8CDE9">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备注</w:t>
            </w:r>
          </w:p>
        </w:tc>
      </w:tr>
      <w:tr w14:paraId="77AF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26" w:type="dxa"/>
            <w:vAlign w:val="center"/>
          </w:tcPr>
          <w:p w14:paraId="588E33A6">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1</w:t>
            </w:r>
          </w:p>
        </w:tc>
        <w:tc>
          <w:tcPr>
            <w:tcW w:w="1071" w:type="dxa"/>
            <w:vAlign w:val="center"/>
          </w:tcPr>
          <w:p w14:paraId="4D7D8368">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高纯氮气</w:t>
            </w:r>
          </w:p>
        </w:tc>
        <w:tc>
          <w:tcPr>
            <w:tcW w:w="2208" w:type="dxa"/>
            <w:vAlign w:val="center"/>
          </w:tcPr>
          <w:p w14:paraId="77FA5B11">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40L、 99.999%</w:t>
            </w:r>
          </w:p>
        </w:tc>
        <w:tc>
          <w:tcPr>
            <w:tcW w:w="696" w:type="dxa"/>
            <w:vAlign w:val="center"/>
          </w:tcPr>
          <w:p w14:paraId="165B774D">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30</w:t>
            </w:r>
          </w:p>
        </w:tc>
        <w:tc>
          <w:tcPr>
            <w:tcW w:w="681" w:type="dxa"/>
            <w:vAlign w:val="center"/>
          </w:tcPr>
          <w:p w14:paraId="22F7B8F3">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瓶</w:t>
            </w:r>
          </w:p>
        </w:tc>
        <w:tc>
          <w:tcPr>
            <w:tcW w:w="746" w:type="pct"/>
            <w:vAlign w:val="center"/>
          </w:tcPr>
          <w:p w14:paraId="24548912">
            <w:pPr>
              <w:jc w:val="center"/>
              <w:rPr>
                <w:rFonts w:hint="eastAsia" w:ascii="仿宋_GB2312" w:hAnsi="仿宋_GB2312" w:eastAsia="仿宋_GB2312" w:cs="仿宋_GB2312"/>
                <w:color w:val="auto"/>
                <w:lang w:val="en-US" w:eastAsia="zh-CN"/>
              </w:rPr>
            </w:pPr>
          </w:p>
        </w:tc>
        <w:tc>
          <w:tcPr>
            <w:tcW w:w="724" w:type="pct"/>
            <w:vAlign w:val="center"/>
          </w:tcPr>
          <w:p w14:paraId="377D73AB">
            <w:pPr>
              <w:jc w:val="center"/>
              <w:rPr>
                <w:rFonts w:hint="eastAsia" w:ascii="仿宋_GB2312" w:hAnsi="仿宋_GB2312" w:eastAsia="仿宋_GB2312" w:cs="仿宋_GB2312"/>
                <w:color w:val="auto"/>
                <w:sz w:val="22"/>
                <w:lang w:val="en-US" w:eastAsia="zh-CN"/>
              </w:rPr>
            </w:pPr>
          </w:p>
        </w:tc>
        <w:tc>
          <w:tcPr>
            <w:tcW w:w="503" w:type="pct"/>
            <w:vAlign w:val="center"/>
          </w:tcPr>
          <w:p w14:paraId="514E5C61">
            <w:pPr>
              <w:jc w:val="center"/>
              <w:rPr>
                <w:rFonts w:hint="eastAsia" w:ascii="仿宋_GB2312" w:hAnsi="仿宋_GB2312" w:eastAsia="仿宋_GB2312" w:cs="仿宋_GB2312"/>
                <w:color w:val="auto"/>
              </w:rPr>
            </w:pPr>
          </w:p>
        </w:tc>
      </w:tr>
      <w:tr w14:paraId="4296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26" w:type="dxa"/>
            <w:vAlign w:val="center"/>
          </w:tcPr>
          <w:p w14:paraId="16B64574">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2</w:t>
            </w:r>
          </w:p>
        </w:tc>
        <w:tc>
          <w:tcPr>
            <w:tcW w:w="1071" w:type="dxa"/>
            <w:vAlign w:val="center"/>
          </w:tcPr>
          <w:p w14:paraId="59B90649">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高纯氦气</w:t>
            </w:r>
          </w:p>
        </w:tc>
        <w:tc>
          <w:tcPr>
            <w:tcW w:w="2208" w:type="dxa"/>
            <w:vAlign w:val="center"/>
          </w:tcPr>
          <w:p w14:paraId="075D19B0">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40L、 99.999%</w:t>
            </w:r>
          </w:p>
        </w:tc>
        <w:tc>
          <w:tcPr>
            <w:tcW w:w="696" w:type="dxa"/>
            <w:vAlign w:val="center"/>
          </w:tcPr>
          <w:p w14:paraId="534DC8A1">
            <w:pPr>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5</w:t>
            </w:r>
          </w:p>
        </w:tc>
        <w:tc>
          <w:tcPr>
            <w:tcW w:w="681" w:type="dxa"/>
            <w:vAlign w:val="center"/>
          </w:tcPr>
          <w:p w14:paraId="440479EF">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瓶</w:t>
            </w:r>
          </w:p>
        </w:tc>
        <w:tc>
          <w:tcPr>
            <w:tcW w:w="746" w:type="pct"/>
            <w:vAlign w:val="center"/>
          </w:tcPr>
          <w:p w14:paraId="6AEFC3DD">
            <w:pPr>
              <w:jc w:val="center"/>
              <w:rPr>
                <w:rFonts w:hint="eastAsia" w:ascii="仿宋_GB2312" w:hAnsi="仿宋_GB2312" w:eastAsia="仿宋_GB2312" w:cs="仿宋_GB2312"/>
                <w:color w:val="auto"/>
                <w:lang w:val="en-US" w:eastAsia="zh-CN"/>
              </w:rPr>
            </w:pPr>
          </w:p>
        </w:tc>
        <w:tc>
          <w:tcPr>
            <w:tcW w:w="724" w:type="pct"/>
            <w:vAlign w:val="center"/>
          </w:tcPr>
          <w:p w14:paraId="00054B4A">
            <w:pPr>
              <w:jc w:val="center"/>
              <w:rPr>
                <w:rFonts w:hint="eastAsia" w:ascii="仿宋_GB2312" w:hAnsi="仿宋_GB2312" w:eastAsia="仿宋_GB2312" w:cs="仿宋_GB2312"/>
                <w:color w:val="auto"/>
                <w:sz w:val="22"/>
                <w:lang w:val="en-US" w:eastAsia="zh-CN"/>
              </w:rPr>
            </w:pPr>
          </w:p>
        </w:tc>
        <w:tc>
          <w:tcPr>
            <w:tcW w:w="503" w:type="pct"/>
            <w:vAlign w:val="center"/>
          </w:tcPr>
          <w:p w14:paraId="4F3EED62">
            <w:pPr>
              <w:jc w:val="center"/>
              <w:rPr>
                <w:rFonts w:hint="eastAsia" w:ascii="仿宋_GB2312" w:hAnsi="仿宋_GB2312" w:eastAsia="仿宋_GB2312" w:cs="仿宋_GB2312"/>
                <w:color w:val="auto"/>
              </w:rPr>
            </w:pPr>
          </w:p>
        </w:tc>
      </w:tr>
      <w:tr w14:paraId="7810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26" w:type="dxa"/>
            <w:vAlign w:val="center"/>
          </w:tcPr>
          <w:p w14:paraId="4C2DBF3E">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3</w:t>
            </w:r>
          </w:p>
        </w:tc>
        <w:tc>
          <w:tcPr>
            <w:tcW w:w="1071" w:type="dxa"/>
            <w:vAlign w:val="center"/>
          </w:tcPr>
          <w:p w14:paraId="50142BA7">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高纯空气</w:t>
            </w:r>
          </w:p>
        </w:tc>
        <w:tc>
          <w:tcPr>
            <w:tcW w:w="2208" w:type="dxa"/>
            <w:vAlign w:val="center"/>
          </w:tcPr>
          <w:p w14:paraId="15EF5672">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40L、 99.999%</w:t>
            </w:r>
          </w:p>
        </w:tc>
        <w:tc>
          <w:tcPr>
            <w:tcW w:w="696" w:type="dxa"/>
            <w:vAlign w:val="center"/>
          </w:tcPr>
          <w:p w14:paraId="1DABEFA6">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w:t>
            </w:r>
          </w:p>
        </w:tc>
        <w:tc>
          <w:tcPr>
            <w:tcW w:w="681" w:type="dxa"/>
            <w:vAlign w:val="center"/>
          </w:tcPr>
          <w:p w14:paraId="14872FC3">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瓶</w:t>
            </w:r>
          </w:p>
        </w:tc>
        <w:tc>
          <w:tcPr>
            <w:tcW w:w="746" w:type="pct"/>
            <w:vAlign w:val="center"/>
          </w:tcPr>
          <w:p w14:paraId="2D5F2D25">
            <w:pPr>
              <w:jc w:val="center"/>
              <w:rPr>
                <w:rFonts w:hint="eastAsia" w:ascii="仿宋_GB2312" w:hAnsi="仿宋_GB2312" w:eastAsia="仿宋_GB2312" w:cs="仿宋_GB2312"/>
                <w:color w:val="auto"/>
                <w:lang w:val="en-US" w:eastAsia="zh-CN"/>
              </w:rPr>
            </w:pPr>
          </w:p>
        </w:tc>
        <w:tc>
          <w:tcPr>
            <w:tcW w:w="724" w:type="pct"/>
            <w:vAlign w:val="center"/>
          </w:tcPr>
          <w:p w14:paraId="7AEA58C6">
            <w:pPr>
              <w:jc w:val="center"/>
              <w:rPr>
                <w:rFonts w:hint="eastAsia" w:ascii="仿宋_GB2312" w:hAnsi="仿宋_GB2312" w:eastAsia="仿宋_GB2312" w:cs="仿宋_GB2312"/>
                <w:color w:val="auto"/>
                <w:sz w:val="22"/>
                <w:lang w:val="en-US" w:eastAsia="zh-CN"/>
              </w:rPr>
            </w:pPr>
          </w:p>
        </w:tc>
        <w:tc>
          <w:tcPr>
            <w:tcW w:w="503" w:type="pct"/>
            <w:vAlign w:val="center"/>
          </w:tcPr>
          <w:p w14:paraId="41A9A51B">
            <w:pPr>
              <w:jc w:val="center"/>
              <w:rPr>
                <w:rFonts w:hint="eastAsia" w:ascii="仿宋_GB2312" w:hAnsi="仿宋_GB2312" w:eastAsia="仿宋_GB2312" w:cs="仿宋_GB2312"/>
                <w:color w:val="auto"/>
              </w:rPr>
            </w:pPr>
          </w:p>
        </w:tc>
      </w:tr>
      <w:tr w14:paraId="1874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26" w:type="dxa"/>
            <w:vAlign w:val="center"/>
          </w:tcPr>
          <w:p w14:paraId="0BF8C998">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4</w:t>
            </w:r>
          </w:p>
        </w:tc>
        <w:tc>
          <w:tcPr>
            <w:tcW w:w="1071" w:type="dxa"/>
            <w:vAlign w:val="center"/>
          </w:tcPr>
          <w:p w14:paraId="5E6C83A4">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高纯乙炔</w:t>
            </w:r>
          </w:p>
        </w:tc>
        <w:tc>
          <w:tcPr>
            <w:tcW w:w="2208" w:type="dxa"/>
            <w:vAlign w:val="center"/>
          </w:tcPr>
          <w:p w14:paraId="3F5F6AE6">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40L、 99.999%</w:t>
            </w:r>
          </w:p>
        </w:tc>
        <w:tc>
          <w:tcPr>
            <w:tcW w:w="696" w:type="dxa"/>
            <w:vAlign w:val="center"/>
          </w:tcPr>
          <w:p w14:paraId="33718C51">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w:t>
            </w:r>
          </w:p>
        </w:tc>
        <w:tc>
          <w:tcPr>
            <w:tcW w:w="681" w:type="dxa"/>
            <w:vAlign w:val="center"/>
          </w:tcPr>
          <w:p w14:paraId="2F8860FD">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瓶</w:t>
            </w:r>
          </w:p>
        </w:tc>
        <w:tc>
          <w:tcPr>
            <w:tcW w:w="746" w:type="pct"/>
            <w:vAlign w:val="center"/>
          </w:tcPr>
          <w:p w14:paraId="5048DF45">
            <w:pPr>
              <w:jc w:val="center"/>
              <w:rPr>
                <w:rFonts w:hint="eastAsia" w:ascii="仿宋_GB2312" w:hAnsi="仿宋_GB2312" w:eastAsia="仿宋_GB2312" w:cs="仿宋_GB2312"/>
                <w:color w:val="auto"/>
                <w:lang w:val="en-US" w:eastAsia="zh-CN"/>
              </w:rPr>
            </w:pPr>
          </w:p>
        </w:tc>
        <w:tc>
          <w:tcPr>
            <w:tcW w:w="724" w:type="pct"/>
            <w:vAlign w:val="center"/>
          </w:tcPr>
          <w:p w14:paraId="048F8629">
            <w:pPr>
              <w:jc w:val="center"/>
              <w:rPr>
                <w:rFonts w:hint="eastAsia" w:ascii="仿宋_GB2312" w:hAnsi="仿宋_GB2312" w:eastAsia="仿宋_GB2312" w:cs="仿宋_GB2312"/>
                <w:color w:val="auto"/>
                <w:sz w:val="22"/>
                <w:lang w:val="en-US" w:eastAsia="zh-CN"/>
              </w:rPr>
            </w:pPr>
          </w:p>
        </w:tc>
        <w:tc>
          <w:tcPr>
            <w:tcW w:w="503" w:type="pct"/>
            <w:vAlign w:val="center"/>
          </w:tcPr>
          <w:p w14:paraId="6643AE47">
            <w:pPr>
              <w:jc w:val="center"/>
              <w:rPr>
                <w:rFonts w:hint="eastAsia" w:ascii="仿宋_GB2312" w:hAnsi="仿宋_GB2312" w:eastAsia="仿宋_GB2312" w:cs="仿宋_GB2312"/>
                <w:color w:val="auto"/>
              </w:rPr>
            </w:pPr>
          </w:p>
        </w:tc>
      </w:tr>
      <w:tr w14:paraId="40A7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26" w:type="dxa"/>
            <w:vAlign w:val="center"/>
          </w:tcPr>
          <w:p w14:paraId="42DDAC19">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5</w:t>
            </w:r>
          </w:p>
        </w:tc>
        <w:tc>
          <w:tcPr>
            <w:tcW w:w="1071" w:type="dxa"/>
            <w:vAlign w:val="center"/>
          </w:tcPr>
          <w:p w14:paraId="2A6F4078">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高纯氩气</w:t>
            </w:r>
          </w:p>
        </w:tc>
        <w:tc>
          <w:tcPr>
            <w:tcW w:w="2208" w:type="dxa"/>
            <w:vAlign w:val="center"/>
          </w:tcPr>
          <w:p w14:paraId="5624EE3B">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40L、 99.999%</w:t>
            </w:r>
          </w:p>
        </w:tc>
        <w:tc>
          <w:tcPr>
            <w:tcW w:w="696" w:type="dxa"/>
            <w:vAlign w:val="center"/>
          </w:tcPr>
          <w:p w14:paraId="495B4433">
            <w:pPr>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120</w:t>
            </w:r>
          </w:p>
        </w:tc>
        <w:tc>
          <w:tcPr>
            <w:tcW w:w="681" w:type="dxa"/>
            <w:vAlign w:val="center"/>
          </w:tcPr>
          <w:p w14:paraId="3D13E952">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瓶</w:t>
            </w:r>
          </w:p>
        </w:tc>
        <w:tc>
          <w:tcPr>
            <w:tcW w:w="746" w:type="pct"/>
            <w:vAlign w:val="center"/>
          </w:tcPr>
          <w:p w14:paraId="044106B4">
            <w:pPr>
              <w:jc w:val="center"/>
              <w:rPr>
                <w:rFonts w:hint="eastAsia" w:ascii="仿宋_GB2312" w:hAnsi="仿宋_GB2312" w:eastAsia="仿宋_GB2312" w:cs="仿宋_GB2312"/>
                <w:color w:val="auto"/>
                <w:lang w:val="en-US" w:eastAsia="zh-CN"/>
              </w:rPr>
            </w:pPr>
          </w:p>
        </w:tc>
        <w:tc>
          <w:tcPr>
            <w:tcW w:w="724" w:type="pct"/>
            <w:vAlign w:val="center"/>
          </w:tcPr>
          <w:p w14:paraId="292A36D3">
            <w:pPr>
              <w:jc w:val="center"/>
              <w:rPr>
                <w:rFonts w:hint="eastAsia" w:ascii="仿宋_GB2312" w:hAnsi="仿宋_GB2312" w:eastAsia="仿宋_GB2312" w:cs="仿宋_GB2312"/>
                <w:color w:val="auto"/>
                <w:sz w:val="22"/>
                <w:lang w:val="en-US" w:eastAsia="zh-CN"/>
              </w:rPr>
            </w:pPr>
          </w:p>
        </w:tc>
        <w:tc>
          <w:tcPr>
            <w:tcW w:w="503" w:type="pct"/>
            <w:vAlign w:val="center"/>
          </w:tcPr>
          <w:p w14:paraId="6793C8CF">
            <w:pPr>
              <w:jc w:val="center"/>
              <w:rPr>
                <w:rFonts w:hint="eastAsia" w:ascii="仿宋_GB2312" w:hAnsi="仿宋_GB2312" w:eastAsia="仿宋_GB2312" w:cs="仿宋_GB2312"/>
                <w:color w:val="auto"/>
              </w:rPr>
            </w:pPr>
          </w:p>
        </w:tc>
      </w:tr>
      <w:tr w14:paraId="392A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26" w:type="dxa"/>
            <w:vAlign w:val="center"/>
          </w:tcPr>
          <w:p w14:paraId="73A11CF2">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6</w:t>
            </w:r>
          </w:p>
        </w:tc>
        <w:tc>
          <w:tcPr>
            <w:tcW w:w="1071" w:type="dxa"/>
            <w:vAlign w:val="center"/>
          </w:tcPr>
          <w:p w14:paraId="13885BDE">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高纯氢气</w:t>
            </w:r>
          </w:p>
        </w:tc>
        <w:tc>
          <w:tcPr>
            <w:tcW w:w="2208" w:type="dxa"/>
            <w:vAlign w:val="center"/>
          </w:tcPr>
          <w:p w14:paraId="17D079BE">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40L、 99.999%</w:t>
            </w:r>
          </w:p>
        </w:tc>
        <w:tc>
          <w:tcPr>
            <w:tcW w:w="696" w:type="dxa"/>
            <w:vAlign w:val="center"/>
          </w:tcPr>
          <w:p w14:paraId="057F5360">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w:t>
            </w:r>
          </w:p>
        </w:tc>
        <w:tc>
          <w:tcPr>
            <w:tcW w:w="681" w:type="dxa"/>
            <w:vAlign w:val="center"/>
          </w:tcPr>
          <w:p w14:paraId="2973DF76">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瓶</w:t>
            </w:r>
          </w:p>
        </w:tc>
        <w:tc>
          <w:tcPr>
            <w:tcW w:w="746" w:type="pct"/>
            <w:vAlign w:val="center"/>
          </w:tcPr>
          <w:p w14:paraId="17E679DA">
            <w:pPr>
              <w:jc w:val="center"/>
              <w:rPr>
                <w:rFonts w:hint="eastAsia" w:ascii="仿宋_GB2312" w:hAnsi="仿宋_GB2312" w:eastAsia="仿宋_GB2312" w:cs="仿宋_GB2312"/>
                <w:color w:val="auto"/>
                <w:lang w:val="en-US" w:eastAsia="zh-CN"/>
              </w:rPr>
            </w:pPr>
          </w:p>
        </w:tc>
        <w:tc>
          <w:tcPr>
            <w:tcW w:w="724" w:type="pct"/>
            <w:vAlign w:val="center"/>
          </w:tcPr>
          <w:p w14:paraId="7CA6C6CD">
            <w:pPr>
              <w:jc w:val="center"/>
              <w:rPr>
                <w:rFonts w:hint="eastAsia" w:ascii="仿宋_GB2312" w:hAnsi="仿宋_GB2312" w:eastAsia="仿宋_GB2312" w:cs="仿宋_GB2312"/>
                <w:color w:val="auto"/>
                <w:sz w:val="22"/>
                <w:lang w:val="en-US" w:eastAsia="zh-CN"/>
              </w:rPr>
            </w:pPr>
          </w:p>
        </w:tc>
        <w:tc>
          <w:tcPr>
            <w:tcW w:w="503" w:type="pct"/>
            <w:vAlign w:val="center"/>
          </w:tcPr>
          <w:p w14:paraId="392DE0E5">
            <w:pPr>
              <w:jc w:val="center"/>
              <w:rPr>
                <w:rFonts w:hint="eastAsia" w:ascii="仿宋_GB2312" w:hAnsi="仿宋_GB2312" w:eastAsia="仿宋_GB2312" w:cs="仿宋_GB2312"/>
                <w:color w:val="auto"/>
              </w:rPr>
            </w:pPr>
          </w:p>
        </w:tc>
      </w:tr>
      <w:tr w14:paraId="0DB7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26" w:type="dxa"/>
            <w:vAlign w:val="center"/>
          </w:tcPr>
          <w:p w14:paraId="48DBD581">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7</w:t>
            </w:r>
          </w:p>
        </w:tc>
        <w:tc>
          <w:tcPr>
            <w:tcW w:w="1071" w:type="dxa"/>
            <w:vAlign w:val="center"/>
          </w:tcPr>
          <w:p w14:paraId="04FB407C">
            <w:pPr>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纯氮气（普氮）</w:t>
            </w:r>
          </w:p>
        </w:tc>
        <w:tc>
          <w:tcPr>
            <w:tcW w:w="2208" w:type="dxa"/>
            <w:vAlign w:val="center"/>
          </w:tcPr>
          <w:p w14:paraId="484BC80E">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40L、 99.999%</w:t>
            </w:r>
          </w:p>
        </w:tc>
        <w:tc>
          <w:tcPr>
            <w:tcW w:w="696" w:type="dxa"/>
            <w:vAlign w:val="center"/>
          </w:tcPr>
          <w:p w14:paraId="11AF4B19">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20</w:t>
            </w:r>
          </w:p>
        </w:tc>
        <w:tc>
          <w:tcPr>
            <w:tcW w:w="681" w:type="dxa"/>
            <w:vAlign w:val="center"/>
          </w:tcPr>
          <w:p w14:paraId="2E3F2A2C">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瓶</w:t>
            </w:r>
          </w:p>
        </w:tc>
        <w:tc>
          <w:tcPr>
            <w:tcW w:w="746" w:type="pct"/>
            <w:vAlign w:val="center"/>
          </w:tcPr>
          <w:p w14:paraId="2492B4D3">
            <w:pPr>
              <w:jc w:val="center"/>
              <w:rPr>
                <w:rFonts w:hint="eastAsia" w:ascii="仿宋_GB2312" w:hAnsi="仿宋_GB2312" w:eastAsia="仿宋_GB2312" w:cs="仿宋_GB2312"/>
                <w:color w:val="auto"/>
                <w:lang w:val="en-US" w:eastAsia="zh-CN"/>
              </w:rPr>
            </w:pPr>
          </w:p>
        </w:tc>
        <w:tc>
          <w:tcPr>
            <w:tcW w:w="724" w:type="pct"/>
            <w:vAlign w:val="center"/>
          </w:tcPr>
          <w:p w14:paraId="3FB81CE2">
            <w:pPr>
              <w:jc w:val="center"/>
              <w:rPr>
                <w:rFonts w:hint="eastAsia" w:ascii="仿宋_GB2312" w:hAnsi="仿宋_GB2312" w:eastAsia="仿宋_GB2312" w:cs="仿宋_GB2312"/>
                <w:color w:val="auto"/>
                <w:sz w:val="22"/>
                <w:lang w:val="en-US" w:eastAsia="zh-CN"/>
              </w:rPr>
            </w:pPr>
          </w:p>
        </w:tc>
        <w:tc>
          <w:tcPr>
            <w:tcW w:w="503" w:type="pct"/>
            <w:vAlign w:val="center"/>
          </w:tcPr>
          <w:p w14:paraId="42B69295">
            <w:pPr>
              <w:jc w:val="center"/>
              <w:rPr>
                <w:rFonts w:hint="eastAsia" w:ascii="仿宋_GB2312" w:hAnsi="仿宋_GB2312" w:eastAsia="仿宋_GB2312" w:cs="仿宋_GB2312"/>
                <w:color w:val="auto"/>
              </w:rPr>
            </w:pPr>
          </w:p>
        </w:tc>
      </w:tr>
      <w:tr w14:paraId="2B23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26" w:type="dxa"/>
            <w:vAlign w:val="center"/>
          </w:tcPr>
          <w:p w14:paraId="1533AE95">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w:t>
            </w:r>
          </w:p>
        </w:tc>
        <w:tc>
          <w:tcPr>
            <w:tcW w:w="1071" w:type="dxa"/>
            <w:vAlign w:val="center"/>
          </w:tcPr>
          <w:p w14:paraId="4F58A51D">
            <w:pPr>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高纯液氮</w:t>
            </w:r>
          </w:p>
        </w:tc>
        <w:tc>
          <w:tcPr>
            <w:tcW w:w="2208" w:type="dxa"/>
            <w:vAlign w:val="center"/>
          </w:tcPr>
          <w:p w14:paraId="4B359FBA">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175L、 99.999%</w:t>
            </w:r>
          </w:p>
        </w:tc>
        <w:tc>
          <w:tcPr>
            <w:tcW w:w="696" w:type="dxa"/>
            <w:vAlign w:val="center"/>
          </w:tcPr>
          <w:p w14:paraId="15E69069">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p>
        </w:tc>
        <w:tc>
          <w:tcPr>
            <w:tcW w:w="681" w:type="dxa"/>
            <w:vAlign w:val="center"/>
          </w:tcPr>
          <w:p w14:paraId="07EC9C78">
            <w:pPr>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瓶</w:t>
            </w:r>
          </w:p>
        </w:tc>
        <w:tc>
          <w:tcPr>
            <w:tcW w:w="746" w:type="pct"/>
            <w:vAlign w:val="center"/>
          </w:tcPr>
          <w:p w14:paraId="421B1A25">
            <w:pPr>
              <w:jc w:val="center"/>
              <w:rPr>
                <w:rFonts w:hint="eastAsia" w:ascii="仿宋_GB2312" w:hAnsi="仿宋_GB2312" w:eastAsia="仿宋_GB2312" w:cs="仿宋_GB2312"/>
                <w:color w:val="auto"/>
                <w:lang w:val="en-US" w:eastAsia="zh-CN"/>
              </w:rPr>
            </w:pPr>
          </w:p>
        </w:tc>
        <w:tc>
          <w:tcPr>
            <w:tcW w:w="724" w:type="pct"/>
            <w:vAlign w:val="center"/>
          </w:tcPr>
          <w:p w14:paraId="54A2D3DD">
            <w:pPr>
              <w:jc w:val="center"/>
              <w:rPr>
                <w:rFonts w:hint="eastAsia" w:ascii="仿宋_GB2312" w:hAnsi="仿宋_GB2312" w:eastAsia="仿宋_GB2312" w:cs="仿宋_GB2312"/>
                <w:color w:val="auto"/>
                <w:sz w:val="22"/>
                <w:lang w:val="en-US" w:eastAsia="zh-CN"/>
              </w:rPr>
            </w:pPr>
          </w:p>
        </w:tc>
        <w:tc>
          <w:tcPr>
            <w:tcW w:w="503" w:type="pct"/>
            <w:vAlign w:val="center"/>
          </w:tcPr>
          <w:p w14:paraId="51F76C16">
            <w:pPr>
              <w:jc w:val="center"/>
              <w:rPr>
                <w:rFonts w:hint="eastAsia" w:ascii="仿宋_GB2312" w:hAnsi="仿宋_GB2312" w:eastAsia="仿宋_GB2312" w:cs="仿宋_GB2312"/>
                <w:color w:val="auto"/>
              </w:rPr>
            </w:pPr>
          </w:p>
        </w:tc>
      </w:tr>
      <w:tr w14:paraId="2571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26" w:type="dxa"/>
            <w:vAlign w:val="center"/>
          </w:tcPr>
          <w:p w14:paraId="7EE34746">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w:t>
            </w:r>
          </w:p>
        </w:tc>
        <w:tc>
          <w:tcPr>
            <w:tcW w:w="1071" w:type="dxa"/>
            <w:vAlign w:val="center"/>
          </w:tcPr>
          <w:p w14:paraId="6C7C16AD">
            <w:pPr>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高纯氮</w:t>
            </w:r>
          </w:p>
        </w:tc>
        <w:tc>
          <w:tcPr>
            <w:tcW w:w="2208" w:type="dxa"/>
            <w:vAlign w:val="center"/>
          </w:tcPr>
          <w:p w14:paraId="789E9B6C">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8L、 99.999%</w:t>
            </w:r>
          </w:p>
        </w:tc>
        <w:tc>
          <w:tcPr>
            <w:tcW w:w="696" w:type="dxa"/>
            <w:vAlign w:val="center"/>
          </w:tcPr>
          <w:p w14:paraId="62B106E2">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p>
        </w:tc>
        <w:tc>
          <w:tcPr>
            <w:tcW w:w="681" w:type="dxa"/>
            <w:vAlign w:val="center"/>
          </w:tcPr>
          <w:p w14:paraId="1FCAD74C">
            <w:pPr>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瓶</w:t>
            </w:r>
          </w:p>
        </w:tc>
        <w:tc>
          <w:tcPr>
            <w:tcW w:w="746" w:type="pct"/>
            <w:vAlign w:val="center"/>
          </w:tcPr>
          <w:p w14:paraId="2127963E">
            <w:pPr>
              <w:jc w:val="center"/>
              <w:rPr>
                <w:rFonts w:hint="eastAsia" w:ascii="仿宋_GB2312" w:hAnsi="仿宋_GB2312" w:eastAsia="仿宋_GB2312" w:cs="仿宋_GB2312"/>
                <w:color w:val="auto"/>
                <w:lang w:val="en-US" w:eastAsia="zh-CN"/>
              </w:rPr>
            </w:pPr>
          </w:p>
        </w:tc>
        <w:tc>
          <w:tcPr>
            <w:tcW w:w="724" w:type="pct"/>
            <w:vAlign w:val="center"/>
          </w:tcPr>
          <w:p w14:paraId="2DE9D526">
            <w:pPr>
              <w:jc w:val="center"/>
              <w:rPr>
                <w:rFonts w:hint="eastAsia" w:ascii="仿宋_GB2312" w:hAnsi="仿宋_GB2312" w:eastAsia="仿宋_GB2312" w:cs="仿宋_GB2312"/>
                <w:color w:val="auto"/>
                <w:sz w:val="22"/>
                <w:lang w:val="en-US" w:eastAsia="zh-CN"/>
              </w:rPr>
            </w:pPr>
          </w:p>
        </w:tc>
        <w:tc>
          <w:tcPr>
            <w:tcW w:w="503" w:type="pct"/>
            <w:vAlign w:val="center"/>
          </w:tcPr>
          <w:p w14:paraId="22C798CD">
            <w:pPr>
              <w:jc w:val="center"/>
              <w:rPr>
                <w:rFonts w:hint="eastAsia" w:ascii="仿宋_GB2312" w:hAnsi="仿宋_GB2312" w:eastAsia="仿宋_GB2312" w:cs="仿宋_GB2312"/>
                <w:color w:val="auto"/>
              </w:rPr>
            </w:pPr>
          </w:p>
        </w:tc>
      </w:tr>
      <w:tr w14:paraId="1521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1" w:type="pct"/>
            <w:gridSpan w:val="2"/>
            <w:vAlign w:val="center"/>
          </w:tcPr>
          <w:p w14:paraId="62993B77">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合计</w:t>
            </w:r>
          </w:p>
        </w:tc>
        <w:tc>
          <w:tcPr>
            <w:tcW w:w="2879" w:type="pct"/>
            <w:gridSpan w:val="4"/>
            <w:vAlign w:val="center"/>
          </w:tcPr>
          <w:p w14:paraId="397CD930">
            <w:pPr>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大写：</w:t>
            </w:r>
          </w:p>
        </w:tc>
        <w:tc>
          <w:tcPr>
            <w:tcW w:w="724" w:type="pct"/>
            <w:vAlign w:val="center"/>
          </w:tcPr>
          <w:p w14:paraId="7515EF89">
            <w:pPr>
              <w:jc w:val="center"/>
              <w:rPr>
                <w:rFonts w:hint="eastAsia" w:ascii="仿宋_GB2312" w:hAnsi="仿宋_GB2312" w:eastAsia="仿宋_GB2312" w:cs="仿宋_GB2312"/>
                <w:color w:val="auto"/>
                <w:lang w:val="en-US" w:eastAsia="zh-CN"/>
              </w:rPr>
            </w:pPr>
          </w:p>
        </w:tc>
        <w:tc>
          <w:tcPr>
            <w:tcW w:w="503" w:type="pct"/>
            <w:vAlign w:val="center"/>
          </w:tcPr>
          <w:p w14:paraId="78056841">
            <w:pPr>
              <w:jc w:val="center"/>
              <w:rPr>
                <w:rFonts w:hint="eastAsia" w:ascii="仿宋_GB2312" w:hAnsi="仿宋_GB2312" w:eastAsia="仿宋_GB2312" w:cs="仿宋_GB2312"/>
                <w:color w:val="auto"/>
                <w:lang w:val="en-US" w:eastAsia="zh-CN"/>
              </w:rPr>
            </w:pPr>
          </w:p>
        </w:tc>
      </w:tr>
      <w:tr w14:paraId="2B98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00" w:type="pct"/>
            <w:gridSpan w:val="8"/>
            <w:vAlign w:val="center"/>
          </w:tcPr>
          <w:p w14:paraId="76472B74">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备注：</w:t>
            </w:r>
            <w:r>
              <w:rPr>
                <w:rFonts w:hint="eastAsia" w:ascii="仿宋_GB2312" w:hAnsi="仿宋_GB2312" w:eastAsia="仿宋_GB2312" w:cs="仿宋_GB2312"/>
                <w:color w:val="auto"/>
                <w:lang w:eastAsia="zh-CN"/>
              </w:rPr>
              <w:t>单价含搬运费用，搬至我站四楼及以下楼层</w:t>
            </w:r>
            <w:r>
              <w:rPr>
                <w:rFonts w:hint="eastAsia" w:ascii="仿宋_GB2312" w:hAnsi="仿宋_GB2312" w:eastAsia="仿宋_GB2312" w:cs="仿宋_GB2312"/>
                <w:color w:val="auto"/>
                <w:lang w:val="en-US" w:eastAsia="zh-CN"/>
              </w:rPr>
              <w:t>实验室</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气瓶能与我站现有的共用。</w:t>
            </w:r>
          </w:p>
        </w:tc>
      </w:tr>
    </w:tbl>
    <w:p w14:paraId="6CDC358D">
      <w:pPr>
        <w:rPr>
          <w:color w:val="auto"/>
        </w:rPr>
      </w:pPr>
    </w:p>
    <w:p w14:paraId="0ECD017F">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3.如出现超出上述所列品种规格气体采购需求，本着优质优价原则，双方另行协商。</w:t>
      </w:r>
    </w:p>
    <w:p w14:paraId="0E2C1A3E">
      <w:pPr>
        <w:keepNext w:val="0"/>
        <w:keepLines w:val="0"/>
        <w:pageBreakBefore w:val="0"/>
        <w:widowControl w:val="0"/>
        <w:kinsoku/>
        <w:wordWrap/>
        <w:overflowPunct/>
        <w:topLinePunct w:val="0"/>
        <w:autoSpaceDE/>
        <w:autoSpaceDN/>
        <w:bidi w:val="0"/>
        <w:adjustRightInd/>
        <w:spacing w:line="240" w:lineRule="auto"/>
        <w:ind w:left="0" w:leftChars="0" w:firstLine="562"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（四）主要技术规格与要求</w:t>
      </w:r>
    </w:p>
    <w:p w14:paraId="504F937E">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气体出厂检验报告（合格证）。</w:t>
      </w:r>
    </w:p>
    <w:p w14:paraId="1B85490C">
      <w:pPr>
        <w:keepNext w:val="0"/>
        <w:keepLines w:val="0"/>
        <w:pageBreakBefore w:val="0"/>
        <w:widowControl w:val="0"/>
        <w:kinsoku/>
        <w:wordWrap/>
        <w:overflowPunct/>
        <w:topLinePunct w:val="0"/>
        <w:autoSpaceDE/>
        <w:autoSpaceDN/>
        <w:bidi w:val="0"/>
        <w:adjustRightInd/>
        <w:spacing w:line="240" w:lineRule="auto"/>
        <w:ind w:left="0" w:leftChars="0"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（五）技术服务</w:t>
      </w:r>
    </w:p>
    <w:p w14:paraId="24D876D7">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color w:val="auto"/>
          <w:sz w:val="28"/>
          <w:szCs w:val="28"/>
        </w:rPr>
      </w:pPr>
      <w:bookmarkStart w:id="4" w:name="_Toc496688914"/>
      <w:bookmarkStart w:id="5" w:name="_Toc496689561"/>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气体安装前应对采购人提供现场的安装和安全培训。</w:t>
      </w:r>
    </w:p>
    <w:p w14:paraId="5FCE9457">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应负责送货上门，将气瓶送到采购方指定的气瓶室或者仪器间并安装调试。承诺所提供气瓶能与本单位现有气瓶通用或免费更换。</w:t>
      </w:r>
    </w:p>
    <w:p w14:paraId="431A223C">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应在接到采购</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预订电话后</w:t>
      </w:r>
      <w:r>
        <w:rPr>
          <w:rFonts w:hint="eastAsia" w:ascii="仿宋_GB2312" w:hAnsi="仿宋_GB2312" w:eastAsia="仿宋_GB2312" w:cs="仿宋_GB2312"/>
          <w:color w:val="auto"/>
          <w:sz w:val="28"/>
          <w:szCs w:val="28"/>
          <w:lang w:val="en-US" w:eastAsia="zh-CN"/>
        </w:rPr>
        <w:t>48</w:t>
      </w:r>
      <w:r>
        <w:rPr>
          <w:rFonts w:hint="eastAsia" w:ascii="仿宋_GB2312" w:hAnsi="仿宋_GB2312" w:eastAsia="仿宋_GB2312" w:cs="仿宋_GB2312"/>
          <w:color w:val="auto"/>
          <w:sz w:val="28"/>
          <w:szCs w:val="28"/>
        </w:rPr>
        <w:t>小时内将气瓶送至预定地点。如遇节假日或其他特殊情况，中标</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无法在指定时间内送达，则需事先取得采购方的同意。</w:t>
      </w:r>
    </w:p>
    <w:p w14:paraId="0BC06E5E">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.中标人应确保提供的产品质量，如果因为产品质量问题造成采购人工作损失的，采购人有权终止合同，并要求赔偿损失。</w:t>
      </w:r>
    </w:p>
    <w:p w14:paraId="11C756CE">
      <w:pPr>
        <w:keepNext w:val="0"/>
        <w:keepLines w:val="0"/>
        <w:pageBreakBefore w:val="0"/>
        <w:widowControl w:val="0"/>
        <w:kinsoku/>
        <w:wordWrap/>
        <w:overflowPunct/>
        <w:topLinePunct w:val="0"/>
        <w:autoSpaceDE/>
        <w:autoSpaceDN/>
        <w:bidi w:val="0"/>
        <w:adjustRightInd/>
        <w:spacing w:line="240" w:lineRule="auto"/>
        <w:ind w:left="0" w:leftChars="0" w:firstLine="562"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（六）包装和运输</w:t>
      </w:r>
      <w:bookmarkEnd w:id="4"/>
      <w:bookmarkEnd w:id="5"/>
    </w:p>
    <w:p w14:paraId="1D3383D6">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包装应抗震、防潮、防冻、防锈，适于长途运输。投标人应对由于包装不当或防护措施不力而导致的商品损坏、损失、腐蚀、增加费用等后果负责。投标人负责货物送到采购人指定的地方，负责设备的发运、保险及运输产生的一切费用。</w:t>
      </w:r>
    </w:p>
    <w:p w14:paraId="6FA75660">
      <w:pPr>
        <w:keepNext w:val="0"/>
        <w:keepLines w:val="0"/>
        <w:pageBreakBefore w:val="0"/>
        <w:widowControl w:val="0"/>
        <w:kinsoku/>
        <w:wordWrap/>
        <w:overflowPunct/>
        <w:topLinePunct w:val="0"/>
        <w:autoSpaceDE/>
        <w:autoSpaceDN/>
        <w:bidi w:val="0"/>
        <w:adjustRightInd/>
        <w:spacing w:line="240" w:lineRule="auto"/>
        <w:ind w:left="0" w:leftChars="0" w:firstLine="562"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（七）订货数量</w:t>
      </w:r>
    </w:p>
    <w:p w14:paraId="75CD269C">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color w:val="auto"/>
          <w:sz w:val="28"/>
          <w:szCs w:val="28"/>
        </w:rPr>
      </w:pPr>
      <w:bookmarkStart w:id="6" w:name="_Toc496689563"/>
      <w:bookmarkStart w:id="7" w:name="_Toc496688916"/>
      <w:r>
        <w:rPr>
          <w:rFonts w:hint="eastAsia" w:ascii="仿宋_GB2312" w:hAnsi="仿宋_GB2312" w:eastAsia="仿宋_GB2312" w:cs="仿宋_GB2312"/>
          <w:color w:val="auto"/>
          <w:sz w:val="28"/>
          <w:szCs w:val="28"/>
        </w:rPr>
        <w:t>气体用量按实际需求订购。</w:t>
      </w:r>
    </w:p>
    <w:p w14:paraId="30C4641C">
      <w:pPr>
        <w:keepNext w:val="0"/>
        <w:keepLines w:val="0"/>
        <w:pageBreakBefore w:val="0"/>
        <w:widowControl w:val="0"/>
        <w:kinsoku/>
        <w:wordWrap/>
        <w:overflowPunct/>
        <w:topLinePunct w:val="0"/>
        <w:autoSpaceDE/>
        <w:autoSpaceDN/>
        <w:bidi w:val="0"/>
        <w:adjustRightInd/>
        <w:spacing w:line="240" w:lineRule="auto"/>
        <w:ind w:left="0" w:leftChars="0" w:firstLine="562"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（八）交货时间</w:t>
      </w:r>
      <w:bookmarkEnd w:id="6"/>
      <w:bookmarkEnd w:id="7"/>
    </w:p>
    <w:p w14:paraId="42777CA7">
      <w:pPr>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合同生效后开始供应气体。</w:t>
      </w:r>
    </w:p>
    <w:p w14:paraId="11073821">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三、应答要求</w:t>
      </w:r>
    </w:p>
    <w:p w14:paraId="2906A49F">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本次采购的气体为标准配置，投标人应对采购文件中所列的标准配置整体响应，报价时应详细列出标准配置中每一配置及附件的单价及总报价，以便于评审。</w:t>
      </w:r>
    </w:p>
    <w:p w14:paraId="60AB596C">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投标人</w:t>
      </w:r>
      <w:r>
        <w:rPr>
          <w:rFonts w:hint="eastAsia" w:ascii="仿宋_GB2312" w:hAnsi="仿宋_GB2312" w:eastAsia="仿宋_GB2312" w:cs="仿宋_GB2312"/>
          <w:bCs/>
          <w:color w:val="auto"/>
          <w:sz w:val="28"/>
          <w:szCs w:val="28"/>
          <w:lang w:eastAsia="zh-CN"/>
        </w:rPr>
        <w:t>参与报价的产品</w:t>
      </w:r>
      <w:r>
        <w:rPr>
          <w:rFonts w:hint="eastAsia" w:ascii="仿宋_GB2312" w:hAnsi="仿宋_GB2312" w:eastAsia="仿宋_GB2312" w:cs="仿宋_GB2312"/>
          <w:bCs/>
          <w:color w:val="auto"/>
          <w:sz w:val="28"/>
          <w:szCs w:val="28"/>
        </w:rPr>
        <w:t>须符合国家质量检测标准的，符合招标文件中的规格型号及配置要求的原厂商、全新和合法正规渠道的产品，该产品同时应符合制造商对其销售、代理、安装、信息和知识产权等要求，并在报价文件中加以说明。</w:t>
      </w:r>
    </w:p>
    <w:p w14:paraId="226F5425">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3</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中标供应商负责送货上门、安装调试等，所有气体的安装及运行均要符合国家有关的规定和标准，</w:t>
      </w:r>
      <w:r>
        <w:rPr>
          <w:rFonts w:hint="eastAsia" w:ascii="仿宋_GB2312" w:hAnsi="仿宋_GB2312" w:eastAsia="仿宋_GB2312" w:cs="仿宋_GB2312"/>
          <w:color w:val="auto"/>
          <w:sz w:val="28"/>
          <w:szCs w:val="28"/>
        </w:rPr>
        <w:t>运输费、保险费、安装调试费用及安全责任由中标供应商负责。</w:t>
      </w:r>
    </w:p>
    <w:p w14:paraId="246F2886">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投标文件应包含投标书、报价一览表、投标货物简要说明一览表、资格证明文件、售后服务承诺、质量保证承诺及本招标文件要求的其它主要内容，以上材料均须加盖报价投标人公章。</w:t>
      </w:r>
    </w:p>
    <w:p w14:paraId="3D857235">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5</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投标人若有其它优惠条件，应在投标文件中注明。</w:t>
      </w:r>
    </w:p>
    <w:p w14:paraId="4E228312">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jc w:val="left"/>
        <w:textAlignment w:val="auto"/>
        <w:rPr>
          <w:rFonts w:hint="eastAsia" w:ascii="仿宋_GB2312" w:hAnsi="仿宋_GB2312" w:eastAsia="仿宋_GB2312" w:cs="仿宋_GB2312"/>
          <w:b/>
          <w:bCs/>
          <w:color w:val="auto"/>
          <w:sz w:val="28"/>
          <w:szCs w:val="28"/>
        </w:rPr>
      </w:pPr>
      <w:r>
        <w:rPr>
          <w:rFonts w:hint="eastAsia" w:ascii="黑体" w:hAnsi="黑体" w:eastAsia="黑体" w:cs="黑体"/>
          <w:b w:val="0"/>
          <w:bCs w:val="0"/>
          <w:color w:val="auto"/>
          <w:sz w:val="28"/>
          <w:szCs w:val="28"/>
        </w:rPr>
        <w:t>四、投标文件</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color w:val="auto"/>
          <w:sz w:val="28"/>
          <w:szCs w:val="28"/>
        </w:rPr>
        <w:t>须盖单位公章）</w:t>
      </w:r>
    </w:p>
    <w:p w14:paraId="4CD8837B">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bCs/>
          <w:color w:val="auto"/>
          <w:sz w:val="28"/>
          <w:szCs w:val="28"/>
        </w:rPr>
      </w:pPr>
      <w:r>
        <w:rPr>
          <w:rFonts w:hint="default" w:ascii="仿宋_GB2312" w:hAnsi="仿宋_GB2312" w:eastAsia="仿宋_GB2312" w:cs="仿宋_GB2312"/>
          <w:bCs/>
          <w:color w:val="auto"/>
          <w:sz w:val="28"/>
          <w:szCs w:val="28"/>
        </w:rPr>
        <w:t>（一）投标文件要求</w:t>
      </w:r>
    </w:p>
    <w:p w14:paraId="4A6A6184">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default" w:ascii="仿宋_GB2312" w:hAnsi="仿宋_GB2312" w:eastAsia="仿宋_GB2312" w:cs="仿宋_GB2312"/>
          <w:bCs/>
          <w:color w:val="auto"/>
          <w:sz w:val="28"/>
          <w:szCs w:val="28"/>
        </w:rPr>
      </w:pPr>
      <w:r>
        <w:rPr>
          <w:rFonts w:hint="default" w:ascii="仿宋_GB2312" w:hAnsi="仿宋_GB2312" w:eastAsia="仿宋_GB2312" w:cs="仿宋_GB2312"/>
          <w:bCs/>
          <w:color w:val="auto"/>
          <w:sz w:val="28"/>
          <w:szCs w:val="28"/>
        </w:rPr>
        <w:t>1.投标人应按照资格、服务要求中的相关内容，提供全部相关证明材料。</w:t>
      </w:r>
    </w:p>
    <w:p w14:paraId="1DE9D912">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default" w:ascii="仿宋_GB2312" w:hAnsi="仿宋_GB2312" w:eastAsia="仿宋_GB2312" w:cs="仿宋_GB2312"/>
          <w:bCs/>
          <w:color w:val="auto"/>
          <w:sz w:val="28"/>
          <w:szCs w:val="28"/>
        </w:rPr>
      </w:pPr>
      <w:r>
        <w:rPr>
          <w:rFonts w:hint="default" w:ascii="仿宋_GB2312" w:hAnsi="仿宋_GB2312" w:eastAsia="仿宋_GB2312" w:cs="仿宋_GB2312"/>
          <w:bCs/>
          <w:color w:val="auto"/>
          <w:sz w:val="28"/>
          <w:szCs w:val="28"/>
        </w:rPr>
        <w:t>2.提交项目正式报价文件（需完整填写《</w:t>
      </w:r>
      <w:r>
        <w:rPr>
          <w:rFonts w:hint="eastAsia" w:ascii="仿宋_GB2312" w:hAnsi="仿宋_GB2312" w:eastAsia="仿宋_GB2312" w:cs="仿宋_GB2312"/>
          <w:bCs/>
          <w:color w:val="auto"/>
          <w:sz w:val="28"/>
          <w:szCs w:val="28"/>
          <w:lang w:eastAsia="zh-CN"/>
        </w:rPr>
        <w:t>货物清单</w:t>
      </w:r>
      <w:r>
        <w:rPr>
          <w:rFonts w:hint="default" w:ascii="仿宋_GB2312" w:hAnsi="仿宋_GB2312" w:eastAsia="仿宋_GB2312" w:cs="仿宋_GB2312"/>
          <w:bCs/>
          <w:color w:val="auto"/>
          <w:sz w:val="28"/>
          <w:szCs w:val="28"/>
        </w:rPr>
        <w:t>一览表》中各项目的单价及总价）。</w:t>
      </w:r>
    </w:p>
    <w:p w14:paraId="59C9829F">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default" w:ascii="仿宋_GB2312" w:hAnsi="仿宋_GB2312" w:eastAsia="仿宋_GB2312" w:cs="仿宋_GB2312"/>
          <w:bCs/>
          <w:color w:val="auto"/>
          <w:sz w:val="28"/>
          <w:szCs w:val="28"/>
        </w:rPr>
      </w:pPr>
      <w:r>
        <w:rPr>
          <w:rFonts w:hint="default" w:ascii="仿宋_GB2312" w:hAnsi="仿宋_GB2312" w:eastAsia="仿宋_GB2312" w:cs="仿宋_GB2312"/>
          <w:bCs/>
          <w:color w:val="auto"/>
          <w:sz w:val="28"/>
          <w:szCs w:val="28"/>
        </w:rPr>
        <w:t>3.投标文件中所有相关证明材料均应加盖投标人单位印章。</w:t>
      </w:r>
    </w:p>
    <w:p w14:paraId="4D49DD02">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default" w:ascii="仿宋_GB2312" w:hAnsi="仿宋_GB2312" w:eastAsia="仿宋_GB2312" w:cs="仿宋_GB2312"/>
          <w:bCs/>
          <w:color w:val="auto"/>
          <w:sz w:val="28"/>
          <w:szCs w:val="28"/>
        </w:rPr>
      </w:pPr>
      <w:r>
        <w:rPr>
          <w:rFonts w:hint="default" w:ascii="仿宋_GB2312" w:hAnsi="仿宋_GB2312" w:eastAsia="仿宋_GB2312" w:cs="仿宋_GB2312"/>
          <w:bCs/>
          <w:color w:val="auto"/>
          <w:sz w:val="28"/>
          <w:szCs w:val="28"/>
        </w:rPr>
        <w:t>4.投标文件必须装订成册，附全部投标材料清单目录，加盖骑缝章，并密封（封面注明项目名称和采购编号信息）送至采购人处，经审验如有不符或遗漏，视为投标文件作废。</w:t>
      </w:r>
    </w:p>
    <w:p w14:paraId="3589A1BE">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default" w:ascii="仿宋_GB2312" w:hAnsi="仿宋_GB2312" w:eastAsia="仿宋_GB2312" w:cs="仿宋_GB2312"/>
          <w:bCs/>
          <w:color w:val="auto"/>
          <w:sz w:val="28"/>
          <w:szCs w:val="28"/>
        </w:rPr>
      </w:pPr>
      <w:r>
        <w:rPr>
          <w:rFonts w:hint="default" w:ascii="仿宋_GB2312" w:hAnsi="仿宋_GB2312" w:eastAsia="仿宋_GB2312" w:cs="仿宋_GB2312"/>
          <w:bCs/>
          <w:color w:val="auto"/>
          <w:sz w:val="28"/>
          <w:szCs w:val="28"/>
        </w:rPr>
        <w:t>（二）投标时间</w:t>
      </w:r>
    </w:p>
    <w:p w14:paraId="33DD3051">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default" w:ascii="仿宋_GB2312" w:hAnsi="仿宋_GB2312" w:eastAsia="仿宋_GB2312" w:cs="仿宋_GB2312"/>
          <w:bCs/>
          <w:color w:val="auto"/>
          <w:sz w:val="28"/>
          <w:szCs w:val="28"/>
        </w:rPr>
      </w:pPr>
      <w:r>
        <w:rPr>
          <w:rFonts w:hint="default" w:ascii="仿宋_GB2312" w:hAnsi="仿宋_GB2312" w:eastAsia="仿宋_GB2312" w:cs="仿宋_GB2312"/>
          <w:bCs/>
          <w:color w:val="auto"/>
          <w:sz w:val="28"/>
          <w:szCs w:val="28"/>
        </w:rPr>
        <w:t>请于2025年</w:t>
      </w:r>
      <w:r>
        <w:rPr>
          <w:rFonts w:hint="eastAsia" w:ascii="仿宋_GB2312" w:hAnsi="仿宋_GB2312" w:eastAsia="仿宋_GB2312" w:cs="仿宋_GB2312"/>
          <w:bCs/>
          <w:color w:val="auto"/>
          <w:sz w:val="28"/>
          <w:szCs w:val="28"/>
          <w:lang w:val="en-US" w:eastAsia="zh-CN"/>
        </w:rPr>
        <w:t>10</w:t>
      </w:r>
      <w:r>
        <w:rPr>
          <w:rFonts w:hint="default"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16</w:t>
      </w:r>
      <w:r>
        <w:rPr>
          <w:rFonts w:hint="default" w:ascii="仿宋_GB2312" w:hAnsi="仿宋_GB2312" w:eastAsia="仿宋_GB2312" w:cs="仿宋_GB2312"/>
          <w:bCs/>
          <w:color w:val="auto"/>
          <w:sz w:val="28"/>
          <w:szCs w:val="28"/>
        </w:rPr>
        <w:t>日1</w:t>
      </w:r>
      <w:r>
        <w:rPr>
          <w:rFonts w:hint="eastAsia" w:ascii="仿宋_GB2312" w:hAnsi="仿宋_GB2312" w:eastAsia="仿宋_GB2312" w:cs="仿宋_GB2312"/>
          <w:bCs/>
          <w:color w:val="auto"/>
          <w:sz w:val="28"/>
          <w:szCs w:val="28"/>
          <w:lang w:val="en-US" w:eastAsia="zh-CN"/>
        </w:rPr>
        <w:t>7</w:t>
      </w:r>
      <w:r>
        <w:rPr>
          <w:rFonts w:hint="default" w:ascii="仿宋_GB2312" w:hAnsi="仿宋_GB2312" w:eastAsia="仿宋_GB2312" w:cs="仿宋_GB2312"/>
          <w:bCs/>
          <w:color w:val="auto"/>
          <w:sz w:val="28"/>
          <w:szCs w:val="28"/>
        </w:rPr>
        <w:t>：00（北京时间）之前将密封的投标文件送达福建省三明环境监测中心站410办公室（三明市三元区绿岩新村76幢），逾期送达的或不符合规定的投标文件将被拒绝接受。</w:t>
      </w:r>
    </w:p>
    <w:p w14:paraId="19A84FE6">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default" w:ascii="仿宋_GB2312" w:hAnsi="仿宋_GB2312" w:eastAsia="仿宋_GB2312" w:cs="仿宋_GB2312"/>
          <w:bCs/>
          <w:color w:val="auto"/>
          <w:sz w:val="28"/>
          <w:szCs w:val="28"/>
        </w:rPr>
      </w:pPr>
      <w:r>
        <w:rPr>
          <w:rFonts w:hint="default" w:ascii="仿宋_GB2312" w:hAnsi="仿宋_GB2312" w:eastAsia="仿宋_GB2312" w:cs="仿宋_GB2312"/>
          <w:bCs/>
          <w:color w:val="auto"/>
          <w:sz w:val="28"/>
          <w:szCs w:val="28"/>
        </w:rPr>
        <w:t>（三）咨询方式</w:t>
      </w:r>
    </w:p>
    <w:p w14:paraId="0F0D2A2E">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color w:val="auto"/>
          <w:sz w:val="28"/>
          <w:szCs w:val="28"/>
        </w:rPr>
      </w:pPr>
      <w:r>
        <w:rPr>
          <w:rFonts w:hint="default" w:ascii="仿宋_GB2312" w:hAnsi="仿宋_GB2312" w:eastAsia="仿宋_GB2312" w:cs="仿宋_GB2312"/>
          <w:bCs/>
          <w:color w:val="auto"/>
          <w:sz w:val="28"/>
          <w:szCs w:val="28"/>
        </w:rPr>
        <w:t>投标联系人：刘先生，电话0598-8236855。</w:t>
      </w:r>
    </w:p>
    <w:p w14:paraId="1AFB8E04">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jc w:val="left"/>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28"/>
        </w:rPr>
        <w:t>上列证明文件须盖单位公章，提交材料真实有效，如有不实或提供的文件不完整的，取消供应商报价资格。报价文件正本一份，副本</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份</w:t>
      </w:r>
      <w:r>
        <w:rPr>
          <w:rFonts w:hint="eastAsia" w:ascii="仿宋_GB2312" w:hAnsi="仿宋_GB2312" w:eastAsia="仿宋_GB2312" w:cs="仿宋_GB2312"/>
          <w:color w:val="auto"/>
          <w:sz w:val="28"/>
          <w:szCs w:val="36"/>
        </w:rPr>
        <w:t>。</w:t>
      </w:r>
    </w:p>
    <w:p w14:paraId="7654F657">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jc w:val="left"/>
        <w:textAlignment w:val="auto"/>
        <w:rPr>
          <w:rFonts w:hint="eastAsia" w:ascii="仿宋_GB2312" w:hAnsi="仿宋_GB2312" w:eastAsia="仿宋_GB2312" w:cs="仿宋_GB2312"/>
          <w:b/>
          <w:bCs/>
          <w:color w:val="auto"/>
          <w:sz w:val="28"/>
          <w:szCs w:val="28"/>
        </w:rPr>
      </w:pPr>
      <w:r>
        <w:rPr>
          <w:rFonts w:hint="eastAsia" w:ascii="黑体" w:hAnsi="黑体" w:eastAsia="黑体" w:cs="黑体"/>
          <w:b w:val="0"/>
          <w:bCs w:val="0"/>
          <w:color w:val="auto"/>
          <w:sz w:val="28"/>
          <w:szCs w:val="28"/>
        </w:rPr>
        <w:t>五、评标办法</w:t>
      </w:r>
    </w:p>
    <w:p w14:paraId="63BE6CFC">
      <w:pPr>
        <w:keepNext w:val="0"/>
        <w:keepLines w:val="0"/>
        <w:pageBreakBefore w:val="0"/>
        <w:widowControl w:val="0"/>
        <w:kinsoku/>
        <w:wordWrap/>
        <w:overflowPunct/>
        <w:topLinePunct w:val="0"/>
        <w:autoSpaceDE/>
        <w:autoSpaceDN/>
        <w:bidi w:val="0"/>
        <w:adjustRightInd/>
        <w:spacing w:line="240" w:lineRule="auto"/>
        <w:ind w:left="0" w:leftChars="0" w:firstLine="562"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最低评标价法</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color w:val="auto"/>
          <w:sz w:val="28"/>
          <w:szCs w:val="28"/>
        </w:rPr>
        <w:t>投标文件满足招标文件全部实质性要求且投标报价最低的供应商推荐为中标候选人。</w:t>
      </w:r>
    </w:p>
    <w:p w14:paraId="2C4F0E02">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六、定标原则</w:t>
      </w:r>
    </w:p>
    <w:p w14:paraId="7433EE10">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着公开、公平、公正的原则，本站将按规定程序对参与竞标单位的相关材料进行资格评审。若具备资格的投标供应商不足3家，本项目流标；具备资格的供应商有3家及以上参与且符合条件情况下，可以组织评审，选择报价最低的供应商作为本项目</w:t>
      </w:r>
      <w:r>
        <w:rPr>
          <w:rFonts w:hint="eastAsia" w:ascii="仿宋_GB2312" w:hAnsi="仿宋_GB2312" w:eastAsia="仿宋_GB2312" w:cs="仿宋_GB2312"/>
          <w:color w:val="auto"/>
          <w:sz w:val="28"/>
          <w:szCs w:val="28"/>
          <w:lang w:val="en-US" w:eastAsia="zh-CN"/>
        </w:rPr>
        <w:t>中标</w:t>
      </w:r>
      <w:r>
        <w:rPr>
          <w:rFonts w:hint="eastAsia" w:ascii="仿宋_GB2312" w:hAnsi="仿宋_GB2312" w:eastAsia="仿宋_GB2312" w:cs="仿宋_GB2312"/>
          <w:color w:val="auto"/>
          <w:sz w:val="28"/>
          <w:szCs w:val="28"/>
        </w:rPr>
        <w:t>单位。</w:t>
      </w:r>
    </w:p>
    <w:p w14:paraId="7549E4CC">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b/>
          <w:bCs/>
          <w:color w:val="auto"/>
          <w:sz w:val="28"/>
          <w:szCs w:val="28"/>
        </w:rPr>
      </w:pPr>
      <w:r>
        <w:rPr>
          <w:rFonts w:hint="eastAsia" w:ascii="黑体" w:hAnsi="黑体" w:eastAsia="黑体" w:cs="黑体"/>
          <w:b w:val="0"/>
          <w:bCs w:val="0"/>
          <w:color w:val="auto"/>
          <w:sz w:val="28"/>
          <w:szCs w:val="28"/>
        </w:rPr>
        <w:t>七、开标事项</w:t>
      </w:r>
    </w:p>
    <w:p w14:paraId="41DD996C">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本着公开、公平、公正的原则，由我站组成评审小组进行评定。双方所签订的合同不得对招标文件和中标供应商投标文件作实质性修改。中标单位收到中标通知书后十个工作日</w:t>
      </w:r>
      <w:r>
        <w:rPr>
          <w:rFonts w:hint="eastAsia" w:ascii="仿宋_GB2312" w:hAnsi="仿宋_GB2312" w:eastAsia="仿宋_GB2312" w:cs="仿宋_GB2312"/>
          <w:color w:val="auto"/>
          <w:sz w:val="28"/>
          <w:szCs w:val="28"/>
          <w:lang w:val="en-US" w:eastAsia="zh-CN"/>
        </w:rPr>
        <w:t>内</w:t>
      </w:r>
      <w:r>
        <w:rPr>
          <w:rFonts w:hint="eastAsia" w:ascii="仿宋_GB2312" w:hAnsi="仿宋_GB2312" w:eastAsia="仿宋_GB2312" w:cs="仿宋_GB2312"/>
          <w:color w:val="auto"/>
          <w:sz w:val="28"/>
          <w:szCs w:val="28"/>
        </w:rPr>
        <w:t>，与我站签订服务合同（协议），合同期为</w:t>
      </w:r>
      <w:r>
        <w:rPr>
          <w:rFonts w:hint="eastAsia" w:ascii="仿宋_GB2312" w:hAnsi="仿宋_GB2312" w:eastAsia="仿宋_GB2312" w:cs="仿宋_GB2312"/>
          <w:color w:val="auto"/>
          <w:sz w:val="28"/>
          <w:szCs w:val="28"/>
          <w:lang w:val="en-US" w:eastAsia="zh-CN"/>
        </w:rPr>
        <w:t>2年</w:t>
      </w:r>
      <w:r>
        <w:rPr>
          <w:rFonts w:hint="eastAsia" w:ascii="仿宋_GB2312" w:hAnsi="仿宋_GB2312" w:eastAsia="仿宋_GB2312" w:cs="仿宋_GB2312"/>
          <w:color w:val="auto"/>
          <w:sz w:val="28"/>
          <w:szCs w:val="28"/>
        </w:rPr>
        <w:t>。</w:t>
      </w:r>
    </w:p>
    <w:p w14:paraId="4B68DED5">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14:paraId="32B5FBDB">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（三）采购方在合同履行中，需追加与合同标的相同的货物或者服务的，在不改变合同其它条款的前提下，可与中标供应商协商签订补充合同。</w:t>
      </w:r>
    </w:p>
    <w:p w14:paraId="0D1D16A0">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b/>
          <w:bCs/>
          <w:color w:val="auto"/>
          <w:sz w:val="28"/>
          <w:szCs w:val="28"/>
        </w:rPr>
      </w:pPr>
      <w:r>
        <w:rPr>
          <w:rFonts w:hint="eastAsia" w:ascii="黑体" w:hAnsi="黑体" w:eastAsia="黑体" w:cs="黑体"/>
          <w:b w:val="0"/>
          <w:bCs w:val="0"/>
          <w:color w:val="auto"/>
          <w:sz w:val="28"/>
          <w:szCs w:val="28"/>
          <w:lang w:val="en-US" w:eastAsia="zh-CN"/>
        </w:rPr>
        <w:t>八</w:t>
      </w:r>
      <w:r>
        <w:rPr>
          <w:rFonts w:hint="eastAsia" w:ascii="黑体" w:hAnsi="黑体" w:eastAsia="黑体" w:cs="黑体"/>
          <w:b w:val="0"/>
          <w:bCs w:val="0"/>
          <w:color w:val="auto"/>
          <w:sz w:val="28"/>
          <w:szCs w:val="28"/>
        </w:rPr>
        <w:t>、结算方式</w:t>
      </w:r>
    </w:p>
    <w:p w14:paraId="3B0DE3E5">
      <w:pPr>
        <w:keepNext w:val="0"/>
        <w:keepLines w:val="0"/>
        <w:pageBreakBefore w:val="0"/>
        <w:widowControl w:val="0"/>
        <w:kinsoku/>
        <w:wordWrap/>
        <w:overflowPunct/>
        <w:topLinePunct w:val="0"/>
        <w:autoSpaceDE/>
        <w:autoSpaceDN/>
        <w:bidi w:val="0"/>
        <w:adjustRightInd/>
        <w:spacing w:line="240" w:lineRule="auto"/>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每批次验收合格后，按月结算，以当月实际采购数量和报价单价为准，采购方在收到正式发票后15个工作日内付清款项（年底如遇财政关帐则付款时间顺延）。</w:t>
      </w:r>
    </w:p>
    <w:p w14:paraId="363C7217">
      <w:pPr>
        <w:widowControl/>
        <w:spacing w:line="480" w:lineRule="exact"/>
        <w:jc w:val="left"/>
        <w:rPr>
          <w:color w:val="auto"/>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CESI仿宋-GB1300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4"/>
        <w:szCs w:val="24"/>
      </w:rPr>
      <w:id w:val="346932300"/>
    </w:sdtPr>
    <w:sdtEndPr>
      <w:rPr>
        <w:rFonts w:hint="eastAsia" w:ascii="宋体" w:hAnsi="宋体" w:eastAsia="宋体" w:cs="宋体"/>
        <w:sz w:val="24"/>
        <w:szCs w:val="24"/>
      </w:rPr>
    </w:sdtEndPr>
    <w:sdtContent>
      <w:p w14:paraId="2DCB84CE">
        <w:pPr>
          <w:pStyle w:val="9"/>
          <w:jc w:val="cente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2</w:t>
        </w:r>
        <w:r>
          <w:rPr>
            <w:rFonts w:hint="eastAsia" w:ascii="宋体" w:hAnsi="宋体" w:eastAsia="宋体" w:cs="宋体"/>
            <w:sz w:val="24"/>
            <w:szCs w:val="24"/>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YmQ1OGQxNzU2MDE4NjFiYTA3Y2VmYjI4NGFiZmUifQ=="/>
  </w:docVars>
  <w:rsids>
    <w:rsidRoot w:val="0096573E"/>
    <w:rsid w:val="000835F7"/>
    <w:rsid w:val="000A4399"/>
    <w:rsid w:val="000B49D3"/>
    <w:rsid w:val="000C2D79"/>
    <w:rsid w:val="000C53EC"/>
    <w:rsid w:val="000D776D"/>
    <w:rsid w:val="001528C5"/>
    <w:rsid w:val="002037B2"/>
    <w:rsid w:val="0023603E"/>
    <w:rsid w:val="002657F6"/>
    <w:rsid w:val="0026732D"/>
    <w:rsid w:val="002A1468"/>
    <w:rsid w:val="00364DC6"/>
    <w:rsid w:val="003848ED"/>
    <w:rsid w:val="003E790B"/>
    <w:rsid w:val="003F102C"/>
    <w:rsid w:val="0045082D"/>
    <w:rsid w:val="004908FC"/>
    <w:rsid w:val="004A2967"/>
    <w:rsid w:val="004B5333"/>
    <w:rsid w:val="00597130"/>
    <w:rsid w:val="005A4223"/>
    <w:rsid w:val="00606B3E"/>
    <w:rsid w:val="006A1623"/>
    <w:rsid w:val="006E29E5"/>
    <w:rsid w:val="00707BA7"/>
    <w:rsid w:val="00743FD3"/>
    <w:rsid w:val="0076316A"/>
    <w:rsid w:val="007E2384"/>
    <w:rsid w:val="00814CFD"/>
    <w:rsid w:val="00852BFD"/>
    <w:rsid w:val="008A57C9"/>
    <w:rsid w:val="008D034C"/>
    <w:rsid w:val="008D508C"/>
    <w:rsid w:val="008E52FD"/>
    <w:rsid w:val="008F4E52"/>
    <w:rsid w:val="00905413"/>
    <w:rsid w:val="0096573E"/>
    <w:rsid w:val="00A53426"/>
    <w:rsid w:val="00AA134E"/>
    <w:rsid w:val="00AD1E4D"/>
    <w:rsid w:val="00B048F2"/>
    <w:rsid w:val="00B07AEB"/>
    <w:rsid w:val="00BE618F"/>
    <w:rsid w:val="00BF28AD"/>
    <w:rsid w:val="00CD2DBF"/>
    <w:rsid w:val="00D16446"/>
    <w:rsid w:val="00D317A1"/>
    <w:rsid w:val="00D3438A"/>
    <w:rsid w:val="00D85CED"/>
    <w:rsid w:val="00D94B0A"/>
    <w:rsid w:val="00DC7135"/>
    <w:rsid w:val="00DE65D9"/>
    <w:rsid w:val="00E01646"/>
    <w:rsid w:val="00E62BB2"/>
    <w:rsid w:val="00EE1435"/>
    <w:rsid w:val="00EE7221"/>
    <w:rsid w:val="00F848FD"/>
    <w:rsid w:val="00FD6105"/>
    <w:rsid w:val="05373448"/>
    <w:rsid w:val="0633152E"/>
    <w:rsid w:val="073F6C00"/>
    <w:rsid w:val="077F220C"/>
    <w:rsid w:val="12CF8E53"/>
    <w:rsid w:val="17E37FDE"/>
    <w:rsid w:val="17EF49F8"/>
    <w:rsid w:val="17FB9324"/>
    <w:rsid w:val="1B471CD3"/>
    <w:rsid w:val="1BBF84FE"/>
    <w:rsid w:val="1DBBA61C"/>
    <w:rsid w:val="1EFDAB06"/>
    <w:rsid w:val="1F53D62A"/>
    <w:rsid w:val="1FABAFEC"/>
    <w:rsid w:val="1FCAF547"/>
    <w:rsid w:val="1FFF0FE1"/>
    <w:rsid w:val="1FFF81A7"/>
    <w:rsid w:val="21FF1B6C"/>
    <w:rsid w:val="2BF7B2D3"/>
    <w:rsid w:val="2BFF2409"/>
    <w:rsid w:val="2CF78DDC"/>
    <w:rsid w:val="2DFDFB4B"/>
    <w:rsid w:val="2E771EB5"/>
    <w:rsid w:val="2EFBAD5B"/>
    <w:rsid w:val="2F7F9B0A"/>
    <w:rsid w:val="315BF071"/>
    <w:rsid w:val="35F3E4DA"/>
    <w:rsid w:val="37376AF3"/>
    <w:rsid w:val="37D6135B"/>
    <w:rsid w:val="37F75EBF"/>
    <w:rsid w:val="3A561575"/>
    <w:rsid w:val="3A95D211"/>
    <w:rsid w:val="3ACCBE40"/>
    <w:rsid w:val="3BBB5347"/>
    <w:rsid w:val="3BF77820"/>
    <w:rsid w:val="3CF793BA"/>
    <w:rsid w:val="3D3186CD"/>
    <w:rsid w:val="3DEF6E7B"/>
    <w:rsid w:val="3DF7FA68"/>
    <w:rsid w:val="3EBFD9AC"/>
    <w:rsid w:val="3EFADA7E"/>
    <w:rsid w:val="3FAB861E"/>
    <w:rsid w:val="3FBF1593"/>
    <w:rsid w:val="3FDB6527"/>
    <w:rsid w:val="3FE90125"/>
    <w:rsid w:val="3FF8A402"/>
    <w:rsid w:val="3FFB06A1"/>
    <w:rsid w:val="46EF5443"/>
    <w:rsid w:val="471027EC"/>
    <w:rsid w:val="4BFFAA1E"/>
    <w:rsid w:val="4D7F4E0A"/>
    <w:rsid w:val="4FF7F9B3"/>
    <w:rsid w:val="51FED7AB"/>
    <w:rsid w:val="53EC13C2"/>
    <w:rsid w:val="54AE27FD"/>
    <w:rsid w:val="56B76DC3"/>
    <w:rsid w:val="57FE5910"/>
    <w:rsid w:val="586FBB51"/>
    <w:rsid w:val="597FA924"/>
    <w:rsid w:val="5AC40164"/>
    <w:rsid w:val="5AFB3E5E"/>
    <w:rsid w:val="5BD462C2"/>
    <w:rsid w:val="5CFF13AB"/>
    <w:rsid w:val="5DDEA586"/>
    <w:rsid w:val="5DFECE0B"/>
    <w:rsid w:val="5EE31CA0"/>
    <w:rsid w:val="5EE784C3"/>
    <w:rsid w:val="5EFA7CCD"/>
    <w:rsid w:val="5F57FF34"/>
    <w:rsid w:val="5FB45AE0"/>
    <w:rsid w:val="5FBE13A6"/>
    <w:rsid w:val="5FCEDA00"/>
    <w:rsid w:val="5FDB158E"/>
    <w:rsid w:val="60DC56ED"/>
    <w:rsid w:val="6235476D"/>
    <w:rsid w:val="64DBEBFC"/>
    <w:rsid w:val="64FFE89A"/>
    <w:rsid w:val="6673E5AF"/>
    <w:rsid w:val="6776B903"/>
    <w:rsid w:val="677F93F0"/>
    <w:rsid w:val="67E9AB82"/>
    <w:rsid w:val="67EC8291"/>
    <w:rsid w:val="67F3C37D"/>
    <w:rsid w:val="6AF5133D"/>
    <w:rsid w:val="6D3FF2A3"/>
    <w:rsid w:val="6DFBE9E0"/>
    <w:rsid w:val="6DFE2473"/>
    <w:rsid w:val="6E6530DA"/>
    <w:rsid w:val="6F6F601E"/>
    <w:rsid w:val="6F7B87A8"/>
    <w:rsid w:val="6F7C1F15"/>
    <w:rsid w:val="6FB6B912"/>
    <w:rsid w:val="6FB7384A"/>
    <w:rsid w:val="6FBB27F8"/>
    <w:rsid w:val="6FDB4C51"/>
    <w:rsid w:val="6FFB8F2F"/>
    <w:rsid w:val="6FFE1CEE"/>
    <w:rsid w:val="6FFF438D"/>
    <w:rsid w:val="6FFFD3BE"/>
    <w:rsid w:val="6FFFDAFB"/>
    <w:rsid w:val="70D6170E"/>
    <w:rsid w:val="715B5B65"/>
    <w:rsid w:val="71B80EEB"/>
    <w:rsid w:val="71FFAC37"/>
    <w:rsid w:val="72A73DA6"/>
    <w:rsid w:val="73CC4BFC"/>
    <w:rsid w:val="73CE7746"/>
    <w:rsid w:val="73D5B425"/>
    <w:rsid w:val="74B7269B"/>
    <w:rsid w:val="74BF6C0B"/>
    <w:rsid w:val="757DE146"/>
    <w:rsid w:val="773FA108"/>
    <w:rsid w:val="775BC7B9"/>
    <w:rsid w:val="778F23FF"/>
    <w:rsid w:val="77AE2F50"/>
    <w:rsid w:val="77AF7109"/>
    <w:rsid w:val="77FDBAF9"/>
    <w:rsid w:val="78FB1CCC"/>
    <w:rsid w:val="78FD23AE"/>
    <w:rsid w:val="7997A047"/>
    <w:rsid w:val="799FDA14"/>
    <w:rsid w:val="7AAEA67F"/>
    <w:rsid w:val="7AFE5F86"/>
    <w:rsid w:val="7B5BDC7F"/>
    <w:rsid w:val="7B7F9A0B"/>
    <w:rsid w:val="7BBC4C24"/>
    <w:rsid w:val="7BBF2937"/>
    <w:rsid w:val="7BBF36DB"/>
    <w:rsid w:val="7BEF049D"/>
    <w:rsid w:val="7BEFB269"/>
    <w:rsid w:val="7BF1369F"/>
    <w:rsid w:val="7BF9EBEC"/>
    <w:rsid w:val="7BFB03C5"/>
    <w:rsid w:val="7BFFCB16"/>
    <w:rsid w:val="7CD90BF7"/>
    <w:rsid w:val="7CEB8841"/>
    <w:rsid w:val="7CF798B5"/>
    <w:rsid w:val="7CFD5E24"/>
    <w:rsid w:val="7D3B1165"/>
    <w:rsid w:val="7D7BAF2D"/>
    <w:rsid w:val="7DFAF114"/>
    <w:rsid w:val="7DFBD44B"/>
    <w:rsid w:val="7E1F5CA0"/>
    <w:rsid w:val="7E3D9B0C"/>
    <w:rsid w:val="7ECF5812"/>
    <w:rsid w:val="7EDC407C"/>
    <w:rsid w:val="7EE955A8"/>
    <w:rsid w:val="7EFF6CE6"/>
    <w:rsid w:val="7F1BB702"/>
    <w:rsid w:val="7F2CA0AE"/>
    <w:rsid w:val="7F38DBF9"/>
    <w:rsid w:val="7F3A3508"/>
    <w:rsid w:val="7F3CA7E9"/>
    <w:rsid w:val="7F5F76F2"/>
    <w:rsid w:val="7F641989"/>
    <w:rsid w:val="7F7D58EC"/>
    <w:rsid w:val="7F7F442E"/>
    <w:rsid w:val="7FA543C6"/>
    <w:rsid w:val="7FAF628A"/>
    <w:rsid w:val="7FDB63A3"/>
    <w:rsid w:val="7FEF3F4D"/>
    <w:rsid w:val="7FEFE2D4"/>
    <w:rsid w:val="7FF4EF87"/>
    <w:rsid w:val="7FF72742"/>
    <w:rsid w:val="7FFA0937"/>
    <w:rsid w:val="7FFEF273"/>
    <w:rsid w:val="7FFF45D2"/>
    <w:rsid w:val="7FFF489B"/>
    <w:rsid w:val="836A9D3F"/>
    <w:rsid w:val="846CF09F"/>
    <w:rsid w:val="87D9125F"/>
    <w:rsid w:val="8AEDDECD"/>
    <w:rsid w:val="8BC7FBDC"/>
    <w:rsid w:val="9B6FDB6E"/>
    <w:rsid w:val="9D476963"/>
    <w:rsid w:val="9D4B5CFF"/>
    <w:rsid w:val="9EFECCAE"/>
    <w:rsid w:val="9F4B2670"/>
    <w:rsid w:val="9F7329B9"/>
    <w:rsid w:val="A5D9C807"/>
    <w:rsid w:val="A75AC284"/>
    <w:rsid w:val="AD5D419F"/>
    <w:rsid w:val="AEBB191F"/>
    <w:rsid w:val="AF5D4B4C"/>
    <w:rsid w:val="AF77B4D3"/>
    <w:rsid w:val="AF7B3F52"/>
    <w:rsid w:val="AFBF0162"/>
    <w:rsid w:val="AFEF9BA5"/>
    <w:rsid w:val="B23D6028"/>
    <w:rsid w:val="B39F8DA5"/>
    <w:rsid w:val="B3E515B8"/>
    <w:rsid w:val="B4F0B2C0"/>
    <w:rsid w:val="B6DF958C"/>
    <w:rsid w:val="B79B2B83"/>
    <w:rsid w:val="B79FD911"/>
    <w:rsid w:val="B7BDA911"/>
    <w:rsid w:val="B7DE08B8"/>
    <w:rsid w:val="B7EDB21D"/>
    <w:rsid w:val="B7F9CC52"/>
    <w:rsid w:val="B976C499"/>
    <w:rsid w:val="BA7B23C6"/>
    <w:rsid w:val="BACF4860"/>
    <w:rsid w:val="BB5FF0EE"/>
    <w:rsid w:val="BB776874"/>
    <w:rsid w:val="BCFF7C06"/>
    <w:rsid w:val="BDFE146E"/>
    <w:rsid w:val="BE3FEFB5"/>
    <w:rsid w:val="BE7E49FE"/>
    <w:rsid w:val="BE87D105"/>
    <w:rsid w:val="BEDBC7CB"/>
    <w:rsid w:val="BF328E29"/>
    <w:rsid w:val="BF6D9985"/>
    <w:rsid w:val="BF9FED25"/>
    <w:rsid w:val="BFB63B1C"/>
    <w:rsid w:val="BFBBA78C"/>
    <w:rsid w:val="BFE90F69"/>
    <w:rsid w:val="BFF3879A"/>
    <w:rsid w:val="BFFEB7B8"/>
    <w:rsid w:val="C5FB6CE2"/>
    <w:rsid w:val="C7EF9942"/>
    <w:rsid w:val="CB39D879"/>
    <w:rsid w:val="CDFDBC30"/>
    <w:rsid w:val="CEEBD718"/>
    <w:rsid w:val="CF3D0717"/>
    <w:rsid w:val="CF6F1E9B"/>
    <w:rsid w:val="CFC73E8F"/>
    <w:rsid w:val="CFFF7263"/>
    <w:rsid w:val="D3F10B40"/>
    <w:rsid w:val="D48BC9F5"/>
    <w:rsid w:val="D5BE97D6"/>
    <w:rsid w:val="D77D1B28"/>
    <w:rsid w:val="D7BEACAE"/>
    <w:rsid w:val="D7EEC6B7"/>
    <w:rsid w:val="D9FBD756"/>
    <w:rsid w:val="DA4F2C92"/>
    <w:rsid w:val="DB135650"/>
    <w:rsid w:val="DB7F1A84"/>
    <w:rsid w:val="DBDD6F29"/>
    <w:rsid w:val="DBFEDA26"/>
    <w:rsid w:val="DD762560"/>
    <w:rsid w:val="DD9B1356"/>
    <w:rsid w:val="DDBB2A07"/>
    <w:rsid w:val="DDC50CA1"/>
    <w:rsid w:val="DDC768C3"/>
    <w:rsid w:val="DDDA2C07"/>
    <w:rsid w:val="DDF98297"/>
    <w:rsid w:val="DDFFA38B"/>
    <w:rsid w:val="DE9FDDC1"/>
    <w:rsid w:val="DF3F8436"/>
    <w:rsid w:val="DFEF7360"/>
    <w:rsid w:val="DFF7E9E8"/>
    <w:rsid w:val="DFFF5956"/>
    <w:rsid w:val="E1F77128"/>
    <w:rsid w:val="E34B8A97"/>
    <w:rsid w:val="E530A300"/>
    <w:rsid w:val="E5FF2856"/>
    <w:rsid w:val="E6EBA41E"/>
    <w:rsid w:val="E7772C1A"/>
    <w:rsid w:val="E7BB5AC7"/>
    <w:rsid w:val="E9F71EFB"/>
    <w:rsid w:val="EA7F447E"/>
    <w:rsid w:val="EAFA976A"/>
    <w:rsid w:val="EB03AB7E"/>
    <w:rsid w:val="EBCFA048"/>
    <w:rsid w:val="EBDF4270"/>
    <w:rsid w:val="EBEC13A7"/>
    <w:rsid w:val="ED9C60F9"/>
    <w:rsid w:val="EDCD907C"/>
    <w:rsid w:val="EDEF1991"/>
    <w:rsid w:val="EDF71342"/>
    <w:rsid w:val="EDFD5180"/>
    <w:rsid w:val="EECEA1F1"/>
    <w:rsid w:val="EED6DD8A"/>
    <w:rsid w:val="EF8DB0E6"/>
    <w:rsid w:val="EFAD0EDD"/>
    <w:rsid w:val="EFB739AF"/>
    <w:rsid w:val="EFBD99DA"/>
    <w:rsid w:val="EFCE8969"/>
    <w:rsid w:val="EFCEFBA5"/>
    <w:rsid w:val="EFDFBED5"/>
    <w:rsid w:val="EFFF14A9"/>
    <w:rsid w:val="F17AC415"/>
    <w:rsid w:val="F1CEA7B9"/>
    <w:rsid w:val="F23FF65F"/>
    <w:rsid w:val="F4BB8A9B"/>
    <w:rsid w:val="F5B7F692"/>
    <w:rsid w:val="F5FE9968"/>
    <w:rsid w:val="F6FF56E7"/>
    <w:rsid w:val="F75B6EC2"/>
    <w:rsid w:val="F77AAFCB"/>
    <w:rsid w:val="F77F414C"/>
    <w:rsid w:val="F7EF8A65"/>
    <w:rsid w:val="F7FF3D03"/>
    <w:rsid w:val="F9F745DA"/>
    <w:rsid w:val="F9FD2047"/>
    <w:rsid w:val="F9FD4357"/>
    <w:rsid w:val="F9FF0A2F"/>
    <w:rsid w:val="FABFAB82"/>
    <w:rsid w:val="FAD2DBDA"/>
    <w:rsid w:val="FADD2EA5"/>
    <w:rsid w:val="FB7E255A"/>
    <w:rsid w:val="FB8F979D"/>
    <w:rsid w:val="FBAF3AC2"/>
    <w:rsid w:val="FBDF5D6F"/>
    <w:rsid w:val="FBDFE258"/>
    <w:rsid w:val="FBE565F1"/>
    <w:rsid w:val="FC639547"/>
    <w:rsid w:val="FC7A7C1B"/>
    <w:rsid w:val="FCDF9DBE"/>
    <w:rsid w:val="FD3716EA"/>
    <w:rsid w:val="FD7BD548"/>
    <w:rsid w:val="FDAF0A80"/>
    <w:rsid w:val="FDBDDE08"/>
    <w:rsid w:val="FDCDC5F0"/>
    <w:rsid w:val="FDDF6A27"/>
    <w:rsid w:val="FDDFDBAA"/>
    <w:rsid w:val="FDEF6C9D"/>
    <w:rsid w:val="FDF47018"/>
    <w:rsid w:val="FDFF2AA8"/>
    <w:rsid w:val="FE3F9A37"/>
    <w:rsid w:val="FE69CC60"/>
    <w:rsid w:val="FE6FEE78"/>
    <w:rsid w:val="FE734873"/>
    <w:rsid w:val="FEAE294B"/>
    <w:rsid w:val="FECF94D2"/>
    <w:rsid w:val="FEDF1A1A"/>
    <w:rsid w:val="FEE1202C"/>
    <w:rsid w:val="FEEF73F7"/>
    <w:rsid w:val="FEF278AB"/>
    <w:rsid w:val="FEF4CAF9"/>
    <w:rsid w:val="FEFED8D4"/>
    <w:rsid w:val="FEFF4B28"/>
    <w:rsid w:val="FEFFAF1B"/>
    <w:rsid w:val="FF3FD71E"/>
    <w:rsid w:val="FF5D81B7"/>
    <w:rsid w:val="FF5F300A"/>
    <w:rsid w:val="FF7BF0D9"/>
    <w:rsid w:val="FF953FB3"/>
    <w:rsid w:val="FFB73C95"/>
    <w:rsid w:val="FFBB1B2B"/>
    <w:rsid w:val="FFEAC04E"/>
    <w:rsid w:val="FFFEB7FA"/>
    <w:rsid w:val="FFFF1061"/>
    <w:rsid w:val="FFFF38A9"/>
    <w:rsid w:val="FFFF3DA7"/>
    <w:rsid w:val="FFFF94D8"/>
    <w:rsid w:val="FFFFADBA"/>
    <w:rsid w:val="FFFFB4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0"/>
    <w:pPr>
      <w:keepNext/>
      <w:keepLines/>
      <w:spacing w:before="260" w:after="260" w:line="413" w:lineRule="auto"/>
      <w:jc w:val="center"/>
      <w:outlineLvl w:val="1"/>
    </w:pPr>
    <w:rPr>
      <w:rFonts w:ascii="Arial" w:hAnsi="Arial" w:eastAsia="黑体" w:cs="Arial"/>
      <w:b/>
      <w:bCs/>
      <w:color w:val="000080"/>
      <w:sz w:val="84"/>
      <w:szCs w:val="84"/>
    </w:rPr>
  </w:style>
  <w:style w:type="paragraph" w:styleId="3">
    <w:name w:val="heading 3"/>
    <w:basedOn w:val="1"/>
    <w:next w:val="1"/>
    <w:link w:val="20"/>
    <w:qFormat/>
    <w:uiPriority w:val="0"/>
    <w:pPr>
      <w:keepNext/>
      <w:keepLines/>
      <w:spacing w:before="260" w:after="260" w:line="416" w:lineRule="auto"/>
      <w:outlineLvl w:val="2"/>
    </w:pPr>
    <w:rPr>
      <w:rFonts w:ascii="Calibri" w:hAnsi="Calibri" w:eastAsia="宋体" w:cs="Calibri"/>
      <w:b/>
      <w:bCs/>
      <w:sz w:val="32"/>
      <w:szCs w:val="32"/>
    </w:rPr>
  </w:style>
  <w:style w:type="paragraph" w:styleId="4">
    <w:name w:val="heading 4"/>
    <w:basedOn w:val="1"/>
    <w:next w:val="1"/>
    <w:link w:val="25"/>
    <w:qFormat/>
    <w:uiPriority w:val="0"/>
    <w:pPr>
      <w:keepNext/>
      <w:keepLines/>
      <w:spacing w:before="280" w:after="290" w:line="376" w:lineRule="auto"/>
      <w:outlineLvl w:val="3"/>
    </w:pPr>
    <w:rPr>
      <w:rFonts w:ascii="Cambria" w:hAnsi="Cambria" w:eastAsia="宋体" w:cs="Cambria"/>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19"/>
    <w:semiHidden/>
    <w:unhideWhenUsed/>
    <w:qFormat/>
    <w:uiPriority w:val="99"/>
    <w:rPr>
      <w:rFonts w:ascii="宋体" w:eastAsia="宋体"/>
      <w:sz w:val="18"/>
      <w:szCs w:val="18"/>
    </w:rPr>
  </w:style>
  <w:style w:type="paragraph" w:styleId="6">
    <w:name w:val="toc 3"/>
    <w:basedOn w:val="1"/>
    <w:next w:val="1"/>
    <w:semiHidden/>
    <w:qFormat/>
    <w:uiPriority w:val="0"/>
    <w:pPr>
      <w:spacing w:line="320" w:lineRule="exact"/>
      <w:ind w:left="600" w:leftChars="200" w:firstLine="720" w:firstLineChars="200"/>
    </w:pPr>
    <w:rPr>
      <w:rFonts w:ascii="Calibri" w:hAnsi="Calibri" w:eastAsia="隶书" w:cs="Calibri"/>
      <w:sz w:val="28"/>
      <w:szCs w:val="28"/>
    </w:rPr>
  </w:style>
  <w:style w:type="paragraph" w:styleId="7">
    <w:name w:val="Date"/>
    <w:basedOn w:val="1"/>
    <w:next w:val="1"/>
    <w:link w:val="21"/>
    <w:semiHidden/>
    <w:unhideWhenUsed/>
    <w:qFormat/>
    <w:uiPriority w:val="99"/>
    <w:pPr>
      <w:ind w:left="100" w:leftChars="2500"/>
    </w:pPr>
  </w:style>
  <w:style w:type="paragraph" w:styleId="8">
    <w:name w:val="Balloon Text"/>
    <w:basedOn w:val="1"/>
    <w:link w:val="26"/>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4"/>
    <w:basedOn w:val="1"/>
    <w:next w:val="1"/>
    <w:qFormat/>
    <w:uiPriority w:val="39"/>
    <w:pPr>
      <w:spacing w:line="420" w:lineRule="exact"/>
      <w:ind w:left="1200" w:leftChars="400" w:firstLine="720" w:firstLineChars="200"/>
    </w:pPr>
    <w:rPr>
      <w:rFonts w:ascii="Times New Roman" w:hAnsi="Times New Roman" w:eastAsia="隶书" w:cs="Times New Roman"/>
      <w:sz w:val="28"/>
      <w:szCs w:val="28"/>
    </w:rPr>
  </w:style>
  <w:style w:type="paragraph" w:styleId="13">
    <w:name w:val="toc 2"/>
    <w:basedOn w:val="1"/>
    <w:next w:val="1"/>
    <w:qFormat/>
    <w:uiPriority w:val="39"/>
    <w:pPr>
      <w:tabs>
        <w:tab w:val="right" w:leader="dot" w:pos="9345"/>
      </w:tabs>
      <w:spacing w:line="500" w:lineRule="exact"/>
    </w:pPr>
    <w:rPr>
      <w:rFonts w:ascii="Calibri" w:hAnsi="Calibri" w:eastAsia="隶书" w:cs="Calibri"/>
      <w:sz w:val="24"/>
      <w:szCs w:val="24"/>
    </w:rPr>
  </w:style>
  <w:style w:type="paragraph" w:styleId="14">
    <w:name w:val="Normal (Web)"/>
    <w:basedOn w:val="1"/>
    <w:semiHidden/>
    <w:unhideWhenUsed/>
    <w:qFormat/>
    <w:uiPriority w:val="99"/>
    <w:rPr>
      <w:sz w:val="24"/>
    </w:rPr>
  </w:style>
  <w:style w:type="character" w:styleId="17">
    <w:name w:val="Hyperlink"/>
    <w:basedOn w:val="16"/>
    <w:qFormat/>
    <w:uiPriority w:val="99"/>
    <w:rPr>
      <w:rFonts w:cs="Times New Roman"/>
      <w:color w:val="0000FF"/>
      <w:u w:val="single"/>
    </w:rPr>
  </w:style>
  <w:style w:type="character" w:customStyle="1" w:styleId="18">
    <w:name w:val="标题 2 Char"/>
    <w:basedOn w:val="16"/>
    <w:link w:val="2"/>
    <w:qFormat/>
    <w:uiPriority w:val="0"/>
    <w:rPr>
      <w:rFonts w:ascii="Arial" w:hAnsi="Arial" w:eastAsia="黑体" w:cs="Arial"/>
      <w:b/>
      <w:bCs/>
      <w:color w:val="000080"/>
      <w:sz w:val="84"/>
      <w:szCs w:val="84"/>
    </w:rPr>
  </w:style>
  <w:style w:type="character" w:customStyle="1" w:styleId="19">
    <w:name w:val="文档结构图 Char"/>
    <w:basedOn w:val="16"/>
    <w:link w:val="5"/>
    <w:semiHidden/>
    <w:qFormat/>
    <w:uiPriority w:val="99"/>
    <w:rPr>
      <w:rFonts w:ascii="宋体" w:eastAsia="宋体"/>
      <w:sz w:val="18"/>
      <w:szCs w:val="18"/>
    </w:rPr>
  </w:style>
  <w:style w:type="character" w:customStyle="1" w:styleId="20">
    <w:name w:val="标题 3 Char"/>
    <w:basedOn w:val="16"/>
    <w:link w:val="3"/>
    <w:qFormat/>
    <w:uiPriority w:val="0"/>
    <w:rPr>
      <w:rFonts w:ascii="Calibri" w:hAnsi="Calibri" w:eastAsia="宋体" w:cs="Calibri"/>
      <w:b/>
      <w:bCs/>
      <w:sz w:val="32"/>
      <w:szCs w:val="32"/>
    </w:rPr>
  </w:style>
  <w:style w:type="character" w:customStyle="1" w:styleId="21">
    <w:name w:val="日期 Char"/>
    <w:basedOn w:val="16"/>
    <w:link w:val="7"/>
    <w:semiHidden/>
    <w:qFormat/>
    <w:uiPriority w:val="99"/>
  </w:style>
  <w:style w:type="paragraph" w:styleId="22">
    <w:name w:val="List Paragraph"/>
    <w:basedOn w:val="1"/>
    <w:unhideWhenUsed/>
    <w:qFormat/>
    <w:uiPriority w:val="99"/>
    <w:pPr>
      <w:ind w:firstLine="420" w:firstLineChars="200"/>
    </w:pPr>
    <w:rPr>
      <w:rFonts w:ascii="Calibri" w:hAnsi="Calibri" w:eastAsia="宋体" w:cs="宋体"/>
      <w:szCs w:val="24"/>
    </w:rPr>
  </w:style>
  <w:style w:type="character" w:customStyle="1" w:styleId="23">
    <w:name w:val="页眉 Char"/>
    <w:basedOn w:val="16"/>
    <w:link w:val="10"/>
    <w:semiHidden/>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4 Char"/>
    <w:basedOn w:val="16"/>
    <w:link w:val="4"/>
    <w:qFormat/>
    <w:uiPriority w:val="0"/>
    <w:rPr>
      <w:rFonts w:ascii="Cambria" w:hAnsi="Cambria" w:eastAsia="宋体" w:cs="Cambria"/>
      <w:b/>
      <w:bCs/>
      <w:sz w:val="28"/>
      <w:szCs w:val="28"/>
    </w:rPr>
  </w:style>
  <w:style w:type="character" w:customStyle="1" w:styleId="26">
    <w:name w:val="批注框文本 Char"/>
    <w:basedOn w:val="16"/>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8</Pages>
  <Words>2469</Words>
  <Characters>2666</Characters>
  <Lines>29</Lines>
  <Paragraphs>8</Paragraphs>
  <TotalTime>141</TotalTime>
  <ScaleCrop>false</ScaleCrop>
  <LinksUpToDate>false</LinksUpToDate>
  <CharactersWithSpaces>2711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2022-11-06T01:50:00Z</dcterms:created>
  <dc:creator>Administrator</dc:creator>
  <cp:lastModifiedBy>彩虹</cp:lastModifiedBy>
  <cp:lastPrinted>2025-09-27T00:01:00Z</cp:lastPrinted>
  <dcterms:modified xsi:type="dcterms:W3CDTF">2025-10-10T00:38:26Z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A7397E5168EC4795BBA2CB1B633780B3_13</vt:lpwstr>
  </property>
</Properties>
</file>