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58E507">
      <w:pPr>
        <w:spacing w:line="560" w:lineRule="exact"/>
        <w:jc w:val="center"/>
        <w:rPr>
          <w:rFonts w:hint="default" w:ascii="Times New Roman" w:hAnsi="Times New Roman" w:eastAsia="FZXiaoBiaoSong-B05" w:cs="Times New Roman"/>
          <w:sz w:val="44"/>
          <w:szCs w:val="44"/>
        </w:rPr>
      </w:pPr>
      <w:r>
        <w:rPr>
          <w:rFonts w:hint="default" w:ascii="Times New Roman" w:hAnsi="Times New Roman" w:eastAsia="FZXiaoBiaoSong-B05" w:cs="Times New Roman"/>
          <w:sz w:val="44"/>
          <w:szCs w:val="44"/>
          <w:lang w:eastAsia="zh-CN"/>
        </w:rPr>
        <w:t>福建省南平环境监测中心站</w:t>
      </w:r>
      <w:r>
        <w:rPr>
          <w:rFonts w:hint="eastAsia" w:ascii="Times New Roman" w:hAnsi="Times New Roman" w:eastAsia="FZXiaoBiaoSong-B05" w:cs="Times New Roman"/>
          <w:sz w:val="44"/>
          <w:szCs w:val="44"/>
          <w:lang w:eastAsia="zh-CN"/>
        </w:rPr>
        <w:t>非甲烷总烃自动站运维保障服务</w:t>
      </w:r>
    </w:p>
    <w:p w14:paraId="3AD04FF6">
      <w:pPr>
        <w:pStyle w:val="2"/>
        <w:bidi w:val="0"/>
        <w:jc w:val="center"/>
        <w:rPr>
          <w:rFonts w:hint="eastAsia"/>
          <w:sz w:val="32"/>
          <w:szCs w:val="32"/>
        </w:rPr>
      </w:pPr>
      <w:r>
        <w:rPr>
          <w:sz w:val="32"/>
          <w:szCs w:val="32"/>
        </w:rPr>
        <w:fldChar w:fldCharType="begin"/>
      </w:r>
      <w:r>
        <w:rPr>
          <w:sz w:val="32"/>
          <w:szCs w:val="32"/>
        </w:rPr>
        <w:instrText xml:space="preserve"> HTMLCONTROL Forms.HTML:Hidden.1 </w:instrText>
      </w:r>
      <w:r>
        <w:rPr>
          <w:sz w:val="32"/>
          <w:szCs w:val="32"/>
        </w:rPr>
        <w:fldChar w:fldCharType="separate"/>
      </w:r>
      <w:r>
        <w:rPr>
          <w:sz w:val="32"/>
          <w:szCs w:val="32"/>
        </w:rPr>
        <w:fldChar w:fldCharType="end"/>
      </w:r>
      <w:r>
        <w:rPr>
          <w:sz w:val="32"/>
          <w:szCs w:val="32"/>
        </w:rPr>
        <w:fldChar w:fldCharType="begin"/>
      </w:r>
      <w:r>
        <w:rPr>
          <w:sz w:val="32"/>
          <w:szCs w:val="32"/>
        </w:rPr>
        <w:instrText xml:space="preserve"> HTMLCONTROL Forms.HTML:Hidden.1 </w:instrText>
      </w:r>
      <w:r>
        <w:rPr>
          <w:sz w:val="32"/>
          <w:szCs w:val="32"/>
        </w:rPr>
        <w:fldChar w:fldCharType="separate"/>
      </w:r>
      <w:r>
        <w:rPr>
          <w:sz w:val="32"/>
          <w:szCs w:val="32"/>
        </w:rPr>
        <w:fldChar w:fldCharType="end"/>
      </w:r>
      <w:r>
        <w:rPr>
          <w:rFonts w:hint="eastAsia"/>
          <w:sz w:val="32"/>
          <w:szCs w:val="32"/>
        </w:rPr>
        <w:t>第一章 招标服务一览表</w:t>
      </w:r>
    </w:p>
    <w:p w14:paraId="3F9C2413">
      <w:pPr>
        <w:jc w:val="left"/>
        <w:rPr>
          <w:rFonts w:hint="eastAsia" w:ascii="宋体-简" w:hAnsi="宋体-简" w:eastAsia="宋体-简"/>
          <w:b/>
          <w:bCs/>
          <w:sz w:val="24"/>
          <w:szCs w:val="24"/>
        </w:rPr>
      </w:pPr>
    </w:p>
    <w:tbl>
      <w:tblPr>
        <w:tblStyle w:val="14"/>
        <w:tblW w:w="86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4"/>
        <w:gridCol w:w="941"/>
        <w:gridCol w:w="3549"/>
        <w:gridCol w:w="1276"/>
        <w:gridCol w:w="1790"/>
      </w:tblGrid>
      <w:tr w14:paraId="3BC24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044" w:type="dxa"/>
            <w:vAlign w:val="center"/>
          </w:tcPr>
          <w:p w14:paraId="7EE130F4">
            <w:pPr>
              <w:jc w:val="center"/>
              <w:rPr>
                <w:rFonts w:ascii="宋体-简" w:hAnsi="宋体-简" w:eastAsia="宋体-简" w:cs="宋体"/>
                <w:bCs/>
                <w:color w:val="000000"/>
                <w:kern w:val="0"/>
                <w:sz w:val="24"/>
                <w:szCs w:val="24"/>
              </w:rPr>
            </w:pPr>
            <w:r>
              <w:rPr>
                <w:rFonts w:hint="eastAsia" w:ascii="宋体-简" w:hAnsi="宋体-简" w:eastAsia="宋体-简" w:cs="宋体"/>
                <w:bCs/>
                <w:color w:val="000000"/>
                <w:kern w:val="0"/>
                <w:sz w:val="24"/>
                <w:szCs w:val="24"/>
              </w:rPr>
              <w:t>合同包</w:t>
            </w:r>
          </w:p>
        </w:tc>
        <w:tc>
          <w:tcPr>
            <w:tcW w:w="941" w:type="dxa"/>
            <w:vAlign w:val="center"/>
          </w:tcPr>
          <w:p w14:paraId="1DF7A5AB">
            <w:pPr>
              <w:jc w:val="center"/>
              <w:rPr>
                <w:rFonts w:ascii="宋体-简" w:hAnsi="宋体-简" w:eastAsia="宋体-简" w:cs="宋体"/>
                <w:color w:val="000000"/>
                <w:sz w:val="24"/>
                <w:szCs w:val="24"/>
              </w:rPr>
            </w:pPr>
            <w:r>
              <w:rPr>
                <w:rFonts w:hint="eastAsia" w:ascii="宋体-简" w:hAnsi="宋体-简" w:eastAsia="宋体-简" w:cs="宋体"/>
                <w:color w:val="000000"/>
                <w:sz w:val="24"/>
                <w:szCs w:val="24"/>
              </w:rPr>
              <w:t>品目号</w:t>
            </w:r>
          </w:p>
        </w:tc>
        <w:tc>
          <w:tcPr>
            <w:tcW w:w="3549" w:type="dxa"/>
            <w:vAlign w:val="center"/>
          </w:tcPr>
          <w:p w14:paraId="1AB37593">
            <w:pPr>
              <w:jc w:val="center"/>
              <w:rPr>
                <w:rFonts w:ascii="宋体-简" w:hAnsi="宋体-简" w:eastAsia="宋体-简" w:cs="宋体"/>
                <w:bCs/>
                <w:color w:val="000000"/>
                <w:kern w:val="0"/>
                <w:sz w:val="24"/>
                <w:szCs w:val="24"/>
              </w:rPr>
            </w:pPr>
            <w:r>
              <w:rPr>
                <w:rFonts w:hint="eastAsia" w:ascii="宋体-简" w:hAnsi="宋体-简" w:eastAsia="宋体-简" w:cs="宋体"/>
                <w:color w:val="000000"/>
                <w:sz w:val="24"/>
                <w:szCs w:val="24"/>
              </w:rPr>
              <w:t>服务名称</w:t>
            </w:r>
          </w:p>
        </w:tc>
        <w:tc>
          <w:tcPr>
            <w:tcW w:w="1276" w:type="dxa"/>
            <w:vAlign w:val="center"/>
          </w:tcPr>
          <w:p w14:paraId="0EEFF3D0">
            <w:pPr>
              <w:jc w:val="center"/>
              <w:rPr>
                <w:rFonts w:ascii="宋体-简" w:hAnsi="宋体-简" w:eastAsia="宋体-简" w:cs="宋体"/>
                <w:bCs/>
                <w:color w:val="000000"/>
                <w:kern w:val="0"/>
                <w:sz w:val="24"/>
                <w:szCs w:val="24"/>
              </w:rPr>
            </w:pPr>
            <w:r>
              <w:rPr>
                <w:rFonts w:hint="eastAsia" w:ascii="宋体-简" w:hAnsi="宋体-简" w:eastAsia="宋体-简" w:cs="宋体"/>
                <w:bCs/>
                <w:color w:val="000000"/>
                <w:kern w:val="0"/>
                <w:sz w:val="24"/>
                <w:szCs w:val="24"/>
              </w:rPr>
              <w:t>服务期限</w:t>
            </w:r>
          </w:p>
        </w:tc>
        <w:tc>
          <w:tcPr>
            <w:tcW w:w="1790" w:type="dxa"/>
            <w:vAlign w:val="center"/>
          </w:tcPr>
          <w:p w14:paraId="5B9B7171">
            <w:pPr>
              <w:jc w:val="center"/>
              <w:rPr>
                <w:rFonts w:ascii="宋体-简" w:hAnsi="宋体-简" w:eastAsia="宋体-简" w:cs="宋体"/>
                <w:color w:val="000000"/>
                <w:sz w:val="24"/>
                <w:szCs w:val="24"/>
              </w:rPr>
            </w:pPr>
            <w:r>
              <w:rPr>
                <w:rFonts w:hint="eastAsia" w:ascii="宋体-简" w:hAnsi="宋体-简" w:eastAsia="宋体-简" w:cs="宋体"/>
                <w:color w:val="000000"/>
                <w:sz w:val="24"/>
                <w:szCs w:val="24"/>
                <w:lang w:val="en-US" w:eastAsia="zh-CN"/>
              </w:rPr>
              <w:t>最高限价</w:t>
            </w:r>
            <w:r>
              <w:rPr>
                <w:rFonts w:hint="eastAsia" w:ascii="宋体-简" w:hAnsi="宋体-简" w:eastAsia="宋体-简" w:cs="宋体"/>
                <w:color w:val="000000"/>
                <w:sz w:val="24"/>
                <w:szCs w:val="24"/>
              </w:rPr>
              <w:t>（元）</w:t>
            </w:r>
          </w:p>
        </w:tc>
      </w:tr>
      <w:tr w14:paraId="2FC95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044" w:type="dxa"/>
            <w:vAlign w:val="center"/>
          </w:tcPr>
          <w:p w14:paraId="48965BCD">
            <w:pPr>
              <w:jc w:val="center"/>
              <w:rPr>
                <w:rFonts w:ascii="宋体-简" w:hAnsi="宋体-简" w:eastAsia="宋体-简" w:cs="宋体"/>
                <w:bCs/>
                <w:color w:val="000000"/>
                <w:kern w:val="0"/>
                <w:sz w:val="24"/>
                <w:szCs w:val="24"/>
              </w:rPr>
            </w:pPr>
            <w:r>
              <w:rPr>
                <w:rFonts w:hint="eastAsia" w:ascii="宋体-简" w:hAnsi="宋体-简" w:eastAsia="宋体-简" w:cs="宋体"/>
                <w:bCs/>
                <w:color w:val="000000"/>
                <w:kern w:val="0"/>
                <w:sz w:val="24"/>
                <w:szCs w:val="24"/>
              </w:rPr>
              <w:t>1</w:t>
            </w:r>
          </w:p>
        </w:tc>
        <w:tc>
          <w:tcPr>
            <w:tcW w:w="941" w:type="dxa"/>
            <w:vAlign w:val="center"/>
          </w:tcPr>
          <w:p w14:paraId="0FBEC4EB">
            <w:pPr>
              <w:jc w:val="both"/>
              <w:rPr>
                <w:rFonts w:hint="default" w:ascii="宋体-简" w:hAnsi="宋体-简" w:eastAsia="宋体-简" w:cs="宋体"/>
                <w:color w:val="000000"/>
                <w:sz w:val="24"/>
                <w:szCs w:val="24"/>
                <w:lang w:val="en-US" w:eastAsia="zh-CN"/>
              </w:rPr>
            </w:pPr>
            <w:r>
              <w:rPr>
                <w:rFonts w:hint="eastAsia" w:ascii="宋体-简" w:hAnsi="宋体-简" w:eastAsia="宋体-简" w:cs="宋体"/>
                <w:color w:val="000000"/>
                <w:sz w:val="24"/>
                <w:szCs w:val="24"/>
                <w:lang w:val="en-US" w:eastAsia="zh-CN"/>
              </w:rPr>
              <w:t>1-1</w:t>
            </w:r>
          </w:p>
        </w:tc>
        <w:tc>
          <w:tcPr>
            <w:tcW w:w="3549" w:type="dxa"/>
            <w:vAlign w:val="center"/>
          </w:tcPr>
          <w:p w14:paraId="7EA3C50C">
            <w:pPr>
              <w:jc w:val="center"/>
              <w:rPr>
                <w:rFonts w:ascii="宋体-简" w:hAnsi="宋体-简" w:eastAsia="宋体-简" w:cs="宋体"/>
                <w:color w:val="000000"/>
                <w:sz w:val="24"/>
                <w:szCs w:val="24"/>
              </w:rPr>
            </w:pPr>
            <w:r>
              <w:rPr>
                <w:rFonts w:hint="default" w:ascii="Times New Roman" w:hAnsi="Times New Roman" w:eastAsia="FangSong_GB2312" w:cs="Times New Roman"/>
                <w:kern w:val="0"/>
                <w:sz w:val="24"/>
                <w:szCs w:val="24"/>
                <w:lang w:eastAsia="zh-CN"/>
              </w:rPr>
              <w:t>福建省南平环境监测中心站</w:t>
            </w:r>
            <w:r>
              <w:rPr>
                <w:rFonts w:hint="eastAsia" w:ascii="Times New Roman" w:hAnsi="Times New Roman" w:eastAsia="宋体" w:cs="Times New Roman"/>
                <w:kern w:val="0"/>
                <w:sz w:val="24"/>
                <w:szCs w:val="24"/>
                <w:lang w:eastAsia="zh-CN"/>
              </w:rPr>
              <w:t>非甲烷总烃自动站运维保障服务</w:t>
            </w:r>
          </w:p>
        </w:tc>
        <w:tc>
          <w:tcPr>
            <w:tcW w:w="1276" w:type="dxa"/>
            <w:vAlign w:val="center"/>
          </w:tcPr>
          <w:p w14:paraId="3F4119D6">
            <w:pPr>
              <w:jc w:val="center"/>
              <w:rPr>
                <w:rFonts w:ascii="宋体-简" w:hAnsi="宋体-简" w:eastAsia="宋体-简" w:cs="宋体"/>
                <w:bCs/>
                <w:color w:val="000000"/>
                <w:kern w:val="0"/>
                <w:sz w:val="24"/>
                <w:szCs w:val="24"/>
              </w:rPr>
            </w:pPr>
            <w:r>
              <w:rPr>
                <w:rFonts w:hint="eastAsia" w:ascii="宋体-简" w:hAnsi="宋体-简" w:eastAsia="宋体-简" w:cs="宋体"/>
                <w:bCs/>
                <w:color w:val="000000"/>
                <w:kern w:val="0"/>
                <w:sz w:val="24"/>
                <w:szCs w:val="24"/>
              </w:rPr>
              <w:t>1次</w:t>
            </w:r>
          </w:p>
        </w:tc>
        <w:tc>
          <w:tcPr>
            <w:tcW w:w="1790" w:type="dxa"/>
            <w:vAlign w:val="center"/>
          </w:tcPr>
          <w:p w14:paraId="22A2FC99">
            <w:pPr>
              <w:jc w:val="center"/>
              <w:rPr>
                <w:rFonts w:hint="default" w:ascii="宋体-简" w:hAnsi="宋体-简" w:eastAsia="宋体-简" w:cs="宋体"/>
                <w:color w:val="000000"/>
                <w:sz w:val="24"/>
                <w:szCs w:val="24"/>
                <w:lang w:val="en-US" w:eastAsia="zh-CN"/>
              </w:rPr>
            </w:pPr>
            <w:r>
              <w:rPr>
                <w:rFonts w:hint="eastAsia" w:ascii="Times New Roman" w:hAnsi="Times New Roman" w:eastAsia="FangSong_GB2312" w:cs="Times New Roman"/>
                <w:sz w:val="28"/>
                <w:szCs w:val="28"/>
                <w:lang w:val="en-US" w:eastAsia="zh-CN"/>
              </w:rPr>
              <w:t>80</w:t>
            </w:r>
            <w:r>
              <w:rPr>
                <w:rFonts w:hint="default" w:ascii="Times New Roman" w:hAnsi="Times New Roman" w:eastAsia="FangSong_GB2312" w:cs="Times New Roman"/>
                <w:sz w:val="28"/>
                <w:szCs w:val="28"/>
                <w:lang w:val="en-US" w:eastAsia="zh-CN"/>
              </w:rPr>
              <w:t>000元</w:t>
            </w:r>
          </w:p>
        </w:tc>
      </w:tr>
    </w:tbl>
    <w:p w14:paraId="3919DDB5">
      <w:pPr>
        <w:widowControl/>
        <w:jc w:val="left"/>
        <w:rPr>
          <w:rFonts w:ascii="宋体-简" w:hAnsi="宋体-简" w:eastAsia="宋体-简" w:cs="宋体"/>
          <w:color w:val="000000"/>
          <w:kern w:val="0"/>
          <w:sz w:val="24"/>
          <w:szCs w:val="24"/>
        </w:rPr>
      </w:pPr>
    </w:p>
    <w:p w14:paraId="57010969">
      <w:pPr>
        <w:pStyle w:val="2"/>
        <w:bidi w:val="0"/>
        <w:ind w:firstLine="2249" w:firstLineChars="700"/>
        <w:rPr>
          <w:sz w:val="32"/>
          <w:szCs w:val="32"/>
        </w:rPr>
      </w:pPr>
      <w:r>
        <w:rPr>
          <w:sz w:val="32"/>
          <w:szCs w:val="32"/>
        </w:rPr>
        <w:t>第</w:t>
      </w:r>
      <w:r>
        <w:rPr>
          <w:rFonts w:hint="eastAsia"/>
          <w:sz w:val="32"/>
          <w:szCs w:val="32"/>
        </w:rPr>
        <w:t>二</w:t>
      </w:r>
      <w:r>
        <w:rPr>
          <w:sz w:val="32"/>
          <w:szCs w:val="32"/>
        </w:rPr>
        <w:t>章  采购内容及要求</w:t>
      </w:r>
    </w:p>
    <w:p w14:paraId="5D48E77C">
      <w:pPr>
        <w:widowControl/>
        <w:spacing w:before="75" w:after="75"/>
        <w:jc w:val="left"/>
        <w:rPr>
          <w:rFonts w:ascii="宋体-简" w:hAnsi="宋体-简" w:eastAsia="宋体-简" w:cs="宋体"/>
          <w:color w:val="000000"/>
          <w:kern w:val="0"/>
          <w:sz w:val="24"/>
          <w:szCs w:val="24"/>
        </w:rPr>
      </w:pPr>
      <w:r>
        <w:rPr>
          <w:rFonts w:ascii="宋体-简" w:hAnsi="宋体-简" w:eastAsia="宋体-简" w:cs="宋体"/>
          <w:color w:val="000000"/>
          <w:kern w:val="0"/>
          <w:sz w:val="24"/>
          <w:szCs w:val="24"/>
        </w:rPr>
        <w:t> </w:t>
      </w:r>
    </w:p>
    <w:p w14:paraId="3524A34F">
      <w:pPr>
        <w:pStyle w:val="3"/>
        <w:bidi w:val="0"/>
        <w:rPr>
          <w:rFonts w:hint="eastAsia" w:ascii="宋体" w:hAnsi="宋体" w:eastAsia="宋体" w:cs="宋体"/>
          <w:sz w:val="30"/>
          <w:szCs w:val="30"/>
        </w:rPr>
      </w:pPr>
      <w:r>
        <w:rPr>
          <w:rFonts w:hint="eastAsia" w:ascii="宋体" w:hAnsi="宋体" w:eastAsia="宋体" w:cs="宋体"/>
          <w:sz w:val="30"/>
          <w:szCs w:val="30"/>
        </w:rPr>
        <w:t>一、采购标的</w:t>
      </w:r>
    </w:p>
    <w:p w14:paraId="535C9907">
      <w:pPr>
        <w:widowControl/>
        <w:spacing w:line="360" w:lineRule="auto"/>
        <w:ind w:firstLine="371" w:firstLineChars="177"/>
        <w:jc w:val="left"/>
        <w:rPr>
          <w:rFonts w:hint="eastAsia" w:ascii="宋体" w:hAnsi="宋体" w:cs="宋体"/>
          <w:color w:val="auto"/>
        </w:rPr>
      </w:pPr>
      <w:r>
        <w:rPr>
          <w:rFonts w:hint="eastAsia" w:ascii="宋体" w:hAnsi="宋体" w:cs="宋体"/>
          <w:color w:val="000000"/>
        </w:rPr>
        <w:t>本项目为：</w:t>
      </w:r>
      <w:r>
        <w:rPr>
          <w:rFonts w:hint="default" w:ascii="宋体" w:hAnsi="宋体" w:cs="宋体"/>
          <w:color w:val="000000"/>
        </w:rPr>
        <w:t>本次采购项目为福建省</w:t>
      </w:r>
      <w:r>
        <w:rPr>
          <w:rFonts w:hint="default" w:ascii="宋体" w:hAnsi="宋体" w:cs="宋体"/>
          <w:color w:val="000000"/>
          <w:lang w:eastAsia="zh-CN"/>
        </w:rPr>
        <w:t>南平</w:t>
      </w:r>
      <w:r>
        <w:rPr>
          <w:rFonts w:hint="default" w:ascii="宋体" w:hAnsi="宋体" w:cs="宋体"/>
          <w:color w:val="000000"/>
        </w:rPr>
        <w:t>环境监测中心站关于</w:t>
      </w:r>
      <w:r>
        <w:rPr>
          <w:rFonts w:hint="eastAsia" w:ascii="宋体" w:hAnsi="宋体" w:cs="宋体"/>
          <w:color w:val="000000"/>
          <w:lang w:eastAsia="zh-CN"/>
        </w:rPr>
        <w:t>非甲烷总烃自动站运维保障服务</w:t>
      </w:r>
      <w:r>
        <w:rPr>
          <w:rFonts w:hint="default" w:ascii="宋体" w:hAnsi="宋体" w:cs="宋体"/>
          <w:color w:val="000000"/>
        </w:rPr>
        <w:t>。</w:t>
      </w:r>
      <w:r>
        <w:rPr>
          <w:rFonts w:hint="default" w:ascii="宋体" w:hAnsi="宋体" w:cs="宋体"/>
          <w:color w:val="auto"/>
        </w:rPr>
        <w:t>要求</w:t>
      </w:r>
      <w:r>
        <w:rPr>
          <w:rFonts w:hint="eastAsia" w:ascii="宋体" w:hAnsi="宋体" w:cs="宋体"/>
          <w:color w:val="auto"/>
          <w:lang w:val="en-US" w:eastAsia="zh-CN"/>
        </w:rPr>
        <w:t>详见（3.1）</w:t>
      </w:r>
      <w:r>
        <w:rPr>
          <w:rFonts w:hint="default" w:ascii="宋体" w:hAnsi="宋体" w:cs="宋体"/>
          <w:color w:val="auto"/>
        </w:rPr>
        <w:t>投标人资格要求。</w:t>
      </w:r>
    </w:p>
    <w:p w14:paraId="215EE05A">
      <w:pPr>
        <w:pStyle w:val="3"/>
        <w:bidi w:val="0"/>
        <w:rPr>
          <w:rFonts w:hint="eastAsia" w:ascii="宋体" w:hAnsi="宋体" w:eastAsia="宋体" w:cs="宋体"/>
          <w:sz w:val="30"/>
          <w:szCs w:val="30"/>
        </w:rPr>
      </w:pPr>
      <w:r>
        <w:rPr>
          <w:rFonts w:hint="eastAsia" w:ascii="宋体" w:hAnsi="宋体" w:eastAsia="宋体" w:cs="宋体"/>
          <w:sz w:val="30"/>
          <w:szCs w:val="30"/>
        </w:rPr>
        <w:t>二、技术和服务要求</w:t>
      </w:r>
    </w:p>
    <w:p w14:paraId="798F061B">
      <w:pPr>
        <w:pStyle w:val="3"/>
        <w:spacing w:before="190" w:after="190"/>
        <w:rPr>
          <w:sz w:val="28"/>
          <w:szCs w:val="21"/>
          <w:lang w:val="en-GB"/>
        </w:rPr>
      </w:pPr>
      <w:r>
        <w:rPr>
          <w:rFonts w:hint="eastAsia" w:ascii="宋体" w:hAnsi="宋体" w:eastAsia="宋体" w:cs="宋体"/>
          <w:sz w:val="24"/>
          <w:szCs w:val="24"/>
          <w:highlight w:val="none"/>
        </w:rPr>
        <w:t>2.1</w:t>
      </w:r>
      <w:r>
        <w:rPr>
          <w:rFonts w:hint="eastAsia"/>
          <w:sz w:val="28"/>
          <w:szCs w:val="21"/>
          <w:highlight w:val="none"/>
        </w:rPr>
        <w:t>基本</w:t>
      </w:r>
      <w:r>
        <w:rPr>
          <w:rFonts w:hint="eastAsia"/>
          <w:sz w:val="28"/>
          <w:szCs w:val="21"/>
        </w:rPr>
        <w:t>要求</w:t>
      </w:r>
    </w:p>
    <w:p w14:paraId="74C61924">
      <w:pPr>
        <w:widowControl/>
        <w:spacing w:line="360" w:lineRule="auto"/>
        <w:ind w:firstLine="371" w:firstLineChars="177"/>
        <w:jc w:val="left"/>
        <w:rPr>
          <w:rFonts w:hint="eastAsia" w:ascii="宋体" w:hAnsi="宋体" w:cs="宋体"/>
          <w:color w:val="000000"/>
          <w:lang w:val="en-US" w:eastAsia="zh-CN"/>
        </w:rPr>
      </w:pPr>
      <w:r>
        <w:rPr>
          <w:rFonts w:hint="eastAsia" w:ascii="宋体" w:hAnsi="宋体" w:cs="宋体"/>
          <w:color w:val="000000"/>
          <w:lang w:val="en-US" w:eastAsia="zh-CN"/>
        </w:rPr>
        <w:t>2.1.1按照《环境空气非甲烷总烃连续自动监测系统技术规定（试行）》（总站气字〔2021〕61号）等国家相关文件和技术规范有关要求，对南平市非甲烷总烃自动监测站进行运维，包括但不限于站点基础设施情况及站房的日常维护、质量控制、故障维修、年度检修、检定等工作。</w:t>
      </w:r>
    </w:p>
    <w:p w14:paraId="573EC105">
      <w:pPr>
        <w:widowControl/>
        <w:spacing w:line="360" w:lineRule="auto"/>
        <w:ind w:firstLine="371" w:firstLineChars="177"/>
        <w:jc w:val="left"/>
        <w:rPr>
          <w:rFonts w:hint="eastAsia" w:ascii="宋体" w:hAnsi="宋体" w:cs="宋体"/>
          <w:color w:val="000000"/>
          <w:lang w:val="en-US" w:eastAsia="zh-CN"/>
        </w:rPr>
      </w:pPr>
      <w:r>
        <w:rPr>
          <w:rFonts w:hint="eastAsia" w:ascii="宋体" w:hAnsi="宋体" w:cs="宋体"/>
          <w:color w:val="000000"/>
          <w:lang w:val="en-US" w:eastAsia="zh-CN"/>
        </w:rPr>
        <w:t>2.1.2承担南平市非甲烷总烃自动监测站日常正常运行维护、详细的预防性检修与非外界不可抗力而发生突发性故障进行针对性维护工作，包括但不限于人工、消耗件（见2.4）、备品备件等。</w:t>
      </w:r>
    </w:p>
    <w:p w14:paraId="6942DAD6">
      <w:pPr>
        <w:widowControl/>
        <w:spacing w:line="360" w:lineRule="auto"/>
        <w:ind w:firstLine="371" w:firstLineChars="177"/>
        <w:jc w:val="left"/>
        <w:rPr>
          <w:rFonts w:hint="eastAsia" w:ascii="宋体" w:hAnsi="宋体" w:cs="宋体"/>
          <w:color w:val="000000"/>
          <w:lang w:val="en-US" w:eastAsia="zh-CN"/>
        </w:rPr>
      </w:pPr>
      <w:r>
        <w:rPr>
          <w:rFonts w:hint="eastAsia" w:ascii="宋体" w:hAnsi="宋体" w:cs="宋体"/>
          <w:color w:val="000000"/>
          <w:lang w:val="en-US" w:eastAsia="zh-CN"/>
        </w:rPr>
        <w:t>2.1.3保持站房内部环境清洁，布置整齐，各仪器设备干净清洁，设备标识清楚；保持站房外20m以内的环境清洁；</w:t>
      </w:r>
    </w:p>
    <w:p w14:paraId="5402571F">
      <w:pPr>
        <w:widowControl/>
        <w:spacing w:line="360" w:lineRule="auto"/>
        <w:ind w:firstLine="371" w:firstLineChars="177"/>
        <w:jc w:val="left"/>
        <w:rPr>
          <w:rFonts w:hint="eastAsia" w:ascii="宋体" w:hAnsi="宋体" w:cs="宋体"/>
          <w:color w:val="000000"/>
          <w:lang w:val="en-US" w:eastAsia="zh-CN"/>
        </w:rPr>
      </w:pPr>
      <w:r>
        <w:rPr>
          <w:rFonts w:hint="eastAsia" w:ascii="宋体" w:hAnsi="宋体" w:cs="宋体"/>
          <w:color w:val="000000"/>
          <w:lang w:val="en-US" w:eastAsia="zh-CN"/>
        </w:rPr>
        <w:t>2.1.4指派专人维护，确保站房条件满足仪器运行要求，供电、电话及网络通讯正常，非工作人员未经许可不得入内；</w:t>
      </w:r>
    </w:p>
    <w:p w14:paraId="7D723DBC">
      <w:pPr>
        <w:widowControl/>
        <w:spacing w:line="360" w:lineRule="auto"/>
        <w:ind w:firstLine="371" w:firstLineChars="177"/>
        <w:jc w:val="left"/>
        <w:rPr>
          <w:rFonts w:hint="eastAsia" w:ascii="宋体" w:hAnsi="宋体" w:cs="宋体"/>
          <w:color w:val="000000"/>
          <w:lang w:val="en-US" w:eastAsia="zh-CN"/>
        </w:rPr>
      </w:pPr>
      <w:r>
        <w:rPr>
          <w:rFonts w:hint="eastAsia" w:ascii="宋体" w:hAnsi="宋体" w:cs="宋体"/>
          <w:color w:val="000000"/>
          <w:lang w:val="en-US" w:eastAsia="zh-CN"/>
        </w:rPr>
        <w:t>2.1.5每次维护后做好系统运行维护记录；进行维护时，规范操作，注意安全，防止意外发生。</w:t>
      </w:r>
    </w:p>
    <w:p w14:paraId="08601140">
      <w:pPr>
        <w:widowControl/>
        <w:spacing w:line="360" w:lineRule="auto"/>
        <w:ind w:firstLine="371" w:firstLineChars="177"/>
        <w:jc w:val="left"/>
        <w:rPr>
          <w:rFonts w:hint="default" w:ascii="宋体" w:hAnsi="宋体" w:cs="宋体"/>
          <w:color w:val="000000"/>
          <w:lang w:val="en-US" w:eastAsia="zh-CN"/>
        </w:rPr>
      </w:pPr>
      <w:r>
        <w:rPr>
          <w:rFonts w:hint="eastAsia" w:ascii="宋体" w:hAnsi="宋体" w:cs="宋体"/>
          <w:color w:val="000000"/>
          <w:lang w:val="en-US" w:eastAsia="zh-CN"/>
        </w:rPr>
        <w:t>2.1.6中标单位除需承担南平市非甲烷总烃自动监测站日常正常运行所产生的包括但不限于人工、消耗件（见2.4）、备品备件等费用外，还需承担站点的其他费用如场地租金、水电、物业及网络通讯等。</w:t>
      </w:r>
    </w:p>
    <w:p w14:paraId="698199FC">
      <w:pPr>
        <w:pStyle w:val="3"/>
        <w:spacing w:before="190" w:after="190"/>
        <w:rPr>
          <w:rFonts w:hint="eastAsia" w:ascii="宋体" w:hAnsi="宋体" w:eastAsia="宋体" w:cs="宋体"/>
          <w:sz w:val="24"/>
          <w:szCs w:val="24"/>
          <w:highlight w:val="none"/>
        </w:rPr>
      </w:pPr>
      <w:bookmarkStart w:id="0" w:name="_Hlk45218725"/>
      <w:r>
        <w:rPr>
          <w:rFonts w:hint="eastAsia" w:ascii="宋体" w:hAnsi="宋体" w:eastAsia="宋体" w:cs="宋体"/>
          <w:sz w:val="24"/>
          <w:szCs w:val="24"/>
          <w:highlight w:val="none"/>
        </w:rPr>
        <w:t>2.2运维内容</w:t>
      </w:r>
    </w:p>
    <w:p w14:paraId="1D9ABE47">
      <w:pPr>
        <w:widowControl/>
        <w:spacing w:line="360" w:lineRule="auto"/>
        <w:ind w:firstLine="371" w:firstLineChars="177"/>
        <w:jc w:val="left"/>
        <w:rPr>
          <w:rFonts w:hint="eastAsia" w:ascii="宋体" w:hAnsi="宋体" w:cs="宋体"/>
          <w:color w:val="000000"/>
          <w:lang w:val="en-US" w:eastAsia="zh-CN"/>
        </w:rPr>
      </w:pPr>
      <w:r>
        <w:rPr>
          <w:rFonts w:hint="eastAsia" w:ascii="宋体" w:hAnsi="宋体" w:cs="宋体"/>
          <w:color w:val="000000"/>
          <w:lang w:val="en-US" w:eastAsia="zh-CN"/>
        </w:rPr>
        <w:t>2.2.1每日一次远程系统检查仪器运行状态；查看及确认数据情况；</w:t>
      </w:r>
    </w:p>
    <w:p w14:paraId="4D6FEEC2">
      <w:pPr>
        <w:widowControl/>
        <w:spacing w:line="360" w:lineRule="auto"/>
        <w:ind w:firstLine="371" w:firstLineChars="177"/>
        <w:jc w:val="left"/>
        <w:rPr>
          <w:rFonts w:hint="eastAsia" w:ascii="宋体" w:hAnsi="宋体" w:cs="宋体"/>
          <w:color w:val="000000"/>
          <w:lang w:val="en-US" w:eastAsia="zh-CN"/>
        </w:rPr>
      </w:pPr>
      <w:r>
        <w:rPr>
          <w:rFonts w:hint="eastAsia" w:ascii="宋体" w:hAnsi="宋体" w:cs="宋体"/>
          <w:color w:val="000000"/>
          <w:lang w:val="en-US" w:eastAsia="zh-CN"/>
        </w:rPr>
        <w:t>2.2.2每周一次零点、标点检查或校准，检查站点周边情况及安全隐患排查；对上传至国家光化学平台数据进行审核；</w:t>
      </w:r>
    </w:p>
    <w:p w14:paraId="56C91058">
      <w:pPr>
        <w:widowControl/>
        <w:spacing w:line="360" w:lineRule="auto"/>
        <w:ind w:firstLine="371" w:firstLineChars="177"/>
        <w:jc w:val="left"/>
        <w:rPr>
          <w:rFonts w:hint="eastAsia" w:ascii="宋体" w:hAnsi="宋体" w:cs="宋体"/>
          <w:color w:val="000000"/>
          <w:lang w:val="en-US" w:eastAsia="zh-CN"/>
        </w:rPr>
      </w:pPr>
      <w:r>
        <w:rPr>
          <w:rFonts w:hint="eastAsia" w:ascii="宋体" w:hAnsi="宋体" w:cs="宋体"/>
          <w:color w:val="000000"/>
          <w:lang w:val="en-US" w:eastAsia="zh-CN"/>
        </w:rPr>
        <w:t>2.2.3每月一次检查或校准仪器采样流量；至少整理一次站点内部环境；</w:t>
      </w:r>
    </w:p>
    <w:p w14:paraId="414798F4">
      <w:pPr>
        <w:widowControl/>
        <w:spacing w:line="360" w:lineRule="auto"/>
        <w:ind w:firstLine="371" w:firstLineChars="177"/>
        <w:jc w:val="left"/>
        <w:rPr>
          <w:rFonts w:hint="eastAsia" w:ascii="宋体" w:hAnsi="宋体" w:cs="宋体"/>
          <w:color w:val="000000"/>
          <w:lang w:val="en-US" w:eastAsia="zh-CN"/>
        </w:rPr>
      </w:pPr>
      <w:r>
        <w:rPr>
          <w:rFonts w:hint="eastAsia" w:ascii="宋体" w:hAnsi="宋体" w:cs="宋体"/>
          <w:color w:val="000000"/>
          <w:lang w:val="en-US" w:eastAsia="zh-CN"/>
        </w:rPr>
        <w:t>2.2.4每季度一次标准曲线绘制、检漏检查和温度压力传感器检查；对空调滤网进行清理；</w:t>
      </w:r>
    </w:p>
    <w:p w14:paraId="60147744">
      <w:pPr>
        <w:widowControl/>
        <w:spacing w:line="360" w:lineRule="auto"/>
        <w:ind w:firstLine="371" w:firstLineChars="177"/>
        <w:jc w:val="left"/>
        <w:rPr>
          <w:rFonts w:hint="eastAsia" w:ascii="宋体" w:hAnsi="宋体" w:cs="宋体"/>
          <w:color w:val="000000"/>
          <w:lang w:val="en-US" w:eastAsia="zh-CN"/>
        </w:rPr>
      </w:pPr>
      <w:r>
        <w:rPr>
          <w:rFonts w:hint="eastAsia" w:ascii="宋体" w:hAnsi="宋体" w:cs="宋体"/>
          <w:color w:val="000000"/>
          <w:lang w:val="en-US" w:eastAsia="zh-CN"/>
        </w:rPr>
        <w:t>2.2.5每年一次对系统、辅助设备、校准或配气设备等开展预防性维护，对关键零部件进行拆卸清洁和保养，必要时进行更换。预防性维护后进行全面质控检查；</w:t>
      </w:r>
    </w:p>
    <w:p w14:paraId="3260A348">
      <w:pPr>
        <w:widowControl/>
        <w:spacing w:line="360" w:lineRule="auto"/>
        <w:ind w:firstLine="371" w:firstLineChars="177"/>
        <w:jc w:val="left"/>
        <w:rPr>
          <w:rFonts w:hint="eastAsia" w:ascii="宋体" w:hAnsi="宋体" w:cs="宋体"/>
          <w:color w:val="000000"/>
          <w:lang w:val="en-US" w:eastAsia="zh-CN"/>
        </w:rPr>
      </w:pPr>
      <w:r>
        <w:rPr>
          <w:rFonts w:hint="eastAsia" w:ascii="宋体" w:hAnsi="宋体" w:cs="宋体"/>
          <w:color w:val="000000"/>
          <w:lang w:val="en-US" w:eastAsia="zh-CN"/>
        </w:rPr>
        <w:t>2.2.6每年进行一次目标化合物测试，确定系统能够长期连续准确定性、定量的VOCs组分，形成监测点位的目标化合物名录，目标化合物名录测试考核指标主要包括空白检查、标准曲线、方法检出限和测定下限、分离度、期间精密度和准确度等。</w:t>
      </w:r>
    </w:p>
    <w:p w14:paraId="470CB461">
      <w:pPr>
        <w:pStyle w:val="3"/>
        <w:spacing w:before="190" w:after="190"/>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2.3</w:t>
      </w:r>
      <w:r>
        <w:rPr>
          <w:rFonts w:hint="eastAsia" w:ascii="宋体" w:hAnsi="宋体" w:eastAsia="宋体" w:cs="宋体"/>
          <w:sz w:val="24"/>
          <w:szCs w:val="24"/>
          <w:highlight w:val="none"/>
        </w:rPr>
        <w:t>运维</w:t>
      </w:r>
      <w:r>
        <w:rPr>
          <w:rFonts w:hint="eastAsia" w:ascii="宋体" w:hAnsi="宋体" w:eastAsia="宋体" w:cs="宋体"/>
          <w:sz w:val="24"/>
          <w:szCs w:val="24"/>
          <w:highlight w:val="none"/>
          <w:lang w:eastAsia="zh-CN"/>
        </w:rPr>
        <w:t>保障措施</w:t>
      </w:r>
    </w:p>
    <w:p w14:paraId="3A3EDCEC">
      <w:pPr>
        <w:widowControl/>
        <w:spacing w:line="360" w:lineRule="auto"/>
        <w:ind w:firstLine="371" w:firstLineChars="177"/>
        <w:jc w:val="left"/>
        <w:rPr>
          <w:rFonts w:hint="eastAsia" w:ascii="宋体" w:hAnsi="宋体" w:cs="宋体"/>
          <w:color w:val="000000"/>
          <w:lang w:val="en-US" w:eastAsia="zh-CN"/>
        </w:rPr>
      </w:pPr>
      <w:r>
        <w:rPr>
          <w:rFonts w:hint="eastAsia" w:ascii="宋体" w:hAnsi="宋体" w:cs="宋体"/>
          <w:color w:val="000000"/>
          <w:lang w:val="en-US" w:eastAsia="zh-CN"/>
        </w:rPr>
        <w:t>2.3.1投标人应具备完善的管理制度及技术人员培训制度，指定运维管理人员，建立独立的职能部门负责日常运营及质量管理。投标人应制定自动监测系统运行维护规章制度及相关技术手册，相关运维人员遵照该规章制度及招标单位运行管理规定开展工作。</w:t>
      </w:r>
    </w:p>
    <w:p w14:paraId="3E073CCA">
      <w:pPr>
        <w:widowControl/>
        <w:spacing w:line="360" w:lineRule="auto"/>
        <w:ind w:firstLine="371" w:firstLineChars="177"/>
        <w:jc w:val="left"/>
        <w:rPr>
          <w:rFonts w:hint="eastAsia" w:ascii="宋体" w:hAnsi="宋体" w:cs="宋体"/>
          <w:color w:val="000000"/>
          <w:lang w:val="en-US" w:eastAsia="zh-CN"/>
        </w:rPr>
      </w:pPr>
      <w:r>
        <w:rPr>
          <w:rFonts w:hint="eastAsia" w:ascii="宋体" w:hAnsi="宋体" w:cs="宋体"/>
          <w:color w:val="000000"/>
          <w:lang w:val="en-US" w:eastAsia="zh-CN"/>
        </w:rPr>
        <w:t>2.3.2必须至少安排1名专业技术人员负责每日仪器监控及日常维护。</w:t>
      </w:r>
    </w:p>
    <w:p w14:paraId="5ECF355E">
      <w:pPr>
        <w:widowControl/>
        <w:spacing w:line="360" w:lineRule="auto"/>
        <w:ind w:firstLine="371" w:firstLineChars="177"/>
        <w:jc w:val="left"/>
        <w:rPr>
          <w:rFonts w:hint="eastAsia" w:ascii="宋体" w:hAnsi="宋体" w:cs="宋体"/>
          <w:color w:val="000000"/>
          <w:lang w:val="en-US" w:eastAsia="zh-CN"/>
        </w:rPr>
      </w:pPr>
      <w:r>
        <w:rPr>
          <w:rFonts w:hint="eastAsia" w:ascii="宋体" w:hAnsi="宋体" w:cs="宋体"/>
          <w:color w:val="000000"/>
          <w:lang w:val="en-US" w:eastAsia="zh-CN"/>
        </w:rPr>
        <w:t>2.3.4 仪器发生故障或站点数据异常时，中标单位需2小时内响应。</w:t>
      </w:r>
    </w:p>
    <w:p w14:paraId="5DD2DA83">
      <w:pPr>
        <w:pStyle w:val="3"/>
        <w:spacing w:before="190" w:after="19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2.4运维耗材</w:t>
      </w:r>
    </w:p>
    <w:p w14:paraId="480F7747">
      <w:pPr>
        <w:widowControl/>
        <w:spacing w:line="360" w:lineRule="auto"/>
        <w:ind w:firstLine="371" w:firstLineChars="177"/>
        <w:jc w:val="left"/>
        <w:rPr>
          <w:rFonts w:hint="eastAsia" w:ascii="宋体" w:hAnsi="宋体" w:cs="宋体"/>
          <w:color w:val="000000"/>
          <w:lang w:val="en-US" w:eastAsia="zh-CN"/>
        </w:rPr>
      </w:pPr>
      <w:r>
        <w:rPr>
          <w:rFonts w:hint="eastAsia" w:ascii="宋体" w:hAnsi="宋体" w:cs="宋体"/>
          <w:color w:val="000000"/>
          <w:lang w:val="en-US" w:eastAsia="zh-CN"/>
        </w:rPr>
        <w:t>2.4.1为保证南平市非甲烷总烃自动监测站日常正常运行，中标单位需定期更换运行耗材，耗材及更换频次如下：</w:t>
      </w:r>
    </w:p>
    <w:tbl>
      <w:tblPr>
        <w:tblStyle w:val="15"/>
        <w:tblW w:w="87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9"/>
        <w:gridCol w:w="3805"/>
        <w:gridCol w:w="1095"/>
        <w:gridCol w:w="1650"/>
        <w:gridCol w:w="1125"/>
      </w:tblGrid>
      <w:tr w14:paraId="2B95E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9" w:type="dxa"/>
            <w:vAlign w:val="center"/>
          </w:tcPr>
          <w:p w14:paraId="58D8CD3E">
            <w:pPr>
              <w:keepNext w:val="0"/>
              <w:keepLines w:val="0"/>
              <w:widowControl/>
              <w:suppressLineNumbers w:val="0"/>
              <w:jc w:val="center"/>
              <w:textAlignment w:val="center"/>
              <w:rPr>
                <w:rFonts w:hint="default"/>
                <w:vertAlign w:val="baseline"/>
                <w:lang w:val="en-US" w:eastAsia="zh-CN"/>
              </w:rPr>
            </w:pPr>
            <w:r>
              <w:rPr>
                <w:rFonts w:hint="eastAsia"/>
                <w:vertAlign w:val="baseline"/>
                <w:lang w:val="en-US" w:eastAsia="zh-CN"/>
              </w:rPr>
              <w:t>序号</w:t>
            </w:r>
          </w:p>
        </w:tc>
        <w:tc>
          <w:tcPr>
            <w:tcW w:w="3805" w:type="dxa"/>
            <w:vAlign w:val="center"/>
          </w:tcPr>
          <w:p w14:paraId="4100A093">
            <w:pPr>
              <w:keepNext w:val="0"/>
              <w:keepLines w:val="0"/>
              <w:widowControl/>
              <w:suppressLineNumbers w:val="0"/>
              <w:jc w:val="center"/>
              <w:textAlignment w:val="center"/>
              <w:rPr>
                <w:rFonts w:hint="default"/>
                <w:vertAlign w:val="baseline"/>
                <w:lang w:val="en-US" w:eastAsia="zh-CN"/>
              </w:rPr>
            </w:pPr>
            <w:r>
              <w:rPr>
                <w:rFonts w:hint="eastAsia"/>
                <w:vertAlign w:val="baseline"/>
                <w:lang w:val="en-US" w:eastAsia="zh-CN"/>
              </w:rPr>
              <w:t>描述</w:t>
            </w:r>
          </w:p>
        </w:tc>
        <w:tc>
          <w:tcPr>
            <w:tcW w:w="1095" w:type="dxa"/>
            <w:vAlign w:val="center"/>
          </w:tcPr>
          <w:p w14:paraId="1D98D68C">
            <w:pPr>
              <w:keepNext w:val="0"/>
              <w:keepLines w:val="0"/>
              <w:widowControl/>
              <w:suppressLineNumbers w:val="0"/>
              <w:jc w:val="center"/>
              <w:textAlignment w:val="center"/>
              <w:rPr>
                <w:rFonts w:hint="default"/>
                <w:vertAlign w:val="baseline"/>
                <w:lang w:val="en-US" w:eastAsia="zh-CN"/>
              </w:rPr>
            </w:pPr>
            <w:r>
              <w:rPr>
                <w:rFonts w:hint="eastAsia"/>
                <w:vertAlign w:val="baseline"/>
                <w:lang w:val="en-US" w:eastAsia="zh-CN"/>
              </w:rPr>
              <w:t>数量</w:t>
            </w:r>
          </w:p>
        </w:tc>
        <w:tc>
          <w:tcPr>
            <w:tcW w:w="1650" w:type="dxa"/>
            <w:vAlign w:val="center"/>
          </w:tcPr>
          <w:p w14:paraId="7DE78B79">
            <w:pPr>
              <w:keepNext w:val="0"/>
              <w:keepLines w:val="0"/>
              <w:widowControl/>
              <w:suppressLineNumbers w:val="0"/>
              <w:jc w:val="center"/>
              <w:textAlignment w:val="center"/>
              <w:rPr>
                <w:rFonts w:hint="default"/>
                <w:vertAlign w:val="baseline"/>
                <w:lang w:val="en-US" w:eastAsia="zh-CN"/>
              </w:rPr>
            </w:pPr>
            <w:r>
              <w:rPr>
                <w:rFonts w:hint="eastAsia"/>
                <w:vertAlign w:val="baseline"/>
                <w:lang w:val="en-US" w:eastAsia="zh-CN"/>
              </w:rPr>
              <w:t>建议更换周期</w:t>
            </w:r>
          </w:p>
        </w:tc>
        <w:tc>
          <w:tcPr>
            <w:tcW w:w="1125" w:type="dxa"/>
            <w:vAlign w:val="center"/>
          </w:tcPr>
          <w:p w14:paraId="3C5A44A3">
            <w:pPr>
              <w:keepNext w:val="0"/>
              <w:keepLines w:val="0"/>
              <w:widowControl/>
              <w:suppressLineNumbers w:val="0"/>
              <w:jc w:val="center"/>
              <w:textAlignment w:val="center"/>
              <w:rPr>
                <w:rFonts w:hint="default"/>
                <w:vertAlign w:val="baseline"/>
                <w:lang w:val="en-US" w:eastAsia="zh-CN"/>
              </w:rPr>
            </w:pPr>
            <w:r>
              <w:rPr>
                <w:rFonts w:hint="eastAsia"/>
                <w:vertAlign w:val="baseline"/>
                <w:lang w:val="en-US" w:eastAsia="zh-CN"/>
              </w:rPr>
              <w:t>备注</w:t>
            </w:r>
          </w:p>
        </w:tc>
      </w:tr>
      <w:tr w14:paraId="12C10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9" w:type="dxa"/>
            <w:vAlign w:val="center"/>
          </w:tcPr>
          <w:p w14:paraId="5DE68C85">
            <w:pPr>
              <w:keepNext w:val="0"/>
              <w:keepLines w:val="0"/>
              <w:widowControl/>
              <w:suppressLineNumbers w:val="0"/>
              <w:jc w:val="center"/>
              <w:textAlignment w:val="center"/>
              <w:rPr>
                <w:rFonts w:hint="default"/>
                <w:vertAlign w:val="baseline"/>
                <w:lang w:val="en-US" w:eastAsia="zh-CN"/>
              </w:rPr>
            </w:pPr>
            <w:r>
              <w:rPr>
                <w:rFonts w:hint="eastAsia"/>
                <w:vertAlign w:val="baseline"/>
                <w:lang w:val="en-US" w:eastAsia="zh-CN"/>
              </w:rPr>
              <w:t>1</w:t>
            </w:r>
          </w:p>
        </w:tc>
        <w:tc>
          <w:tcPr>
            <w:tcW w:w="3805" w:type="dxa"/>
            <w:vAlign w:val="center"/>
          </w:tcPr>
          <w:p w14:paraId="3E030070">
            <w:pPr>
              <w:keepNext w:val="0"/>
              <w:keepLines w:val="0"/>
              <w:widowControl/>
              <w:suppressLineNumbers w:val="0"/>
              <w:jc w:val="center"/>
              <w:textAlignment w:val="center"/>
              <w:rPr>
                <w:rFonts w:hint="default"/>
                <w:vertAlign w:val="baseline"/>
                <w:lang w:val="en-US" w:eastAsia="zh-CN"/>
              </w:rPr>
            </w:pPr>
            <w:r>
              <w:rPr>
                <w:rFonts w:hint="eastAsia"/>
                <w:vertAlign w:val="baseline"/>
                <w:lang w:val="en-US" w:eastAsia="zh-CN"/>
              </w:rPr>
              <w:t>氮气</w:t>
            </w:r>
          </w:p>
        </w:tc>
        <w:tc>
          <w:tcPr>
            <w:tcW w:w="1095" w:type="dxa"/>
            <w:vAlign w:val="center"/>
          </w:tcPr>
          <w:p w14:paraId="4EA098DB">
            <w:pPr>
              <w:keepNext w:val="0"/>
              <w:keepLines w:val="0"/>
              <w:widowControl/>
              <w:suppressLineNumbers w:val="0"/>
              <w:jc w:val="center"/>
              <w:textAlignment w:val="center"/>
              <w:rPr>
                <w:rFonts w:hint="default"/>
                <w:vertAlign w:val="baseline"/>
                <w:lang w:val="en-US" w:eastAsia="zh-CN"/>
              </w:rPr>
            </w:pPr>
            <w:r>
              <w:rPr>
                <w:rFonts w:hint="eastAsia"/>
                <w:vertAlign w:val="baseline"/>
                <w:lang w:val="en-US" w:eastAsia="zh-CN"/>
              </w:rPr>
              <w:t>12</w:t>
            </w:r>
          </w:p>
        </w:tc>
        <w:tc>
          <w:tcPr>
            <w:tcW w:w="1650" w:type="dxa"/>
            <w:vAlign w:val="center"/>
          </w:tcPr>
          <w:p w14:paraId="61B9C9CE">
            <w:pPr>
              <w:keepNext w:val="0"/>
              <w:keepLines w:val="0"/>
              <w:widowControl/>
              <w:suppressLineNumbers w:val="0"/>
              <w:jc w:val="center"/>
              <w:textAlignment w:val="center"/>
              <w:rPr>
                <w:rFonts w:hint="default"/>
                <w:vertAlign w:val="baseline"/>
                <w:lang w:val="en-US" w:eastAsia="zh-CN"/>
              </w:rPr>
            </w:pPr>
            <w:r>
              <w:rPr>
                <w:rFonts w:hint="eastAsia"/>
                <w:vertAlign w:val="baseline"/>
                <w:lang w:val="en-US" w:eastAsia="zh-CN"/>
              </w:rPr>
              <w:t>1个月</w:t>
            </w:r>
          </w:p>
        </w:tc>
        <w:tc>
          <w:tcPr>
            <w:tcW w:w="1125" w:type="dxa"/>
            <w:vAlign w:val="center"/>
          </w:tcPr>
          <w:p w14:paraId="41D94838">
            <w:pPr>
              <w:keepNext w:val="0"/>
              <w:keepLines w:val="0"/>
              <w:widowControl/>
              <w:suppressLineNumbers w:val="0"/>
              <w:jc w:val="center"/>
              <w:textAlignment w:val="center"/>
              <w:rPr>
                <w:rFonts w:hint="default"/>
                <w:vertAlign w:val="baseline"/>
                <w:lang w:val="en-US" w:eastAsia="zh-CN"/>
              </w:rPr>
            </w:pPr>
            <w:r>
              <w:rPr>
                <w:rFonts w:hint="eastAsia"/>
                <w:vertAlign w:val="baseline"/>
                <w:lang w:val="en-US" w:eastAsia="zh-CN"/>
              </w:rPr>
              <w:t>耗材</w:t>
            </w:r>
          </w:p>
        </w:tc>
      </w:tr>
      <w:tr w14:paraId="15B7A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9" w:type="dxa"/>
            <w:vAlign w:val="center"/>
          </w:tcPr>
          <w:p w14:paraId="6C9C3167">
            <w:pPr>
              <w:keepNext w:val="0"/>
              <w:keepLines w:val="0"/>
              <w:widowControl/>
              <w:suppressLineNumbers w:val="0"/>
              <w:jc w:val="center"/>
              <w:textAlignment w:val="center"/>
              <w:rPr>
                <w:rFonts w:hint="default"/>
                <w:vertAlign w:val="baseline"/>
                <w:lang w:val="en-US" w:eastAsia="zh-CN"/>
              </w:rPr>
            </w:pPr>
            <w:r>
              <w:rPr>
                <w:rFonts w:hint="eastAsia"/>
                <w:vertAlign w:val="baseline"/>
                <w:lang w:val="en-US" w:eastAsia="zh-CN"/>
              </w:rPr>
              <w:t>2</w:t>
            </w:r>
          </w:p>
        </w:tc>
        <w:tc>
          <w:tcPr>
            <w:tcW w:w="3805" w:type="dxa"/>
            <w:vAlign w:val="center"/>
          </w:tcPr>
          <w:p w14:paraId="2C518EB2">
            <w:pPr>
              <w:keepNext w:val="0"/>
              <w:keepLines w:val="0"/>
              <w:widowControl/>
              <w:suppressLineNumbers w:val="0"/>
              <w:jc w:val="center"/>
              <w:textAlignment w:val="center"/>
              <w:rPr>
                <w:rFonts w:hint="default"/>
                <w:vertAlign w:val="baseline"/>
                <w:lang w:val="en-US" w:eastAsia="zh-CN"/>
              </w:rPr>
            </w:pPr>
            <w:r>
              <w:rPr>
                <w:rFonts w:hint="eastAsia"/>
                <w:vertAlign w:val="baseline"/>
                <w:lang w:val="en-US" w:eastAsia="zh-CN"/>
              </w:rPr>
              <w:t>FID 喷嘴</w:t>
            </w:r>
          </w:p>
        </w:tc>
        <w:tc>
          <w:tcPr>
            <w:tcW w:w="1095" w:type="dxa"/>
            <w:vAlign w:val="center"/>
          </w:tcPr>
          <w:p w14:paraId="7F391610">
            <w:pPr>
              <w:keepNext w:val="0"/>
              <w:keepLines w:val="0"/>
              <w:widowControl/>
              <w:suppressLineNumbers w:val="0"/>
              <w:jc w:val="center"/>
              <w:textAlignment w:val="center"/>
              <w:rPr>
                <w:rFonts w:hint="default"/>
                <w:vertAlign w:val="baseline"/>
                <w:lang w:val="en-US" w:eastAsia="zh-CN"/>
              </w:rPr>
            </w:pPr>
            <w:r>
              <w:rPr>
                <w:rFonts w:hint="eastAsia"/>
                <w:vertAlign w:val="baseline"/>
                <w:lang w:val="en-US" w:eastAsia="zh-CN"/>
              </w:rPr>
              <w:t>1</w:t>
            </w:r>
          </w:p>
        </w:tc>
        <w:tc>
          <w:tcPr>
            <w:tcW w:w="1650" w:type="dxa"/>
            <w:vAlign w:val="center"/>
          </w:tcPr>
          <w:p w14:paraId="717A2AD0">
            <w:pPr>
              <w:keepNext w:val="0"/>
              <w:keepLines w:val="0"/>
              <w:widowControl/>
              <w:suppressLineNumbers w:val="0"/>
              <w:jc w:val="center"/>
              <w:textAlignment w:val="center"/>
              <w:rPr>
                <w:rFonts w:hint="default"/>
                <w:vertAlign w:val="baseline"/>
                <w:lang w:val="en-US" w:eastAsia="zh-CN"/>
              </w:rPr>
            </w:pPr>
            <w:r>
              <w:rPr>
                <w:rFonts w:hint="eastAsia"/>
                <w:vertAlign w:val="baseline"/>
                <w:lang w:val="en-US" w:eastAsia="zh-CN"/>
              </w:rPr>
              <w:t>6 个月</w:t>
            </w:r>
          </w:p>
        </w:tc>
        <w:tc>
          <w:tcPr>
            <w:tcW w:w="1125" w:type="dxa"/>
            <w:vAlign w:val="center"/>
          </w:tcPr>
          <w:p w14:paraId="6EC58DBF">
            <w:pPr>
              <w:keepNext w:val="0"/>
              <w:keepLines w:val="0"/>
              <w:widowControl/>
              <w:suppressLineNumbers w:val="0"/>
              <w:jc w:val="center"/>
              <w:textAlignment w:val="center"/>
              <w:rPr>
                <w:rFonts w:hint="default"/>
                <w:vertAlign w:val="baseline"/>
                <w:lang w:val="en-US" w:eastAsia="zh-CN"/>
              </w:rPr>
            </w:pPr>
            <w:r>
              <w:rPr>
                <w:rFonts w:hint="eastAsia"/>
                <w:vertAlign w:val="baseline"/>
                <w:lang w:val="en-US" w:eastAsia="zh-CN"/>
              </w:rPr>
              <w:t>耗材</w:t>
            </w:r>
          </w:p>
        </w:tc>
      </w:tr>
      <w:tr w14:paraId="2CFAE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9" w:type="dxa"/>
            <w:vAlign w:val="center"/>
          </w:tcPr>
          <w:p w14:paraId="4D9815E8">
            <w:pPr>
              <w:keepNext w:val="0"/>
              <w:keepLines w:val="0"/>
              <w:widowControl/>
              <w:suppressLineNumbers w:val="0"/>
              <w:jc w:val="center"/>
              <w:textAlignment w:val="center"/>
              <w:rPr>
                <w:rFonts w:hint="default"/>
                <w:vertAlign w:val="baseline"/>
                <w:lang w:val="en-US" w:eastAsia="zh-CN"/>
              </w:rPr>
            </w:pPr>
            <w:r>
              <w:rPr>
                <w:rFonts w:hint="eastAsia"/>
                <w:vertAlign w:val="baseline"/>
                <w:lang w:val="en-US" w:eastAsia="zh-CN"/>
              </w:rPr>
              <w:t>3</w:t>
            </w:r>
          </w:p>
        </w:tc>
        <w:tc>
          <w:tcPr>
            <w:tcW w:w="3805" w:type="dxa"/>
            <w:vAlign w:val="center"/>
          </w:tcPr>
          <w:p w14:paraId="504847BE">
            <w:pPr>
              <w:keepNext w:val="0"/>
              <w:keepLines w:val="0"/>
              <w:widowControl/>
              <w:suppressLineNumbers w:val="0"/>
              <w:jc w:val="center"/>
              <w:textAlignment w:val="center"/>
              <w:rPr>
                <w:rFonts w:hint="default"/>
                <w:vertAlign w:val="baseline"/>
                <w:lang w:val="en-US" w:eastAsia="zh-CN"/>
              </w:rPr>
            </w:pPr>
            <w:r>
              <w:rPr>
                <w:rFonts w:hint="eastAsia"/>
                <w:vertAlign w:val="baseline"/>
                <w:lang w:val="en-US" w:eastAsia="zh-CN"/>
              </w:rPr>
              <w:t>标气</w:t>
            </w:r>
          </w:p>
        </w:tc>
        <w:tc>
          <w:tcPr>
            <w:tcW w:w="1095" w:type="dxa"/>
            <w:vAlign w:val="center"/>
          </w:tcPr>
          <w:p w14:paraId="4222509E">
            <w:pPr>
              <w:keepNext w:val="0"/>
              <w:keepLines w:val="0"/>
              <w:widowControl/>
              <w:suppressLineNumbers w:val="0"/>
              <w:jc w:val="center"/>
              <w:textAlignment w:val="center"/>
              <w:rPr>
                <w:rFonts w:hint="default"/>
                <w:vertAlign w:val="baseline"/>
                <w:lang w:val="en-US" w:eastAsia="zh-CN"/>
              </w:rPr>
            </w:pPr>
            <w:r>
              <w:rPr>
                <w:rFonts w:hint="eastAsia"/>
                <w:vertAlign w:val="baseline"/>
                <w:lang w:val="en-US" w:eastAsia="zh-CN"/>
              </w:rPr>
              <w:t>4</w:t>
            </w:r>
          </w:p>
        </w:tc>
        <w:tc>
          <w:tcPr>
            <w:tcW w:w="1650" w:type="dxa"/>
            <w:vAlign w:val="center"/>
          </w:tcPr>
          <w:p w14:paraId="135C3105">
            <w:pPr>
              <w:keepNext w:val="0"/>
              <w:keepLines w:val="0"/>
              <w:widowControl/>
              <w:suppressLineNumbers w:val="0"/>
              <w:jc w:val="center"/>
              <w:textAlignment w:val="center"/>
              <w:rPr>
                <w:rFonts w:hint="default"/>
                <w:vertAlign w:val="baseline"/>
                <w:lang w:val="en-US" w:eastAsia="zh-CN"/>
              </w:rPr>
            </w:pPr>
            <w:r>
              <w:rPr>
                <w:rFonts w:hint="eastAsia"/>
                <w:vertAlign w:val="baseline"/>
                <w:lang w:val="en-US" w:eastAsia="zh-CN"/>
              </w:rPr>
              <w:t>6个月</w:t>
            </w:r>
          </w:p>
        </w:tc>
        <w:tc>
          <w:tcPr>
            <w:tcW w:w="1125" w:type="dxa"/>
            <w:vAlign w:val="center"/>
          </w:tcPr>
          <w:p w14:paraId="3A9E9C39">
            <w:pPr>
              <w:keepNext w:val="0"/>
              <w:keepLines w:val="0"/>
              <w:widowControl/>
              <w:suppressLineNumbers w:val="0"/>
              <w:jc w:val="center"/>
              <w:textAlignment w:val="center"/>
              <w:rPr>
                <w:rFonts w:hint="default"/>
                <w:vertAlign w:val="baseline"/>
                <w:lang w:val="en-US" w:eastAsia="zh-CN"/>
              </w:rPr>
            </w:pPr>
            <w:r>
              <w:rPr>
                <w:rFonts w:hint="eastAsia"/>
                <w:vertAlign w:val="baseline"/>
                <w:lang w:val="en-US" w:eastAsia="zh-CN"/>
              </w:rPr>
              <w:t>耗材</w:t>
            </w:r>
          </w:p>
        </w:tc>
      </w:tr>
      <w:tr w14:paraId="4C0F6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9" w:type="dxa"/>
            <w:vAlign w:val="center"/>
          </w:tcPr>
          <w:p w14:paraId="6EDEF010">
            <w:pPr>
              <w:keepNext w:val="0"/>
              <w:keepLines w:val="0"/>
              <w:widowControl/>
              <w:suppressLineNumbers w:val="0"/>
              <w:jc w:val="center"/>
              <w:textAlignment w:val="center"/>
              <w:rPr>
                <w:rFonts w:hint="default"/>
                <w:vertAlign w:val="baseline"/>
                <w:lang w:val="en-US" w:eastAsia="zh-CN"/>
              </w:rPr>
            </w:pPr>
            <w:r>
              <w:rPr>
                <w:rFonts w:hint="eastAsia"/>
                <w:vertAlign w:val="baseline"/>
                <w:lang w:val="en-US" w:eastAsia="zh-CN"/>
              </w:rPr>
              <w:t>4</w:t>
            </w:r>
          </w:p>
        </w:tc>
        <w:tc>
          <w:tcPr>
            <w:tcW w:w="3805" w:type="dxa"/>
            <w:vAlign w:val="center"/>
          </w:tcPr>
          <w:p w14:paraId="63CE046F">
            <w:pPr>
              <w:keepNext w:val="0"/>
              <w:keepLines w:val="0"/>
              <w:widowControl/>
              <w:suppressLineNumbers w:val="0"/>
              <w:jc w:val="center"/>
              <w:textAlignment w:val="center"/>
              <w:rPr>
                <w:rFonts w:hint="default"/>
                <w:vertAlign w:val="baseline"/>
                <w:lang w:val="en-US" w:eastAsia="zh-CN"/>
              </w:rPr>
            </w:pPr>
            <w:r>
              <w:rPr>
                <w:rFonts w:hint="eastAsia"/>
                <w:vertAlign w:val="baseline"/>
                <w:lang w:val="en-US" w:eastAsia="zh-CN"/>
              </w:rPr>
              <w:t>十通阀膜片</w:t>
            </w:r>
          </w:p>
        </w:tc>
        <w:tc>
          <w:tcPr>
            <w:tcW w:w="1095" w:type="dxa"/>
            <w:vAlign w:val="center"/>
          </w:tcPr>
          <w:p w14:paraId="1B4E355C">
            <w:pPr>
              <w:keepNext w:val="0"/>
              <w:keepLines w:val="0"/>
              <w:widowControl/>
              <w:suppressLineNumbers w:val="0"/>
              <w:jc w:val="center"/>
              <w:textAlignment w:val="center"/>
              <w:rPr>
                <w:rFonts w:hint="default"/>
                <w:vertAlign w:val="baseline"/>
                <w:lang w:val="en-US" w:eastAsia="zh-CN"/>
              </w:rPr>
            </w:pPr>
            <w:r>
              <w:rPr>
                <w:rFonts w:hint="eastAsia"/>
                <w:vertAlign w:val="baseline"/>
                <w:lang w:val="en-US" w:eastAsia="zh-CN"/>
              </w:rPr>
              <w:t>1</w:t>
            </w:r>
          </w:p>
        </w:tc>
        <w:tc>
          <w:tcPr>
            <w:tcW w:w="1650" w:type="dxa"/>
            <w:vAlign w:val="center"/>
          </w:tcPr>
          <w:p w14:paraId="081CE128">
            <w:pPr>
              <w:keepNext w:val="0"/>
              <w:keepLines w:val="0"/>
              <w:widowControl/>
              <w:suppressLineNumbers w:val="0"/>
              <w:jc w:val="center"/>
              <w:textAlignment w:val="center"/>
              <w:rPr>
                <w:rFonts w:hint="default"/>
                <w:vertAlign w:val="baseline"/>
                <w:lang w:val="en-US" w:eastAsia="zh-CN"/>
              </w:rPr>
            </w:pPr>
            <w:r>
              <w:rPr>
                <w:rFonts w:hint="eastAsia"/>
                <w:vertAlign w:val="baseline"/>
                <w:lang w:val="en-US" w:eastAsia="zh-CN"/>
              </w:rPr>
              <w:t>1 年</w:t>
            </w:r>
          </w:p>
        </w:tc>
        <w:tc>
          <w:tcPr>
            <w:tcW w:w="1125" w:type="dxa"/>
            <w:vAlign w:val="center"/>
          </w:tcPr>
          <w:p w14:paraId="41011D9C">
            <w:pPr>
              <w:keepNext w:val="0"/>
              <w:keepLines w:val="0"/>
              <w:widowControl/>
              <w:suppressLineNumbers w:val="0"/>
              <w:jc w:val="center"/>
              <w:textAlignment w:val="center"/>
              <w:rPr>
                <w:rFonts w:hint="default"/>
                <w:vertAlign w:val="baseline"/>
                <w:lang w:val="en-US" w:eastAsia="zh-CN"/>
              </w:rPr>
            </w:pPr>
            <w:r>
              <w:rPr>
                <w:rFonts w:hint="eastAsia"/>
                <w:vertAlign w:val="baseline"/>
                <w:lang w:val="en-US" w:eastAsia="zh-CN"/>
              </w:rPr>
              <w:t>耗材</w:t>
            </w:r>
          </w:p>
        </w:tc>
      </w:tr>
      <w:tr w14:paraId="52052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9" w:type="dxa"/>
            <w:vAlign w:val="center"/>
          </w:tcPr>
          <w:p w14:paraId="3BC5865E">
            <w:pPr>
              <w:keepNext w:val="0"/>
              <w:keepLines w:val="0"/>
              <w:widowControl/>
              <w:suppressLineNumbers w:val="0"/>
              <w:jc w:val="center"/>
              <w:textAlignment w:val="center"/>
              <w:rPr>
                <w:rFonts w:hint="default"/>
                <w:vertAlign w:val="baseline"/>
                <w:lang w:val="en-US" w:eastAsia="zh-CN"/>
              </w:rPr>
            </w:pPr>
            <w:r>
              <w:rPr>
                <w:rFonts w:hint="eastAsia"/>
                <w:vertAlign w:val="baseline"/>
                <w:lang w:val="en-US" w:eastAsia="zh-CN"/>
              </w:rPr>
              <w:t>5</w:t>
            </w:r>
          </w:p>
        </w:tc>
        <w:tc>
          <w:tcPr>
            <w:tcW w:w="3805" w:type="dxa"/>
            <w:vAlign w:val="center"/>
          </w:tcPr>
          <w:p w14:paraId="350FC13E">
            <w:pPr>
              <w:keepNext w:val="0"/>
              <w:keepLines w:val="0"/>
              <w:widowControl/>
              <w:suppressLineNumbers w:val="0"/>
              <w:jc w:val="center"/>
              <w:textAlignment w:val="center"/>
              <w:rPr>
                <w:rFonts w:hint="default"/>
                <w:vertAlign w:val="baseline"/>
                <w:lang w:val="en-US" w:eastAsia="zh-CN"/>
              </w:rPr>
            </w:pPr>
            <w:r>
              <w:rPr>
                <w:rFonts w:hint="eastAsia"/>
                <w:vertAlign w:val="baseline"/>
                <w:lang w:val="en-US" w:eastAsia="zh-CN"/>
              </w:rPr>
              <w:t>六通阀膜片</w:t>
            </w:r>
          </w:p>
        </w:tc>
        <w:tc>
          <w:tcPr>
            <w:tcW w:w="1095" w:type="dxa"/>
            <w:vAlign w:val="center"/>
          </w:tcPr>
          <w:p w14:paraId="5419DC83">
            <w:pPr>
              <w:keepNext w:val="0"/>
              <w:keepLines w:val="0"/>
              <w:widowControl/>
              <w:suppressLineNumbers w:val="0"/>
              <w:jc w:val="center"/>
              <w:textAlignment w:val="center"/>
              <w:rPr>
                <w:rFonts w:hint="default"/>
                <w:vertAlign w:val="baseline"/>
                <w:lang w:val="en-US" w:eastAsia="zh-CN"/>
              </w:rPr>
            </w:pPr>
            <w:r>
              <w:rPr>
                <w:rFonts w:hint="eastAsia"/>
                <w:vertAlign w:val="baseline"/>
                <w:lang w:val="en-US" w:eastAsia="zh-CN"/>
              </w:rPr>
              <w:t>1</w:t>
            </w:r>
          </w:p>
        </w:tc>
        <w:tc>
          <w:tcPr>
            <w:tcW w:w="1650" w:type="dxa"/>
            <w:vAlign w:val="center"/>
          </w:tcPr>
          <w:p w14:paraId="32ED06EE">
            <w:pPr>
              <w:keepNext w:val="0"/>
              <w:keepLines w:val="0"/>
              <w:widowControl/>
              <w:suppressLineNumbers w:val="0"/>
              <w:jc w:val="center"/>
              <w:textAlignment w:val="center"/>
              <w:rPr>
                <w:rFonts w:hint="default"/>
                <w:vertAlign w:val="baseline"/>
                <w:lang w:val="en-US" w:eastAsia="zh-CN"/>
              </w:rPr>
            </w:pPr>
            <w:r>
              <w:rPr>
                <w:rFonts w:hint="eastAsia"/>
                <w:vertAlign w:val="baseline"/>
                <w:lang w:val="en-US" w:eastAsia="zh-CN"/>
              </w:rPr>
              <w:t>1 年</w:t>
            </w:r>
          </w:p>
        </w:tc>
        <w:tc>
          <w:tcPr>
            <w:tcW w:w="1125" w:type="dxa"/>
            <w:vAlign w:val="center"/>
          </w:tcPr>
          <w:p w14:paraId="4139615B">
            <w:pPr>
              <w:keepNext w:val="0"/>
              <w:keepLines w:val="0"/>
              <w:widowControl/>
              <w:suppressLineNumbers w:val="0"/>
              <w:jc w:val="center"/>
              <w:textAlignment w:val="center"/>
              <w:rPr>
                <w:rFonts w:hint="default"/>
                <w:vertAlign w:val="baseline"/>
                <w:lang w:val="en-US" w:eastAsia="zh-CN"/>
              </w:rPr>
            </w:pPr>
            <w:r>
              <w:rPr>
                <w:rFonts w:hint="eastAsia"/>
                <w:vertAlign w:val="baseline"/>
                <w:lang w:val="en-US" w:eastAsia="zh-CN"/>
              </w:rPr>
              <w:t>耗材</w:t>
            </w:r>
          </w:p>
        </w:tc>
      </w:tr>
      <w:tr w14:paraId="00EA4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9" w:type="dxa"/>
            <w:vAlign w:val="center"/>
          </w:tcPr>
          <w:p w14:paraId="695FD3AD">
            <w:pPr>
              <w:keepNext w:val="0"/>
              <w:keepLines w:val="0"/>
              <w:widowControl/>
              <w:suppressLineNumbers w:val="0"/>
              <w:jc w:val="center"/>
              <w:textAlignment w:val="center"/>
              <w:rPr>
                <w:rFonts w:hint="default"/>
                <w:vertAlign w:val="baseline"/>
                <w:lang w:val="en-US" w:eastAsia="zh-CN"/>
              </w:rPr>
            </w:pPr>
            <w:r>
              <w:rPr>
                <w:rFonts w:hint="eastAsia"/>
                <w:vertAlign w:val="baseline"/>
                <w:lang w:val="en-US" w:eastAsia="zh-CN"/>
              </w:rPr>
              <w:t>6</w:t>
            </w:r>
          </w:p>
        </w:tc>
        <w:tc>
          <w:tcPr>
            <w:tcW w:w="3805" w:type="dxa"/>
            <w:vAlign w:val="center"/>
          </w:tcPr>
          <w:p w14:paraId="1401CC8C">
            <w:pPr>
              <w:keepNext w:val="0"/>
              <w:keepLines w:val="0"/>
              <w:widowControl/>
              <w:suppressLineNumbers w:val="0"/>
              <w:jc w:val="center"/>
              <w:textAlignment w:val="center"/>
              <w:rPr>
                <w:rFonts w:hint="default"/>
                <w:vertAlign w:val="baseline"/>
                <w:lang w:val="en-US" w:eastAsia="zh-CN"/>
              </w:rPr>
            </w:pPr>
            <w:r>
              <w:rPr>
                <w:rFonts w:hint="eastAsia"/>
                <w:vertAlign w:val="baseline"/>
                <w:lang w:val="en-US" w:eastAsia="zh-CN"/>
              </w:rPr>
              <w:t>阻尼管(10cm)</w:t>
            </w:r>
          </w:p>
        </w:tc>
        <w:tc>
          <w:tcPr>
            <w:tcW w:w="1095" w:type="dxa"/>
            <w:vAlign w:val="center"/>
          </w:tcPr>
          <w:p w14:paraId="60D820DB">
            <w:pPr>
              <w:keepNext w:val="0"/>
              <w:keepLines w:val="0"/>
              <w:widowControl/>
              <w:suppressLineNumbers w:val="0"/>
              <w:jc w:val="center"/>
              <w:textAlignment w:val="center"/>
              <w:rPr>
                <w:rFonts w:hint="default"/>
                <w:vertAlign w:val="baseline"/>
                <w:lang w:val="en-US" w:eastAsia="zh-CN"/>
              </w:rPr>
            </w:pPr>
            <w:r>
              <w:rPr>
                <w:rFonts w:hint="eastAsia"/>
                <w:vertAlign w:val="baseline"/>
                <w:lang w:val="en-US" w:eastAsia="zh-CN"/>
              </w:rPr>
              <w:t>1</w:t>
            </w:r>
          </w:p>
        </w:tc>
        <w:tc>
          <w:tcPr>
            <w:tcW w:w="1650" w:type="dxa"/>
            <w:vAlign w:val="center"/>
          </w:tcPr>
          <w:p w14:paraId="0101C769">
            <w:pPr>
              <w:keepNext w:val="0"/>
              <w:keepLines w:val="0"/>
              <w:widowControl/>
              <w:suppressLineNumbers w:val="0"/>
              <w:jc w:val="center"/>
              <w:textAlignment w:val="center"/>
              <w:rPr>
                <w:rFonts w:hint="default"/>
                <w:vertAlign w:val="baseline"/>
                <w:lang w:val="en-US" w:eastAsia="zh-CN"/>
              </w:rPr>
            </w:pPr>
            <w:r>
              <w:rPr>
                <w:rFonts w:hint="eastAsia"/>
                <w:vertAlign w:val="baseline"/>
                <w:lang w:val="en-US" w:eastAsia="zh-CN"/>
              </w:rPr>
              <w:t>1 年</w:t>
            </w:r>
          </w:p>
        </w:tc>
        <w:tc>
          <w:tcPr>
            <w:tcW w:w="1125" w:type="dxa"/>
            <w:vAlign w:val="center"/>
          </w:tcPr>
          <w:p w14:paraId="0DDE6C4A">
            <w:pPr>
              <w:keepNext w:val="0"/>
              <w:keepLines w:val="0"/>
              <w:widowControl/>
              <w:suppressLineNumbers w:val="0"/>
              <w:jc w:val="center"/>
              <w:textAlignment w:val="center"/>
              <w:rPr>
                <w:rFonts w:hint="default"/>
                <w:vertAlign w:val="baseline"/>
                <w:lang w:val="en-US" w:eastAsia="zh-CN"/>
              </w:rPr>
            </w:pPr>
            <w:r>
              <w:rPr>
                <w:rFonts w:hint="eastAsia"/>
                <w:vertAlign w:val="baseline"/>
                <w:lang w:val="en-US" w:eastAsia="zh-CN"/>
              </w:rPr>
              <w:t>耗材</w:t>
            </w:r>
          </w:p>
        </w:tc>
      </w:tr>
      <w:tr w14:paraId="7B22E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9" w:type="dxa"/>
            <w:vAlign w:val="center"/>
          </w:tcPr>
          <w:p w14:paraId="14867ED4">
            <w:pPr>
              <w:keepNext w:val="0"/>
              <w:keepLines w:val="0"/>
              <w:widowControl/>
              <w:suppressLineNumbers w:val="0"/>
              <w:jc w:val="center"/>
              <w:textAlignment w:val="center"/>
              <w:rPr>
                <w:rFonts w:hint="default"/>
                <w:vertAlign w:val="baseline"/>
                <w:lang w:val="en-US" w:eastAsia="zh-CN"/>
              </w:rPr>
            </w:pPr>
            <w:r>
              <w:rPr>
                <w:rFonts w:hint="eastAsia"/>
                <w:vertAlign w:val="baseline"/>
                <w:lang w:val="en-US" w:eastAsia="zh-CN"/>
              </w:rPr>
              <w:t>7</w:t>
            </w:r>
          </w:p>
        </w:tc>
        <w:tc>
          <w:tcPr>
            <w:tcW w:w="3805" w:type="dxa"/>
            <w:vAlign w:val="center"/>
          </w:tcPr>
          <w:p w14:paraId="6C6A2334">
            <w:pPr>
              <w:keepNext w:val="0"/>
              <w:keepLines w:val="0"/>
              <w:widowControl/>
              <w:suppressLineNumbers w:val="0"/>
              <w:jc w:val="center"/>
              <w:textAlignment w:val="center"/>
              <w:rPr>
                <w:rFonts w:hint="default"/>
                <w:vertAlign w:val="baseline"/>
                <w:lang w:val="en-US" w:eastAsia="zh-CN"/>
              </w:rPr>
            </w:pPr>
            <w:r>
              <w:rPr>
                <w:rFonts w:hint="eastAsia"/>
                <w:vertAlign w:val="baseline"/>
                <w:lang w:val="en-US" w:eastAsia="zh-CN"/>
              </w:rPr>
              <w:t>PEEK 管(1/16"*0.50mm)</w:t>
            </w:r>
          </w:p>
        </w:tc>
        <w:tc>
          <w:tcPr>
            <w:tcW w:w="1095" w:type="dxa"/>
            <w:vAlign w:val="center"/>
          </w:tcPr>
          <w:p w14:paraId="010D0B2E">
            <w:pPr>
              <w:keepNext w:val="0"/>
              <w:keepLines w:val="0"/>
              <w:widowControl/>
              <w:suppressLineNumbers w:val="0"/>
              <w:jc w:val="center"/>
              <w:textAlignment w:val="center"/>
              <w:rPr>
                <w:rFonts w:hint="default"/>
                <w:vertAlign w:val="baseline"/>
                <w:lang w:val="en-US" w:eastAsia="zh-CN"/>
              </w:rPr>
            </w:pPr>
            <w:r>
              <w:rPr>
                <w:rFonts w:hint="eastAsia"/>
                <w:vertAlign w:val="baseline"/>
                <w:lang w:val="en-US" w:eastAsia="zh-CN"/>
              </w:rPr>
              <w:t>1</w:t>
            </w:r>
          </w:p>
        </w:tc>
        <w:tc>
          <w:tcPr>
            <w:tcW w:w="1650" w:type="dxa"/>
            <w:vAlign w:val="center"/>
          </w:tcPr>
          <w:p w14:paraId="3F60897C">
            <w:pPr>
              <w:keepNext w:val="0"/>
              <w:keepLines w:val="0"/>
              <w:widowControl/>
              <w:suppressLineNumbers w:val="0"/>
              <w:jc w:val="center"/>
              <w:textAlignment w:val="center"/>
              <w:rPr>
                <w:rFonts w:hint="default"/>
                <w:vertAlign w:val="baseline"/>
                <w:lang w:val="en-US" w:eastAsia="zh-CN"/>
              </w:rPr>
            </w:pPr>
            <w:r>
              <w:rPr>
                <w:rFonts w:hint="eastAsia"/>
                <w:vertAlign w:val="baseline"/>
                <w:lang w:val="en-US" w:eastAsia="zh-CN"/>
              </w:rPr>
              <w:t>1 年</w:t>
            </w:r>
          </w:p>
        </w:tc>
        <w:tc>
          <w:tcPr>
            <w:tcW w:w="1125" w:type="dxa"/>
            <w:vAlign w:val="center"/>
          </w:tcPr>
          <w:p w14:paraId="37801C77">
            <w:pPr>
              <w:keepNext w:val="0"/>
              <w:keepLines w:val="0"/>
              <w:widowControl/>
              <w:suppressLineNumbers w:val="0"/>
              <w:jc w:val="center"/>
              <w:textAlignment w:val="center"/>
              <w:rPr>
                <w:rFonts w:hint="default"/>
                <w:vertAlign w:val="baseline"/>
                <w:lang w:val="en-US" w:eastAsia="zh-CN"/>
              </w:rPr>
            </w:pPr>
            <w:r>
              <w:rPr>
                <w:rFonts w:hint="eastAsia"/>
                <w:vertAlign w:val="baseline"/>
                <w:lang w:val="en-US" w:eastAsia="zh-CN"/>
              </w:rPr>
              <w:t>耗材</w:t>
            </w:r>
          </w:p>
        </w:tc>
      </w:tr>
      <w:tr w14:paraId="58ED9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9" w:type="dxa"/>
            <w:vAlign w:val="center"/>
          </w:tcPr>
          <w:p w14:paraId="2F9EA16C">
            <w:pPr>
              <w:keepNext w:val="0"/>
              <w:keepLines w:val="0"/>
              <w:widowControl/>
              <w:suppressLineNumbers w:val="0"/>
              <w:jc w:val="center"/>
              <w:textAlignment w:val="center"/>
              <w:rPr>
                <w:rFonts w:hint="default"/>
                <w:vertAlign w:val="baseline"/>
                <w:lang w:val="en-US" w:eastAsia="zh-CN"/>
              </w:rPr>
            </w:pPr>
            <w:r>
              <w:rPr>
                <w:rFonts w:hint="eastAsia"/>
                <w:vertAlign w:val="baseline"/>
                <w:lang w:val="en-US" w:eastAsia="zh-CN"/>
              </w:rPr>
              <w:t>8</w:t>
            </w:r>
          </w:p>
        </w:tc>
        <w:tc>
          <w:tcPr>
            <w:tcW w:w="3805" w:type="dxa"/>
            <w:vAlign w:val="center"/>
          </w:tcPr>
          <w:p w14:paraId="61CCB223">
            <w:pPr>
              <w:keepNext w:val="0"/>
              <w:keepLines w:val="0"/>
              <w:widowControl/>
              <w:suppressLineNumbers w:val="0"/>
              <w:jc w:val="center"/>
              <w:textAlignment w:val="center"/>
              <w:rPr>
                <w:rFonts w:hint="default"/>
                <w:vertAlign w:val="baseline"/>
                <w:lang w:val="en-US" w:eastAsia="zh-CN"/>
              </w:rPr>
            </w:pPr>
            <w:r>
              <w:rPr>
                <w:rFonts w:hint="eastAsia"/>
                <w:vertAlign w:val="baseline"/>
                <w:lang w:val="en-US" w:eastAsia="zh-CN"/>
              </w:rPr>
              <w:t>1/16 螺母卡套组  (螺母+卡套)</w:t>
            </w:r>
          </w:p>
        </w:tc>
        <w:tc>
          <w:tcPr>
            <w:tcW w:w="1095" w:type="dxa"/>
            <w:vAlign w:val="center"/>
          </w:tcPr>
          <w:p w14:paraId="276711BB">
            <w:pPr>
              <w:keepNext w:val="0"/>
              <w:keepLines w:val="0"/>
              <w:widowControl/>
              <w:suppressLineNumbers w:val="0"/>
              <w:jc w:val="center"/>
              <w:textAlignment w:val="center"/>
              <w:rPr>
                <w:rFonts w:hint="default"/>
                <w:vertAlign w:val="baseline"/>
                <w:lang w:val="en-US" w:eastAsia="zh-CN"/>
              </w:rPr>
            </w:pPr>
            <w:r>
              <w:rPr>
                <w:rFonts w:hint="eastAsia"/>
                <w:vertAlign w:val="baseline"/>
                <w:lang w:val="en-US" w:eastAsia="zh-CN"/>
              </w:rPr>
              <w:t>10</w:t>
            </w:r>
          </w:p>
        </w:tc>
        <w:tc>
          <w:tcPr>
            <w:tcW w:w="1650" w:type="dxa"/>
            <w:vAlign w:val="center"/>
          </w:tcPr>
          <w:p w14:paraId="50AFA4B7">
            <w:pPr>
              <w:keepNext w:val="0"/>
              <w:keepLines w:val="0"/>
              <w:widowControl/>
              <w:suppressLineNumbers w:val="0"/>
              <w:jc w:val="center"/>
              <w:textAlignment w:val="center"/>
              <w:rPr>
                <w:rFonts w:hint="default"/>
                <w:vertAlign w:val="baseline"/>
                <w:lang w:val="en-US" w:eastAsia="zh-CN"/>
              </w:rPr>
            </w:pPr>
            <w:r>
              <w:rPr>
                <w:rFonts w:hint="eastAsia"/>
                <w:vertAlign w:val="baseline"/>
                <w:lang w:val="en-US" w:eastAsia="zh-CN"/>
              </w:rPr>
              <w:t>6 个月</w:t>
            </w:r>
          </w:p>
        </w:tc>
        <w:tc>
          <w:tcPr>
            <w:tcW w:w="1125" w:type="dxa"/>
            <w:vAlign w:val="center"/>
          </w:tcPr>
          <w:p w14:paraId="5F2F9A1E">
            <w:pPr>
              <w:keepNext w:val="0"/>
              <w:keepLines w:val="0"/>
              <w:widowControl/>
              <w:suppressLineNumbers w:val="0"/>
              <w:jc w:val="center"/>
              <w:textAlignment w:val="center"/>
              <w:rPr>
                <w:rFonts w:hint="default"/>
                <w:vertAlign w:val="baseline"/>
                <w:lang w:val="en-US" w:eastAsia="zh-CN"/>
              </w:rPr>
            </w:pPr>
            <w:r>
              <w:rPr>
                <w:rFonts w:hint="eastAsia"/>
                <w:vertAlign w:val="baseline"/>
                <w:lang w:val="en-US" w:eastAsia="zh-CN"/>
              </w:rPr>
              <w:t>耗材</w:t>
            </w:r>
          </w:p>
        </w:tc>
      </w:tr>
      <w:tr w14:paraId="444E4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9" w:type="dxa"/>
            <w:vAlign w:val="center"/>
          </w:tcPr>
          <w:p w14:paraId="38750608">
            <w:pPr>
              <w:keepNext w:val="0"/>
              <w:keepLines w:val="0"/>
              <w:widowControl/>
              <w:suppressLineNumbers w:val="0"/>
              <w:jc w:val="center"/>
              <w:textAlignment w:val="center"/>
              <w:rPr>
                <w:rFonts w:hint="default"/>
                <w:vertAlign w:val="baseline"/>
                <w:lang w:val="en-US" w:eastAsia="zh-CN"/>
              </w:rPr>
            </w:pPr>
            <w:r>
              <w:rPr>
                <w:rFonts w:hint="eastAsia"/>
                <w:vertAlign w:val="baseline"/>
                <w:lang w:val="en-US" w:eastAsia="zh-CN"/>
              </w:rPr>
              <w:t>9</w:t>
            </w:r>
          </w:p>
        </w:tc>
        <w:tc>
          <w:tcPr>
            <w:tcW w:w="3805" w:type="dxa"/>
            <w:vAlign w:val="center"/>
          </w:tcPr>
          <w:p w14:paraId="0EA2A215">
            <w:pPr>
              <w:keepNext w:val="0"/>
              <w:keepLines w:val="0"/>
              <w:widowControl/>
              <w:suppressLineNumbers w:val="0"/>
              <w:jc w:val="center"/>
              <w:textAlignment w:val="center"/>
              <w:rPr>
                <w:rFonts w:hint="default"/>
                <w:vertAlign w:val="baseline"/>
                <w:lang w:val="en-US" w:eastAsia="zh-CN"/>
              </w:rPr>
            </w:pPr>
            <w:r>
              <w:rPr>
                <w:rFonts w:hint="eastAsia"/>
                <w:vertAlign w:val="baseline"/>
                <w:lang w:val="en-US" w:eastAsia="zh-CN"/>
              </w:rPr>
              <w:t>Rtx-WAX 预柱(30m*0.32*1)</w:t>
            </w:r>
          </w:p>
        </w:tc>
        <w:tc>
          <w:tcPr>
            <w:tcW w:w="1095" w:type="dxa"/>
            <w:vAlign w:val="center"/>
          </w:tcPr>
          <w:p w14:paraId="512449F5">
            <w:pPr>
              <w:keepNext w:val="0"/>
              <w:keepLines w:val="0"/>
              <w:widowControl/>
              <w:suppressLineNumbers w:val="0"/>
              <w:jc w:val="center"/>
              <w:textAlignment w:val="center"/>
              <w:rPr>
                <w:rFonts w:hint="default"/>
                <w:vertAlign w:val="baseline"/>
                <w:lang w:val="en-US" w:eastAsia="zh-CN"/>
              </w:rPr>
            </w:pPr>
            <w:r>
              <w:rPr>
                <w:rFonts w:hint="eastAsia"/>
                <w:vertAlign w:val="baseline"/>
                <w:lang w:val="en-US" w:eastAsia="zh-CN"/>
              </w:rPr>
              <w:t>1</w:t>
            </w:r>
          </w:p>
        </w:tc>
        <w:tc>
          <w:tcPr>
            <w:tcW w:w="1650" w:type="dxa"/>
            <w:vAlign w:val="center"/>
          </w:tcPr>
          <w:p w14:paraId="4C5A7764">
            <w:pPr>
              <w:keepNext w:val="0"/>
              <w:keepLines w:val="0"/>
              <w:widowControl/>
              <w:suppressLineNumbers w:val="0"/>
              <w:jc w:val="center"/>
              <w:textAlignment w:val="center"/>
              <w:rPr>
                <w:rFonts w:hint="default"/>
                <w:vertAlign w:val="baseline"/>
                <w:lang w:val="en-US" w:eastAsia="zh-CN"/>
              </w:rPr>
            </w:pPr>
            <w:r>
              <w:rPr>
                <w:rFonts w:hint="eastAsia"/>
                <w:vertAlign w:val="baseline"/>
                <w:lang w:val="en-US" w:eastAsia="zh-CN"/>
              </w:rPr>
              <w:t>1 年</w:t>
            </w:r>
          </w:p>
        </w:tc>
        <w:tc>
          <w:tcPr>
            <w:tcW w:w="1125" w:type="dxa"/>
            <w:vAlign w:val="center"/>
          </w:tcPr>
          <w:p w14:paraId="70044AA3">
            <w:pPr>
              <w:keepNext w:val="0"/>
              <w:keepLines w:val="0"/>
              <w:widowControl/>
              <w:suppressLineNumbers w:val="0"/>
              <w:jc w:val="center"/>
              <w:textAlignment w:val="center"/>
              <w:rPr>
                <w:rFonts w:hint="default"/>
                <w:vertAlign w:val="baseline"/>
                <w:lang w:val="en-US" w:eastAsia="zh-CN"/>
              </w:rPr>
            </w:pPr>
            <w:r>
              <w:rPr>
                <w:rFonts w:hint="eastAsia"/>
                <w:vertAlign w:val="baseline"/>
                <w:lang w:val="en-US" w:eastAsia="zh-CN"/>
              </w:rPr>
              <w:t>耗材</w:t>
            </w:r>
          </w:p>
        </w:tc>
      </w:tr>
      <w:tr w14:paraId="6E4E1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9" w:type="dxa"/>
            <w:vAlign w:val="center"/>
          </w:tcPr>
          <w:p w14:paraId="7330D930">
            <w:pPr>
              <w:keepNext w:val="0"/>
              <w:keepLines w:val="0"/>
              <w:widowControl/>
              <w:suppressLineNumbers w:val="0"/>
              <w:jc w:val="center"/>
              <w:textAlignment w:val="center"/>
              <w:rPr>
                <w:rFonts w:hint="default"/>
                <w:vertAlign w:val="baseline"/>
                <w:lang w:val="en-US" w:eastAsia="zh-CN"/>
              </w:rPr>
            </w:pPr>
            <w:r>
              <w:rPr>
                <w:rFonts w:hint="eastAsia"/>
                <w:vertAlign w:val="baseline"/>
                <w:lang w:val="en-US" w:eastAsia="zh-CN"/>
              </w:rPr>
              <w:t>10</w:t>
            </w:r>
          </w:p>
        </w:tc>
        <w:tc>
          <w:tcPr>
            <w:tcW w:w="3805" w:type="dxa"/>
            <w:vAlign w:val="center"/>
          </w:tcPr>
          <w:p w14:paraId="4128FB7C">
            <w:pPr>
              <w:keepNext w:val="0"/>
              <w:keepLines w:val="0"/>
              <w:widowControl/>
              <w:suppressLineNumbers w:val="0"/>
              <w:jc w:val="center"/>
              <w:textAlignment w:val="center"/>
              <w:rPr>
                <w:rFonts w:hint="default"/>
                <w:vertAlign w:val="baseline"/>
                <w:lang w:val="en-US" w:eastAsia="zh-CN"/>
              </w:rPr>
            </w:pPr>
            <w:r>
              <w:rPr>
                <w:rFonts w:hint="eastAsia"/>
                <w:vertAlign w:val="baseline"/>
                <w:lang w:val="en-US" w:eastAsia="zh-CN"/>
              </w:rPr>
              <w:t>HP-AL2O3  ( S)  50m*0.32*8</w:t>
            </w:r>
            <w:r>
              <w:rPr>
                <w:rFonts w:hint="eastAsia"/>
                <w:vertAlign w:val="baseline"/>
                <w:lang w:val="en-US" w:eastAsia="zh-CN"/>
              </w:rPr>
              <w:br w:type="textWrapping"/>
            </w:r>
            <w:r>
              <w:rPr>
                <w:rFonts w:hint="eastAsia"/>
                <w:vertAlign w:val="baseline"/>
                <w:lang w:val="en-US" w:eastAsia="zh-CN"/>
              </w:rPr>
              <w:t>或者 RTX-ALUMINA BOND/NA2SO4</w:t>
            </w:r>
            <w:r>
              <w:rPr>
                <w:rFonts w:hint="eastAsia"/>
                <w:vertAlign w:val="baseline"/>
                <w:lang w:val="en-US" w:eastAsia="zh-CN"/>
              </w:rPr>
              <w:br w:type="textWrapping"/>
            </w:r>
            <w:r>
              <w:rPr>
                <w:rFonts w:hint="eastAsia"/>
                <w:vertAlign w:val="baseline"/>
                <w:lang w:val="en-US" w:eastAsia="zh-CN"/>
              </w:rPr>
              <w:t>( 50m*0.32mm*5um)</w:t>
            </w:r>
          </w:p>
        </w:tc>
        <w:tc>
          <w:tcPr>
            <w:tcW w:w="1095" w:type="dxa"/>
            <w:vAlign w:val="center"/>
          </w:tcPr>
          <w:p w14:paraId="40A09A8D">
            <w:pPr>
              <w:keepNext w:val="0"/>
              <w:keepLines w:val="0"/>
              <w:widowControl/>
              <w:suppressLineNumbers w:val="0"/>
              <w:jc w:val="center"/>
              <w:textAlignment w:val="center"/>
              <w:rPr>
                <w:rFonts w:hint="default"/>
                <w:vertAlign w:val="baseline"/>
                <w:lang w:val="en-US" w:eastAsia="zh-CN"/>
              </w:rPr>
            </w:pPr>
            <w:r>
              <w:rPr>
                <w:rFonts w:hint="eastAsia"/>
                <w:vertAlign w:val="baseline"/>
                <w:lang w:val="en-US" w:eastAsia="zh-CN"/>
              </w:rPr>
              <w:t>1</w:t>
            </w:r>
          </w:p>
        </w:tc>
        <w:tc>
          <w:tcPr>
            <w:tcW w:w="1650" w:type="dxa"/>
            <w:vAlign w:val="center"/>
          </w:tcPr>
          <w:p w14:paraId="3FB2E549">
            <w:pPr>
              <w:keepNext w:val="0"/>
              <w:keepLines w:val="0"/>
              <w:widowControl/>
              <w:suppressLineNumbers w:val="0"/>
              <w:jc w:val="center"/>
              <w:textAlignment w:val="center"/>
              <w:rPr>
                <w:rFonts w:hint="default"/>
                <w:vertAlign w:val="baseline"/>
                <w:lang w:val="en-US" w:eastAsia="zh-CN"/>
              </w:rPr>
            </w:pPr>
            <w:r>
              <w:rPr>
                <w:rFonts w:hint="eastAsia"/>
                <w:vertAlign w:val="baseline"/>
                <w:lang w:val="en-US" w:eastAsia="zh-CN"/>
              </w:rPr>
              <w:t>1 年</w:t>
            </w:r>
          </w:p>
        </w:tc>
        <w:tc>
          <w:tcPr>
            <w:tcW w:w="1125" w:type="dxa"/>
            <w:vAlign w:val="center"/>
          </w:tcPr>
          <w:p w14:paraId="11396E61">
            <w:pPr>
              <w:keepNext w:val="0"/>
              <w:keepLines w:val="0"/>
              <w:widowControl/>
              <w:suppressLineNumbers w:val="0"/>
              <w:jc w:val="center"/>
              <w:textAlignment w:val="center"/>
              <w:rPr>
                <w:rFonts w:hint="default"/>
                <w:vertAlign w:val="baseline"/>
                <w:lang w:val="en-US" w:eastAsia="zh-CN"/>
              </w:rPr>
            </w:pPr>
            <w:r>
              <w:rPr>
                <w:rFonts w:hint="eastAsia"/>
                <w:vertAlign w:val="baseline"/>
                <w:lang w:val="en-US" w:eastAsia="zh-CN"/>
              </w:rPr>
              <w:t>耗材</w:t>
            </w:r>
          </w:p>
        </w:tc>
      </w:tr>
      <w:tr w14:paraId="3C6C5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9" w:type="dxa"/>
            <w:vAlign w:val="center"/>
          </w:tcPr>
          <w:p w14:paraId="2CA9B76E">
            <w:pPr>
              <w:keepNext w:val="0"/>
              <w:keepLines w:val="0"/>
              <w:widowControl/>
              <w:suppressLineNumbers w:val="0"/>
              <w:jc w:val="center"/>
              <w:textAlignment w:val="center"/>
              <w:rPr>
                <w:rFonts w:hint="default"/>
                <w:vertAlign w:val="baseline"/>
                <w:lang w:val="en-US" w:eastAsia="zh-CN"/>
              </w:rPr>
            </w:pPr>
            <w:r>
              <w:rPr>
                <w:rFonts w:hint="eastAsia"/>
                <w:vertAlign w:val="baseline"/>
                <w:lang w:val="en-US" w:eastAsia="zh-CN"/>
              </w:rPr>
              <w:t>11</w:t>
            </w:r>
          </w:p>
        </w:tc>
        <w:tc>
          <w:tcPr>
            <w:tcW w:w="3805" w:type="dxa"/>
            <w:vAlign w:val="center"/>
          </w:tcPr>
          <w:p w14:paraId="20850C3A">
            <w:pPr>
              <w:keepNext w:val="0"/>
              <w:keepLines w:val="0"/>
              <w:widowControl/>
              <w:suppressLineNumbers w:val="0"/>
              <w:jc w:val="center"/>
              <w:textAlignment w:val="center"/>
              <w:rPr>
                <w:rFonts w:hint="default"/>
                <w:vertAlign w:val="baseline"/>
                <w:lang w:val="en-US" w:eastAsia="zh-CN"/>
              </w:rPr>
            </w:pPr>
            <w:r>
              <w:rPr>
                <w:rFonts w:hint="eastAsia"/>
                <w:vertAlign w:val="baseline"/>
                <w:lang w:val="en-US" w:eastAsia="zh-CN"/>
              </w:rPr>
              <w:t>DB-1 60m*0.32*1.5</w:t>
            </w:r>
          </w:p>
        </w:tc>
        <w:tc>
          <w:tcPr>
            <w:tcW w:w="1095" w:type="dxa"/>
            <w:vAlign w:val="center"/>
          </w:tcPr>
          <w:p w14:paraId="31301BC1">
            <w:pPr>
              <w:keepNext w:val="0"/>
              <w:keepLines w:val="0"/>
              <w:widowControl/>
              <w:suppressLineNumbers w:val="0"/>
              <w:jc w:val="center"/>
              <w:textAlignment w:val="center"/>
              <w:rPr>
                <w:rFonts w:hint="default"/>
                <w:vertAlign w:val="baseline"/>
                <w:lang w:val="en-US" w:eastAsia="zh-CN"/>
              </w:rPr>
            </w:pPr>
            <w:r>
              <w:rPr>
                <w:rFonts w:hint="eastAsia"/>
                <w:vertAlign w:val="baseline"/>
                <w:lang w:val="en-US" w:eastAsia="zh-CN"/>
              </w:rPr>
              <w:t>1</w:t>
            </w:r>
          </w:p>
        </w:tc>
        <w:tc>
          <w:tcPr>
            <w:tcW w:w="1650" w:type="dxa"/>
            <w:vAlign w:val="center"/>
          </w:tcPr>
          <w:p w14:paraId="00A9C5E1">
            <w:pPr>
              <w:keepNext w:val="0"/>
              <w:keepLines w:val="0"/>
              <w:widowControl/>
              <w:suppressLineNumbers w:val="0"/>
              <w:jc w:val="center"/>
              <w:textAlignment w:val="center"/>
              <w:rPr>
                <w:rFonts w:hint="default"/>
                <w:vertAlign w:val="baseline"/>
                <w:lang w:val="en-US" w:eastAsia="zh-CN"/>
              </w:rPr>
            </w:pPr>
            <w:r>
              <w:rPr>
                <w:rFonts w:hint="eastAsia"/>
                <w:vertAlign w:val="baseline"/>
                <w:lang w:val="en-US" w:eastAsia="zh-CN"/>
              </w:rPr>
              <w:t>1 年</w:t>
            </w:r>
          </w:p>
        </w:tc>
        <w:tc>
          <w:tcPr>
            <w:tcW w:w="1125" w:type="dxa"/>
            <w:vAlign w:val="center"/>
          </w:tcPr>
          <w:p w14:paraId="0718DD79">
            <w:pPr>
              <w:keepNext w:val="0"/>
              <w:keepLines w:val="0"/>
              <w:widowControl/>
              <w:suppressLineNumbers w:val="0"/>
              <w:jc w:val="center"/>
              <w:textAlignment w:val="center"/>
              <w:rPr>
                <w:rFonts w:hint="default"/>
                <w:vertAlign w:val="baseline"/>
                <w:lang w:val="en-US" w:eastAsia="zh-CN"/>
              </w:rPr>
            </w:pPr>
            <w:r>
              <w:rPr>
                <w:rFonts w:hint="eastAsia"/>
                <w:vertAlign w:val="baseline"/>
                <w:lang w:val="en-US" w:eastAsia="zh-CN"/>
              </w:rPr>
              <w:t>耗材</w:t>
            </w:r>
          </w:p>
        </w:tc>
      </w:tr>
      <w:tr w14:paraId="0012C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9" w:type="dxa"/>
            <w:vAlign w:val="center"/>
          </w:tcPr>
          <w:p w14:paraId="56F91D5B">
            <w:pPr>
              <w:keepNext w:val="0"/>
              <w:keepLines w:val="0"/>
              <w:widowControl/>
              <w:suppressLineNumbers w:val="0"/>
              <w:jc w:val="center"/>
              <w:textAlignment w:val="center"/>
              <w:rPr>
                <w:rFonts w:hint="default"/>
                <w:vertAlign w:val="baseline"/>
                <w:lang w:val="en-US" w:eastAsia="zh-CN"/>
              </w:rPr>
            </w:pPr>
            <w:r>
              <w:rPr>
                <w:rFonts w:hint="eastAsia"/>
                <w:vertAlign w:val="baseline"/>
                <w:lang w:val="en-US" w:eastAsia="zh-CN"/>
              </w:rPr>
              <w:t>12</w:t>
            </w:r>
          </w:p>
        </w:tc>
        <w:tc>
          <w:tcPr>
            <w:tcW w:w="3805" w:type="dxa"/>
            <w:vAlign w:val="center"/>
          </w:tcPr>
          <w:p w14:paraId="4C6802BB">
            <w:pPr>
              <w:keepNext w:val="0"/>
              <w:keepLines w:val="0"/>
              <w:widowControl/>
              <w:suppressLineNumbers w:val="0"/>
              <w:jc w:val="center"/>
              <w:textAlignment w:val="center"/>
              <w:rPr>
                <w:rFonts w:hint="default"/>
                <w:vertAlign w:val="baseline"/>
                <w:lang w:val="en-US" w:eastAsia="zh-CN"/>
              </w:rPr>
            </w:pPr>
            <w:r>
              <w:rPr>
                <w:rFonts w:hint="eastAsia"/>
                <w:vertAlign w:val="baseline"/>
                <w:lang w:val="en-US" w:eastAsia="zh-CN"/>
              </w:rPr>
              <w:t>吸附解析石英管(含高碳填料)</w:t>
            </w:r>
          </w:p>
        </w:tc>
        <w:tc>
          <w:tcPr>
            <w:tcW w:w="1095" w:type="dxa"/>
            <w:vAlign w:val="center"/>
          </w:tcPr>
          <w:p w14:paraId="59388A99">
            <w:pPr>
              <w:keepNext w:val="0"/>
              <w:keepLines w:val="0"/>
              <w:widowControl/>
              <w:suppressLineNumbers w:val="0"/>
              <w:jc w:val="center"/>
              <w:textAlignment w:val="center"/>
              <w:rPr>
                <w:rFonts w:hint="default"/>
                <w:vertAlign w:val="baseline"/>
                <w:lang w:val="en-US" w:eastAsia="zh-CN"/>
              </w:rPr>
            </w:pPr>
            <w:r>
              <w:rPr>
                <w:rFonts w:hint="eastAsia"/>
                <w:vertAlign w:val="baseline"/>
                <w:lang w:val="en-US" w:eastAsia="zh-CN"/>
              </w:rPr>
              <w:t>1</w:t>
            </w:r>
          </w:p>
        </w:tc>
        <w:tc>
          <w:tcPr>
            <w:tcW w:w="1650" w:type="dxa"/>
            <w:vAlign w:val="center"/>
          </w:tcPr>
          <w:p w14:paraId="2EB83640">
            <w:pPr>
              <w:keepNext w:val="0"/>
              <w:keepLines w:val="0"/>
              <w:widowControl/>
              <w:suppressLineNumbers w:val="0"/>
              <w:jc w:val="center"/>
              <w:textAlignment w:val="center"/>
              <w:rPr>
                <w:rFonts w:hint="default"/>
                <w:vertAlign w:val="baseline"/>
                <w:lang w:val="en-US" w:eastAsia="zh-CN"/>
              </w:rPr>
            </w:pPr>
            <w:r>
              <w:rPr>
                <w:rFonts w:hint="eastAsia"/>
                <w:vertAlign w:val="baseline"/>
                <w:lang w:val="en-US" w:eastAsia="zh-CN"/>
              </w:rPr>
              <w:t>4~6 个月</w:t>
            </w:r>
          </w:p>
        </w:tc>
        <w:tc>
          <w:tcPr>
            <w:tcW w:w="1125" w:type="dxa"/>
            <w:vAlign w:val="center"/>
          </w:tcPr>
          <w:p w14:paraId="142A9046">
            <w:pPr>
              <w:keepNext w:val="0"/>
              <w:keepLines w:val="0"/>
              <w:widowControl/>
              <w:suppressLineNumbers w:val="0"/>
              <w:jc w:val="center"/>
              <w:textAlignment w:val="center"/>
              <w:rPr>
                <w:rFonts w:hint="default"/>
                <w:vertAlign w:val="baseline"/>
                <w:lang w:val="en-US" w:eastAsia="zh-CN"/>
              </w:rPr>
            </w:pPr>
            <w:r>
              <w:rPr>
                <w:rFonts w:hint="eastAsia"/>
                <w:vertAlign w:val="baseline"/>
                <w:lang w:val="en-US" w:eastAsia="zh-CN"/>
              </w:rPr>
              <w:t>耗材</w:t>
            </w:r>
          </w:p>
        </w:tc>
      </w:tr>
      <w:tr w14:paraId="2BC9B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9" w:type="dxa"/>
            <w:vAlign w:val="center"/>
          </w:tcPr>
          <w:p w14:paraId="47D2C639">
            <w:pPr>
              <w:keepNext w:val="0"/>
              <w:keepLines w:val="0"/>
              <w:widowControl/>
              <w:suppressLineNumbers w:val="0"/>
              <w:jc w:val="center"/>
              <w:textAlignment w:val="center"/>
              <w:rPr>
                <w:rFonts w:hint="default"/>
                <w:vertAlign w:val="baseline"/>
                <w:lang w:val="en-US" w:eastAsia="zh-CN"/>
              </w:rPr>
            </w:pPr>
            <w:r>
              <w:rPr>
                <w:rFonts w:hint="eastAsia"/>
                <w:vertAlign w:val="baseline"/>
                <w:lang w:val="en-US" w:eastAsia="zh-CN"/>
              </w:rPr>
              <w:t>13</w:t>
            </w:r>
          </w:p>
        </w:tc>
        <w:tc>
          <w:tcPr>
            <w:tcW w:w="3805" w:type="dxa"/>
            <w:vAlign w:val="center"/>
          </w:tcPr>
          <w:p w14:paraId="200806B6">
            <w:pPr>
              <w:keepNext w:val="0"/>
              <w:keepLines w:val="0"/>
              <w:widowControl/>
              <w:suppressLineNumbers w:val="0"/>
              <w:jc w:val="center"/>
              <w:textAlignment w:val="center"/>
              <w:rPr>
                <w:rFonts w:hint="default"/>
                <w:vertAlign w:val="baseline"/>
                <w:lang w:val="en-US" w:eastAsia="zh-CN"/>
              </w:rPr>
            </w:pPr>
            <w:r>
              <w:rPr>
                <w:rFonts w:hint="eastAsia"/>
                <w:vertAlign w:val="baseline"/>
                <w:lang w:val="en-US" w:eastAsia="zh-CN"/>
              </w:rPr>
              <w:t>70047MXT Guard Column  (冷阱膜阀不锈钢毛细柱连</w:t>
            </w:r>
            <w:r>
              <w:rPr>
                <w:rFonts w:hint="eastAsia"/>
                <w:vertAlign w:val="baseline"/>
                <w:lang w:val="en-US" w:eastAsia="zh-CN"/>
              </w:rPr>
              <w:br w:type="textWrapping"/>
            </w:r>
            <w:r>
              <w:rPr>
                <w:rFonts w:hint="eastAsia"/>
                <w:vertAlign w:val="baseline"/>
                <w:lang w:val="en-US" w:eastAsia="zh-CN"/>
              </w:rPr>
              <w:t>接管)</w:t>
            </w:r>
          </w:p>
        </w:tc>
        <w:tc>
          <w:tcPr>
            <w:tcW w:w="1095" w:type="dxa"/>
            <w:vAlign w:val="center"/>
          </w:tcPr>
          <w:p w14:paraId="04A1E306">
            <w:pPr>
              <w:keepNext w:val="0"/>
              <w:keepLines w:val="0"/>
              <w:widowControl/>
              <w:suppressLineNumbers w:val="0"/>
              <w:jc w:val="center"/>
              <w:textAlignment w:val="center"/>
              <w:rPr>
                <w:rFonts w:hint="default"/>
                <w:vertAlign w:val="baseline"/>
                <w:lang w:val="en-US" w:eastAsia="zh-CN"/>
              </w:rPr>
            </w:pPr>
            <w:r>
              <w:rPr>
                <w:rFonts w:hint="eastAsia"/>
                <w:vertAlign w:val="baseline"/>
                <w:lang w:val="en-US" w:eastAsia="zh-CN"/>
              </w:rPr>
              <w:t>1</w:t>
            </w:r>
          </w:p>
        </w:tc>
        <w:tc>
          <w:tcPr>
            <w:tcW w:w="1650" w:type="dxa"/>
            <w:vAlign w:val="center"/>
          </w:tcPr>
          <w:p w14:paraId="2F48727E">
            <w:pPr>
              <w:keepNext w:val="0"/>
              <w:keepLines w:val="0"/>
              <w:widowControl/>
              <w:suppressLineNumbers w:val="0"/>
              <w:jc w:val="center"/>
              <w:textAlignment w:val="center"/>
              <w:rPr>
                <w:rFonts w:hint="default"/>
                <w:vertAlign w:val="baseline"/>
                <w:lang w:val="en-US" w:eastAsia="zh-CN"/>
              </w:rPr>
            </w:pPr>
            <w:r>
              <w:rPr>
                <w:rFonts w:hint="eastAsia"/>
                <w:vertAlign w:val="baseline"/>
                <w:lang w:val="en-US" w:eastAsia="zh-CN"/>
              </w:rPr>
              <w:t>1 年</w:t>
            </w:r>
          </w:p>
        </w:tc>
        <w:tc>
          <w:tcPr>
            <w:tcW w:w="1125" w:type="dxa"/>
            <w:vAlign w:val="center"/>
          </w:tcPr>
          <w:p w14:paraId="2F22BC39">
            <w:pPr>
              <w:keepNext w:val="0"/>
              <w:keepLines w:val="0"/>
              <w:widowControl/>
              <w:suppressLineNumbers w:val="0"/>
              <w:jc w:val="center"/>
              <w:textAlignment w:val="center"/>
              <w:rPr>
                <w:rFonts w:hint="default"/>
                <w:vertAlign w:val="baseline"/>
                <w:lang w:val="en-US" w:eastAsia="zh-CN"/>
              </w:rPr>
            </w:pPr>
            <w:r>
              <w:rPr>
                <w:rFonts w:hint="eastAsia"/>
                <w:vertAlign w:val="baseline"/>
                <w:lang w:val="en-US" w:eastAsia="zh-CN"/>
              </w:rPr>
              <w:t>耗材</w:t>
            </w:r>
          </w:p>
        </w:tc>
      </w:tr>
      <w:tr w14:paraId="1E232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9" w:type="dxa"/>
            <w:vAlign w:val="center"/>
          </w:tcPr>
          <w:p w14:paraId="129B2D1D">
            <w:pPr>
              <w:keepNext w:val="0"/>
              <w:keepLines w:val="0"/>
              <w:widowControl/>
              <w:suppressLineNumbers w:val="0"/>
              <w:jc w:val="center"/>
              <w:textAlignment w:val="center"/>
              <w:rPr>
                <w:rFonts w:hint="default"/>
                <w:vertAlign w:val="baseline"/>
                <w:lang w:val="en-US" w:eastAsia="zh-CN"/>
              </w:rPr>
            </w:pPr>
            <w:r>
              <w:rPr>
                <w:rFonts w:hint="eastAsia"/>
                <w:vertAlign w:val="baseline"/>
                <w:lang w:val="en-US" w:eastAsia="zh-CN"/>
              </w:rPr>
              <w:t>14</w:t>
            </w:r>
          </w:p>
        </w:tc>
        <w:tc>
          <w:tcPr>
            <w:tcW w:w="3805" w:type="dxa"/>
            <w:vAlign w:val="center"/>
          </w:tcPr>
          <w:p w14:paraId="2E84CD70">
            <w:pPr>
              <w:keepNext w:val="0"/>
              <w:keepLines w:val="0"/>
              <w:widowControl/>
              <w:suppressLineNumbers w:val="0"/>
              <w:jc w:val="center"/>
              <w:textAlignment w:val="center"/>
              <w:rPr>
                <w:rFonts w:hint="default"/>
                <w:vertAlign w:val="baseline"/>
                <w:lang w:val="en-US" w:eastAsia="zh-CN"/>
              </w:rPr>
            </w:pPr>
            <w:r>
              <w:rPr>
                <w:rFonts w:hint="eastAsia"/>
                <w:vertAlign w:val="baseline"/>
                <w:lang w:val="en-US" w:eastAsia="zh-CN"/>
              </w:rPr>
              <w:t>微型真空泵</w:t>
            </w:r>
          </w:p>
        </w:tc>
        <w:tc>
          <w:tcPr>
            <w:tcW w:w="1095" w:type="dxa"/>
            <w:vAlign w:val="center"/>
          </w:tcPr>
          <w:p w14:paraId="385B1EF9">
            <w:pPr>
              <w:keepNext w:val="0"/>
              <w:keepLines w:val="0"/>
              <w:widowControl/>
              <w:suppressLineNumbers w:val="0"/>
              <w:jc w:val="center"/>
              <w:textAlignment w:val="center"/>
              <w:rPr>
                <w:rFonts w:hint="default"/>
                <w:vertAlign w:val="baseline"/>
                <w:lang w:val="en-US" w:eastAsia="zh-CN"/>
              </w:rPr>
            </w:pPr>
            <w:r>
              <w:rPr>
                <w:rFonts w:hint="eastAsia"/>
                <w:vertAlign w:val="baseline"/>
                <w:lang w:val="en-US" w:eastAsia="zh-CN"/>
              </w:rPr>
              <w:t>1</w:t>
            </w:r>
          </w:p>
        </w:tc>
        <w:tc>
          <w:tcPr>
            <w:tcW w:w="1650" w:type="dxa"/>
            <w:vAlign w:val="center"/>
          </w:tcPr>
          <w:p w14:paraId="5021BE89">
            <w:pPr>
              <w:keepNext w:val="0"/>
              <w:keepLines w:val="0"/>
              <w:widowControl/>
              <w:suppressLineNumbers w:val="0"/>
              <w:jc w:val="center"/>
              <w:textAlignment w:val="center"/>
              <w:rPr>
                <w:rFonts w:hint="default"/>
                <w:vertAlign w:val="baseline"/>
                <w:lang w:val="en-US" w:eastAsia="zh-CN"/>
              </w:rPr>
            </w:pPr>
            <w:r>
              <w:rPr>
                <w:rFonts w:hint="eastAsia"/>
                <w:vertAlign w:val="baseline"/>
                <w:lang w:val="en-US" w:eastAsia="zh-CN"/>
              </w:rPr>
              <w:t>1 年</w:t>
            </w:r>
          </w:p>
        </w:tc>
        <w:tc>
          <w:tcPr>
            <w:tcW w:w="1125" w:type="dxa"/>
            <w:vAlign w:val="center"/>
          </w:tcPr>
          <w:p w14:paraId="32CE6988">
            <w:pPr>
              <w:keepNext w:val="0"/>
              <w:keepLines w:val="0"/>
              <w:widowControl/>
              <w:suppressLineNumbers w:val="0"/>
              <w:jc w:val="center"/>
              <w:textAlignment w:val="center"/>
              <w:rPr>
                <w:rFonts w:hint="default"/>
                <w:vertAlign w:val="baseline"/>
                <w:lang w:val="en-US" w:eastAsia="zh-CN"/>
              </w:rPr>
            </w:pPr>
            <w:r>
              <w:rPr>
                <w:rFonts w:hint="eastAsia"/>
                <w:vertAlign w:val="baseline"/>
                <w:lang w:val="en-US" w:eastAsia="zh-CN"/>
              </w:rPr>
              <w:t>耗材</w:t>
            </w:r>
          </w:p>
        </w:tc>
      </w:tr>
      <w:tr w14:paraId="211D7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9" w:type="dxa"/>
            <w:vAlign w:val="center"/>
          </w:tcPr>
          <w:p w14:paraId="49330792">
            <w:pPr>
              <w:keepNext w:val="0"/>
              <w:keepLines w:val="0"/>
              <w:widowControl/>
              <w:suppressLineNumbers w:val="0"/>
              <w:jc w:val="center"/>
              <w:textAlignment w:val="center"/>
              <w:rPr>
                <w:rFonts w:hint="default"/>
                <w:vertAlign w:val="baseline"/>
                <w:lang w:val="en-US" w:eastAsia="zh-CN"/>
              </w:rPr>
            </w:pPr>
            <w:r>
              <w:rPr>
                <w:rFonts w:hint="eastAsia"/>
                <w:vertAlign w:val="baseline"/>
                <w:lang w:val="en-US" w:eastAsia="zh-CN"/>
              </w:rPr>
              <w:t>15</w:t>
            </w:r>
          </w:p>
        </w:tc>
        <w:tc>
          <w:tcPr>
            <w:tcW w:w="3805" w:type="dxa"/>
            <w:vAlign w:val="center"/>
          </w:tcPr>
          <w:p w14:paraId="10FB27F7">
            <w:pPr>
              <w:keepNext w:val="0"/>
              <w:keepLines w:val="0"/>
              <w:widowControl/>
              <w:suppressLineNumbers w:val="0"/>
              <w:jc w:val="center"/>
              <w:textAlignment w:val="center"/>
              <w:rPr>
                <w:rFonts w:hint="default"/>
                <w:vertAlign w:val="baseline"/>
                <w:lang w:val="en-US" w:eastAsia="zh-CN"/>
              </w:rPr>
            </w:pPr>
            <w:r>
              <w:rPr>
                <w:rFonts w:hint="eastAsia"/>
                <w:vertAlign w:val="baseline"/>
                <w:lang w:val="en-US" w:eastAsia="zh-CN"/>
              </w:rPr>
              <w:t>加热棒组件</w:t>
            </w:r>
          </w:p>
        </w:tc>
        <w:tc>
          <w:tcPr>
            <w:tcW w:w="1095" w:type="dxa"/>
            <w:vAlign w:val="center"/>
          </w:tcPr>
          <w:p w14:paraId="4455DFE8">
            <w:pPr>
              <w:keepNext w:val="0"/>
              <w:keepLines w:val="0"/>
              <w:widowControl/>
              <w:suppressLineNumbers w:val="0"/>
              <w:jc w:val="center"/>
              <w:textAlignment w:val="center"/>
              <w:rPr>
                <w:rFonts w:hint="default"/>
                <w:vertAlign w:val="baseline"/>
                <w:lang w:val="en-US" w:eastAsia="zh-CN"/>
              </w:rPr>
            </w:pPr>
            <w:r>
              <w:rPr>
                <w:rFonts w:hint="eastAsia"/>
                <w:vertAlign w:val="baseline"/>
                <w:lang w:val="en-US" w:eastAsia="zh-CN"/>
              </w:rPr>
              <w:t>1</w:t>
            </w:r>
          </w:p>
        </w:tc>
        <w:tc>
          <w:tcPr>
            <w:tcW w:w="1650" w:type="dxa"/>
            <w:vAlign w:val="center"/>
          </w:tcPr>
          <w:p w14:paraId="576E4BBE">
            <w:pPr>
              <w:keepNext w:val="0"/>
              <w:keepLines w:val="0"/>
              <w:widowControl/>
              <w:suppressLineNumbers w:val="0"/>
              <w:jc w:val="center"/>
              <w:textAlignment w:val="center"/>
              <w:rPr>
                <w:rFonts w:hint="default"/>
                <w:vertAlign w:val="baseline"/>
                <w:lang w:val="en-US" w:eastAsia="zh-CN"/>
              </w:rPr>
            </w:pPr>
            <w:r>
              <w:rPr>
                <w:rFonts w:hint="eastAsia"/>
                <w:vertAlign w:val="baseline"/>
                <w:lang w:val="en-US" w:eastAsia="zh-CN"/>
              </w:rPr>
              <w:t>1 年</w:t>
            </w:r>
          </w:p>
        </w:tc>
        <w:tc>
          <w:tcPr>
            <w:tcW w:w="1125" w:type="dxa"/>
            <w:vAlign w:val="center"/>
          </w:tcPr>
          <w:p w14:paraId="0DF37A9B">
            <w:pPr>
              <w:keepNext w:val="0"/>
              <w:keepLines w:val="0"/>
              <w:widowControl/>
              <w:suppressLineNumbers w:val="0"/>
              <w:jc w:val="center"/>
              <w:textAlignment w:val="center"/>
              <w:rPr>
                <w:rFonts w:hint="default"/>
                <w:vertAlign w:val="baseline"/>
                <w:lang w:val="en-US" w:eastAsia="zh-CN"/>
              </w:rPr>
            </w:pPr>
            <w:r>
              <w:rPr>
                <w:rFonts w:hint="eastAsia"/>
                <w:vertAlign w:val="baseline"/>
                <w:lang w:val="en-US" w:eastAsia="zh-CN"/>
              </w:rPr>
              <w:t>耗材</w:t>
            </w:r>
          </w:p>
        </w:tc>
      </w:tr>
      <w:tr w14:paraId="6B08B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9" w:type="dxa"/>
            <w:vAlign w:val="center"/>
          </w:tcPr>
          <w:p w14:paraId="6316B9E1">
            <w:pPr>
              <w:keepNext w:val="0"/>
              <w:keepLines w:val="0"/>
              <w:widowControl/>
              <w:suppressLineNumbers w:val="0"/>
              <w:jc w:val="center"/>
              <w:textAlignment w:val="center"/>
              <w:rPr>
                <w:rFonts w:hint="default"/>
                <w:vertAlign w:val="baseline"/>
                <w:lang w:val="en-US" w:eastAsia="zh-CN"/>
              </w:rPr>
            </w:pPr>
            <w:r>
              <w:rPr>
                <w:rFonts w:hint="eastAsia"/>
                <w:vertAlign w:val="baseline"/>
                <w:lang w:val="en-US" w:eastAsia="zh-CN"/>
              </w:rPr>
              <w:t>16</w:t>
            </w:r>
          </w:p>
        </w:tc>
        <w:tc>
          <w:tcPr>
            <w:tcW w:w="3805" w:type="dxa"/>
            <w:vAlign w:val="center"/>
          </w:tcPr>
          <w:p w14:paraId="42053808">
            <w:pPr>
              <w:keepNext w:val="0"/>
              <w:keepLines w:val="0"/>
              <w:widowControl/>
              <w:suppressLineNumbers w:val="0"/>
              <w:jc w:val="center"/>
              <w:textAlignment w:val="center"/>
              <w:rPr>
                <w:rFonts w:hint="default"/>
                <w:vertAlign w:val="baseline"/>
                <w:lang w:val="en-US" w:eastAsia="zh-CN"/>
              </w:rPr>
            </w:pPr>
            <w:r>
              <w:rPr>
                <w:rFonts w:hint="eastAsia"/>
                <w:vertAlign w:val="baseline"/>
                <w:lang w:val="en-US" w:eastAsia="zh-CN"/>
              </w:rPr>
              <w:t>高精度过滤器</w:t>
            </w:r>
          </w:p>
        </w:tc>
        <w:tc>
          <w:tcPr>
            <w:tcW w:w="1095" w:type="dxa"/>
            <w:vAlign w:val="center"/>
          </w:tcPr>
          <w:p w14:paraId="3E90156B">
            <w:pPr>
              <w:keepNext w:val="0"/>
              <w:keepLines w:val="0"/>
              <w:widowControl/>
              <w:suppressLineNumbers w:val="0"/>
              <w:jc w:val="center"/>
              <w:textAlignment w:val="center"/>
              <w:rPr>
                <w:rFonts w:hint="default"/>
                <w:vertAlign w:val="baseline"/>
                <w:lang w:val="en-US" w:eastAsia="zh-CN"/>
              </w:rPr>
            </w:pPr>
            <w:r>
              <w:rPr>
                <w:rFonts w:hint="eastAsia"/>
                <w:vertAlign w:val="baseline"/>
                <w:lang w:val="en-US" w:eastAsia="zh-CN"/>
              </w:rPr>
              <w:t>1</w:t>
            </w:r>
          </w:p>
        </w:tc>
        <w:tc>
          <w:tcPr>
            <w:tcW w:w="1650" w:type="dxa"/>
            <w:vAlign w:val="center"/>
          </w:tcPr>
          <w:p w14:paraId="1D62D896">
            <w:pPr>
              <w:keepNext w:val="0"/>
              <w:keepLines w:val="0"/>
              <w:widowControl/>
              <w:suppressLineNumbers w:val="0"/>
              <w:jc w:val="center"/>
              <w:textAlignment w:val="center"/>
              <w:rPr>
                <w:rFonts w:hint="default"/>
                <w:vertAlign w:val="baseline"/>
                <w:lang w:val="en-US" w:eastAsia="zh-CN"/>
              </w:rPr>
            </w:pPr>
            <w:r>
              <w:rPr>
                <w:rFonts w:hint="eastAsia"/>
                <w:vertAlign w:val="baseline"/>
                <w:lang w:val="en-US" w:eastAsia="zh-CN"/>
              </w:rPr>
              <w:t>1年</w:t>
            </w:r>
          </w:p>
        </w:tc>
        <w:tc>
          <w:tcPr>
            <w:tcW w:w="1125" w:type="dxa"/>
            <w:vAlign w:val="center"/>
          </w:tcPr>
          <w:p w14:paraId="18B1F326">
            <w:pPr>
              <w:keepNext w:val="0"/>
              <w:keepLines w:val="0"/>
              <w:widowControl/>
              <w:suppressLineNumbers w:val="0"/>
              <w:jc w:val="center"/>
              <w:textAlignment w:val="center"/>
              <w:rPr>
                <w:rFonts w:hint="default"/>
                <w:vertAlign w:val="baseline"/>
                <w:lang w:val="en-US" w:eastAsia="zh-CN"/>
              </w:rPr>
            </w:pPr>
            <w:r>
              <w:rPr>
                <w:rFonts w:hint="eastAsia"/>
                <w:vertAlign w:val="baseline"/>
                <w:lang w:val="en-US" w:eastAsia="zh-CN"/>
              </w:rPr>
              <w:t>耗材</w:t>
            </w:r>
          </w:p>
        </w:tc>
      </w:tr>
      <w:tr w14:paraId="6018A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9" w:type="dxa"/>
            <w:vAlign w:val="center"/>
          </w:tcPr>
          <w:p w14:paraId="4E23BDED">
            <w:pPr>
              <w:keepNext w:val="0"/>
              <w:keepLines w:val="0"/>
              <w:widowControl/>
              <w:suppressLineNumbers w:val="0"/>
              <w:jc w:val="center"/>
              <w:textAlignment w:val="center"/>
              <w:rPr>
                <w:rFonts w:hint="default"/>
                <w:vertAlign w:val="baseline"/>
                <w:lang w:val="en-US" w:eastAsia="zh-CN"/>
              </w:rPr>
            </w:pPr>
            <w:r>
              <w:rPr>
                <w:rFonts w:hint="eastAsia"/>
                <w:vertAlign w:val="baseline"/>
                <w:lang w:val="en-US" w:eastAsia="zh-CN"/>
              </w:rPr>
              <w:t>17</w:t>
            </w:r>
          </w:p>
        </w:tc>
        <w:tc>
          <w:tcPr>
            <w:tcW w:w="3805" w:type="dxa"/>
            <w:vAlign w:val="center"/>
          </w:tcPr>
          <w:p w14:paraId="4838E76F">
            <w:pPr>
              <w:keepNext w:val="0"/>
              <w:keepLines w:val="0"/>
              <w:widowControl/>
              <w:suppressLineNumbers w:val="0"/>
              <w:jc w:val="center"/>
              <w:textAlignment w:val="center"/>
              <w:rPr>
                <w:rFonts w:hint="default"/>
                <w:vertAlign w:val="baseline"/>
                <w:lang w:val="en-US" w:eastAsia="zh-CN"/>
              </w:rPr>
            </w:pPr>
            <w:r>
              <w:rPr>
                <w:rFonts w:hint="eastAsia"/>
                <w:vertAlign w:val="baseline"/>
                <w:lang w:val="en-US" w:eastAsia="zh-CN"/>
              </w:rPr>
              <w:t>变色硅胶</w:t>
            </w:r>
          </w:p>
        </w:tc>
        <w:tc>
          <w:tcPr>
            <w:tcW w:w="1095" w:type="dxa"/>
            <w:vAlign w:val="center"/>
          </w:tcPr>
          <w:p w14:paraId="16915D34">
            <w:pPr>
              <w:keepNext w:val="0"/>
              <w:keepLines w:val="0"/>
              <w:widowControl/>
              <w:suppressLineNumbers w:val="0"/>
              <w:jc w:val="center"/>
              <w:textAlignment w:val="center"/>
              <w:rPr>
                <w:rFonts w:hint="default"/>
                <w:vertAlign w:val="baseline"/>
                <w:lang w:val="en-US" w:eastAsia="zh-CN"/>
              </w:rPr>
            </w:pPr>
            <w:r>
              <w:rPr>
                <w:rFonts w:hint="eastAsia"/>
                <w:vertAlign w:val="baseline"/>
                <w:lang w:val="en-US" w:eastAsia="zh-CN"/>
              </w:rPr>
              <w:t>1</w:t>
            </w:r>
          </w:p>
        </w:tc>
        <w:tc>
          <w:tcPr>
            <w:tcW w:w="1650" w:type="dxa"/>
            <w:vAlign w:val="center"/>
          </w:tcPr>
          <w:p w14:paraId="4ED9978F">
            <w:pPr>
              <w:keepNext w:val="0"/>
              <w:keepLines w:val="0"/>
              <w:widowControl/>
              <w:suppressLineNumbers w:val="0"/>
              <w:jc w:val="center"/>
              <w:textAlignment w:val="center"/>
              <w:rPr>
                <w:rFonts w:hint="default"/>
                <w:vertAlign w:val="baseline"/>
                <w:lang w:val="en-US" w:eastAsia="zh-CN"/>
              </w:rPr>
            </w:pPr>
            <w:r>
              <w:rPr>
                <w:rFonts w:hint="eastAsia"/>
                <w:vertAlign w:val="baseline"/>
                <w:lang w:val="en-US" w:eastAsia="zh-CN"/>
              </w:rPr>
              <w:t>1年</w:t>
            </w:r>
          </w:p>
        </w:tc>
        <w:tc>
          <w:tcPr>
            <w:tcW w:w="1125" w:type="dxa"/>
            <w:vAlign w:val="center"/>
          </w:tcPr>
          <w:p w14:paraId="1651E124">
            <w:pPr>
              <w:keepNext w:val="0"/>
              <w:keepLines w:val="0"/>
              <w:widowControl/>
              <w:suppressLineNumbers w:val="0"/>
              <w:jc w:val="center"/>
              <w:textAlignment w:val="center"/>
              <w:rPr>
                <w:rFonts w:hint="default"/>
                <w:vertAlign w:val="baseline"/>
                <w:lang w:val="en-US" w:eastAsia="zh-CN"/>
              </w:rPr>
            </w:pPr>
            <w:r>
              <w:rPr>
                <w:rFonts w:hint="eastAsia"/>
                <w:vertAlign w:val="baseline"/>
                <w:lang w:val="en-US" w:eastAsia="zh-CN"/>
              </w:rPr>
              <w:t>耗材</w:t>
            </w:r>
          </w:p>
        </w:tc>
      </w:tr>
      <w:tr w14:paraId="4EC6E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9" w:type="dxa"/>
            <w:vAlign w:val="center"/>
          </w:tcPr>
          <w:p w14:paraId="294F3EB0">
            <w:pPr>
              <w:keepNext w:val="0"/>
              <w:keepLines w:val="0"/>
              <w:widowControl/>
              <w:suppressLineNumbers w:val="0"/>
              <w:jc w:val="center"/>
              <w:textAlignment w:val="center"/>
              <w:rPr>
                <w:rFonts w:hint="default"/>
                <w:vertAlign w:val="baseline"/>
                <w:lang w:val="en-US" w:eastAsia="zh-CN"/>
              </w:rPr>
            </w:pPr>
            <w:r>
              <w:rPr>
                <w:rFonts w:hint="eastAsia"/>
                <w:vertAlign w:val="baseline"/>
                <w:lang w:val="en-US" w:eastAsia="zh-CN"/>
              </w:rPr>
              <w:t>18</w:t>
            </w:r>
          </w:p>
        </w:tc>
        <w:tc>
          <w:tcPr>
            <w:tcW w:w="3805" w:type="dxa"/>
            <w:vAlign w:val="center"/>
          </w:tcPr>
          <w:p w14:paraId="37C4B485">
            <w:pPr>
              <w:keepNext w:val="0"/>
              <w:keepLines w:val="0"/>
              <w:widowControl/>
              <w:suppressLineNumbers w:val="0"/>
              <w:jc w:val="center"/>
              <w:textAlignment w:val="center"/>
              <w:rPr>
                <w:rFonts w:hint="default"/>
                <w:vertAlign w:val="baseline"/>
                <w:lang w:val="en-US" w:eastAsia="zh-CN"/>
              </w:rPr>
            </w:pPr>
            <w:r>
              <w:rPr>
                <w:rFonts w:hint="eastAsia"/>
                <w:vertAlign w:val="baseline"/>
                <w:lang w:val="en-US" w:eastAsia="zh-CN"/>
              </w:rPr>
              <w:t>氢氧化钾</w:t>
            </w:r>
          </w:p>
        </w:tc>
        <w:tc>
          <w:tcPr>
            <w:tcW w:w="1095" w:type="dxa"/>
            <w:vAlign w:val="center"/>
          </w:tcPr>
          <w:p w14:paraId="4055785D">
            <w:pPr>
              <w:keepNext w:val="0"/>
              <w:keepLines w:val="0"/>
              <w:widowControl/>
              <w:suppressLineNumbers w:val="0"/>
              <w:jc w:val="center"/>
              <w:textAlignment w:val="center"/>
              <w:rPr>
                <w:rFonts w:hint="default"/>
                <w:vertAlign w:val="baseline"/>
                <w:lang w:val="en-US" w:eastAsia="zh-CN"/>
              </w:rPr>
            </w:pPr>
            <w:r>
              <w:rPr>
                <w:rFonts w:hint="eastAsia"/>
                <w:vertAlign w:val="baseline"/>
                <w:lang w:val="en-US" w:eastAsia="zh-CN"/>
              </w:rPr>
              <w:t>1</w:t>
            </w:r>
          </w:p>
        </w:tc>
        <w:tc>
          <w:tcPr>
            <w:tcW w:w="1650" w:type="dxa"/>
            <w:vAlign w:val="center"/>
          </w:tcPr>
          <w:p w14:paraId="5548C833">
            <w:pPr>
              <w:keepNext w:val="0"/>
              <w:keepLines w:val="0"/>
              <w:widowControl/>
              <w:suppressLineNumbers w:val="0"/>
              <w:jc w:val="center"/>
              <w:textAlignment w:val="center"/>
              <w:rPr>
                <w:rFonts w:hint="default"/>
                <w:vertAlign w:val="baseline"/>
                <w:lang w:val="en-US" w:eastAsia="zh-CN"/>
              </w:rPr>
            </w:pPr>
            <w:r>
              <w:rPr>
                <w:rFonts w:hint="eastAsia"/>
                <w:vertAlign w:val="baseline"/>
                <w:lang w:val="en-US" w:eastAsia="zh-CN"/>
              </w:rPr>
              <w:t>1 年</w:t>
            </w:r>
          </w:p>
        </w:tc>
        <w:tc>
          <w:tcPr>
            <w:tcW w:w="1125" w:type="dxa"/>
            <w:vAlign w:val="center"/>
          </w:tcPr>
          <w:p w14:paraId="01C8A4DC">
            <w:pPr>
              <w:keepNext w:val="0"/>
              <w:keepLines w:val="0"/>
              <w:widowControl/>
              <w:suppressLineNumbers w:val="0"/>
              <w:jc w:val="center"/>
              <w:textAlignment w:val="center"/>
              <w:rPr>
                <w:rFonts w:hint="default"/>
                <w:vertAlign w:val="baseline"/>
                <w:lang w:val="en-US" w:eastAsia="zh-CN"/>
              </w:rPr>
            </w:pPr>
            <w:r>
              <w:rPr>
                <w:rFonts w:hint="eastAsia"/>
                <w:vertAlign w:val="baseline"/>
                <w:lang w:val="en-US" w:eastAsia="zh-CN"/>
              </w:rPr>
              <w:t>耗材</w:t>
            </w:r>
          </w:p>
        </w:tc>
      </w:tr>
      <w:tr w14:paraId="6B529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9" w:type="dxa"/>
            <w:vAlign w:val="center"/>
          </w:tcPr>
          <w:p w14:paraId="0052CD1E">
            <w:pPr>
              <w:keepNext w:val="0"/>
              <w:keepLines w:val="0"/>
              <w:widowControl/>
              <w:suppressLineNumbers w:val="0"/>
              <w:jc w:val="center"/>
              <w:textAlignment w:val="center"/>
              <w:rPr>
                <w:rFonts w:hint="default"/>
                <w:vertAlign w:val="baseline"/>
                <w:lang w:val="en-US" w:eastAsia="zh-CN"/>
              </w:rPr>
            </w:pPr>
            <w:r>
              <w:rPr>
                <w:rFonts w:hint="eastAsia"/>
                <w:vertAlign w:val="baseline"/>
                <w:lang w:val="en-US" w:eastAsia="zh-CN"/>
              </w:rPr>
              <w:t>19</w:t>
            </w:r>
          </w:p>
        </w:tc>
        <w:tc>
          <w:tcPr>
            <w:tcW w:w="3805" w:type="dxa"/>
            <w:vAlign w:val="center"/>
          </w:tcPr>
          <w:p w14:paraId="7274640F">
            <w:pPr>
              <w:keepNext w:val="0"/>
              <w:keepLines w:val="0"/>
              <w:widowControl/>
              <w:suppressLineNumbers w:val="0"/>
              <w:jc w:val="center"/>
              <w:textAlignment w:val="center"/>
              <w:rPr>
                <w:rFonts w:hint="default"/>
                <w:vertAlign w:val="baseline"/>
                <w:lang w:val="en-US" w:eastAsia="zh-CN"/>
              </w:rPr>
            </w:pPr>
            <w:r>
              <w:rPr>
                <w:rFonts w:hint="eastAsia"/>
                <w:vertAlign w:val="baseline"/>
                <w:lang w:val="en-US" w:eastAsia="zh-CN"/>
              </w:rPr>
              <w:t>5A球形分子筛</w:t>
            </w:r>
          </w:p>
        </w:tc>
        <w:tc>
          <w:tcPr>
            <w:tcW w:w="1095" w:type="dxa"/>
            <w:vAlign w:val="center"/>
          </w:tcPr>
          <w:p w14:paraId="3E3458C8">
            <w:pPr>
              <w:keepNext w:val="0"/>
              <w:keepLines w:val="0"/>
              <w:widowControl/>
              <w:suppressLineNumbers w:val="0"/>
              <w:jc w:val="center"/>
              <w:textAlignment w:val="center"/>
              <w:rPr>
                <w:rFonts w:hint="default"/>
                <w:vertAlign w:val="baseline"/>
                <w:lang w:val="en-US" w:eastAsia="zh-CN"/>
              </w:rPr>
            </w:pPr>
            <w:r>
              <w:rPr>
                <w:rFonts w:hint="eastAsia"/>
                <w:vertAlign w:val="baseline"/>
                <w:lang w:val="en-US" w:eastAsia="zh-CN"/>
              </w:rPr>
              <w:t>1</w:t>
            </w:r>
          </w:p>
        </w:tc>
        <w:tc>
          <w:tcPr>
            <w:tcW w:w="1650" w:type="dxa"/>
            <w:vAlign w:val="center"/>
          </w:tcPr>
          <w:p w14:paraId="7C5F7C3C">
            <w:pPr>
              <w:keepNext w:val="0"/>
              <w:keepLines w:val="0"/>
              <w:widowControl/>
              <w:suppressLineNumbers w:val="0"/>
              <w:jc w:val="center"/>
              <w:textAlignment w:val="center"/>
              <w:rPr>
                <w:rFonts w:hint="default"/>
                <w:vertAlign w:val="baseline"/>
                <w:lang w:val="en-US" w:eastAsia="zh-CN"/>
              </w:rPr>
            </w:pPr>
            <w:r>
              <w:rPr>
                <w:rFonts w:hint="eastAsia"/>
                <w:vertAlign w:val="baseline"/>
                <w:lang w:val="en-US" w:eastAsia="zh-CN"/>
              </w:rPr>
              <w:t>1 年</w:t>
            </w:r>
          </w:p>
        </w:tc>
        <w:tc>
          <w:tcPr>
            <w:tcW w:w="1125" w:type="dxa"/>
            <w:vAlign w:val="center"/>
          </w:tcPr>
          <w:p w14:paraId="130D58E5">
            <w:pPr>
              <w:keepNext w:val="0"/>
              <w:keepLines w:val="0"/>
              <w:widowControl/>
              <w:suppressLineNumbers w:val="0"/>
              <w:jc w:val="center"/>
              <w:textAlignment w:val="center"/>
              <w:rPr>
                <w:rFonts w:hint="default"/>
                <w:vertAlign w:val="baseline"/>
                <w:lang w:val="en-US" w:eastAsia="zh-CN"/>
              </w:rPr>
            </w:pPr>
            <w:r>
              <w:rPr>
                <w:rFonts w:hint="eastAsia"/>
                <w:vertAlign w:val="baseline"/>
                <w:lang w:val="en-US" w:eastAsia="zh-CN"/>
              </w:rPr>
              <w:t>耗材</w:t>
            </w:r>
          </w:p>
        </w:tc>
      </w:tr>
      <w:tr w14:paraId="6AA0E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9" w:type="dxa"/>
            <w:vAlign w:val="center"/>
          </w:tcPr>
          <w:p w14:paraId="562F9301">
            <w:pPr>
              <w:keepNext w:val="0"/>
              <w:keepLines w:val="0"/>
              <w:widowControl/>
              <w:suppressLineNumbers w:val="0"/>
              <w:jc w:val="center"/>
              <w:textAlignment w:val="center"/>
              <w:rPr>
                <w:rFonts w:hint="default"/>
                <w:vertAlign w:val="baseline"/>
                <w:lang w:val="en-US" w:eastAsia="zh-CN"/>
              </w:rPr>
            </w:pPr>
            <w:r>
              <w:rPr>
                <w:rFonts w:hint="eastAsia"/>
                <w:vertAlign w:val="baseline"/>
                <w:lang w:val="en-US" w:eastAsia="zh-CN"/>
              </w:rPr>
              <w:t>20</w:t>
            </w:r>
          </w:p>
        </w:tc>
        <w:tc>
          <w:tcPr>
            <w:tcW w:w="3805" w:type="dxa"/>
            <w:vAlign w:val="center"/>
          </w:tcPr>
          <w:p w14:paraId="272AFE00">
            <w:pPr>
              <w:keepNext w:val="0"/>
              <w:keepLines w:val="0"/>
              <w:widowControl/>
              <w:suppressLineNumbers w:val="0"/>
              <w:jc w:val="center"/>
              <w:textAlignment w:val="center"/>
              <w:rPr>
                <w:rFonts w:hint="default"/>
                <w:vertAlign w:val="baseline"/>
                <w:lang w:val="en-US" w:eastAsia="zh-CN"/>
              </w:rPr>
            </w:pPr>
            <w:r>
              <w:rPr>
                <w:rFonts w:hint="eastAsia"/>
                <w:vertAlign w:val="baseline"/>
                <w:lang w:val="en-US" w:eastAsia="zh-CN"/>
              </w:rPr>
              <w:t>过滤器密封圈</w:t>
            </w:r>
          </w:p>
        </w:tc>
        <w:tc>
          <w:tcPr>
            <w:tcW w:w="1095" w:type="dxa"/>
            <w:vAlign w:val="center"/>
          </w:tcPr>
          <w:p w14:paraId="6373C90C">
            <w:pPr>
              <w:keepNext w:val="0"/>
              <w:keepLines w:val="0"/>
              <w:widowControl/>
              <w:suppressLineNumbers w:val="0"/>
              <w:jc w:val="center"/>
              <w:textAlignment w:val="center"/>
              <w:rPr>
                <w:rFonts w:hint="default"/>
                <w:vertAlign w:val="baseline"/>
                <w:lang w:val="en-US" w:eastAsia="zh-CN"/>
              </w:rPr>
            </w:pPr>
            <w:r>
              <w:rPr>
                <w:rFonts w:hint="default"/>
                <w:vertAlign w:val="baseline"/>
                <w:lang w:val="en-US" w:eastAsia="zh-CN"/>
              </w:rPr>
              <w:t>1</w:t>
            </w:r>
          </w:p>
        </w:tc>
        <w:tc>
          <w:tcPr>
            <w:tcW w:w="1650" w:type="dxa"/>
            <w:vAlign w:val="center"/>
          </w:tcPr>
          <w:p w14:paraId="7AEF242A">
            <w:pPr>
              <w:keepNext w:val="0"/>
              <w:keepLines w:val="0"/>
              <w:widowControl/>
              <w:suppressLineNumbers w:val="0"/>
              <w:jc w:val="center"/>
              <w:textAlignment w:val="center"/>
              <w:rPr>
                <w:rFonts w:hint="default"/>
                <w:vertAlign w:val="baseline"/>
                <w:lang w:val="en-US" w:eastAsia="zh-CN"/>
              </w:rPr>
            </w:pPr>
            <w:r>
              <w:rPr>
                <w:rFonts w:hint="eastAsia"/>
                <w:vertAlign w:val="baseline"/>
                <w:lang w:val="en-US" w:eastAsia="zh-CN"/>
              </w:rPr>
              <w:t>1 年</w:t>
            </w:r>
          </w:p>
        </w:tc>
        <w:tc>
          <w:tcPr>
            <w:tcW w:w="1125" w:type="dxa"/>
            <w:vAlign w:val="center"/>
          </w:tcPr>
          <w:p w14:paraId="49A91C9F">
            <w:pPr>
              <w:keepNext w:val="0"/>
              <w:keepLines w:val="0"/>
              <w:widowControl/>
              <w:suppressLineNumbers w:val="0"/>
              <w:jc w:val="center"/>
              <w:textAlignment w:val="center"/>
              <w:rPr>
                <w:rFonts w:hint="default"/>
                <w:vertAlign w:val="baseline"/>
                <w:lang w:val="en-US" w:eastAsia="zh-CN"/>
              </w:rPr>
            </w:pPr>
            <w:r>
              <w:rPr>
                <w:rFonts w:hint="eastAsia"/>
                <w:vertAlign w:val="baseline"/>
                <w:lang w:val="en-US" w:eastAsia="zh-CN"/>
              </w:rPr>
              <w:t>耗材</w:t>
            </w:r>
          </w:p>
        </w:tc>
      </w:tr>
      <w:tr w14:paraId="3576B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9" w:type="dxa"/>
            <w:vAlign w:val="center"/>
          </w:tcPr>
          <w:p w14:paraId="12DE8897">
            <w:pPr>
              <w:keepNext w:val="0"/>
              <w:keepLines w:val="0"/>
              <w:widowControl/>
              <w:suppressLineNumbers w:val="0"/>
              <w:jc w:val="center"/>
              <w:textAlignment w:val="center"/>
              <w:rPr>
                <w:rFonts w:hint="default"/>
                <w:vertAlign w:val="baseline"/>
                <w:lang w:val="en-US" w:eastAsia="zh-CN"/>
              </w:rPr>
            </w:pPr>
            <w:r>
              <w:rPr>
                <w:rFonts w:hint="eastAsia"/>
                <w:vertAlign w:val="baseline"/>
                <w:lang w:val="en-US" w:eastAsia="zh-CN"/>
              </w:rPr>
              <w:t>21</w:t>
            </w:r>
          </w:p>
        </w:tc>
        <w:tc>
          <w:tcPr>
            <w:tcW w:w="3805" w:type="dxa"/>
            <w:vAlign w:val="center"/>
          </w:tcPr>
          <w:p w14:paraId="2A41A349">
            <w:pPr>
              <w:keepNext w:val="0"/>
              <w:keepLines w:val="0"/>
              <w:widowControl/>
              <w:suppressLineNumbers w:val="0"/>
              <w:jc w:val="center"/>
              <w:textAlignment w:val="center"/>
              <w:rPr>
                <w:rFonts w:hint="default"/>
                <w:vertAlign w:val="baseline"/>
                <w:lang w:val="en-US" w:eastAsia="zh-CN"/>
              </w:rPr>
            </w:pPr>
            <w:r>
              <w:rPr>
                <w:rFonts w:hint="eastAsia"/>
                <w:vertAlign w:val="baseline"/>
                <w:lang w:val="en-US" w:eastAsia="zh-CN"/>
              </w:rPr>
              <w:t>采样滤芯</w:t>
            </w:r>
          </w:p>
        </w:tc>
        <w:tc>
          <w:tcPr>
            <w:tcW w:w="1095" w:type="dxa"/>
          </w:tcPr>
          <w:p w14:paraId="416B8EAB">
            <w:pPr>
              <w:keepNext w:val="0"/>
              <w:keepLines w:val="0"/>
              <w:widowControl/>
              <w:suppressLineNumbers w:val="0"/>
              <w:jc w:val="center"/>
              <w:textAlignment w:val="center"/>
              <w:rPr>
                <w:rFonts w:hint="default"/>
                <w:vertAlign w:val="baseline"/>
                <w:lang w:val="en-US" w:eastAsia="zh-CN"/>
              </w:rPr>
            </w:pPr>
            <w:r>
              <w:rPr>
                <w:rFonts w:hint="default"/>
                <w:vertAlign w:val="baseline"/>
                <w:lang w:val="en-US" w:eastAsia="zh-CN"/>
              </w:rPr>
              <w:t>1</w:t>
            </w:r>
          </w:p>
        </w:tc>
        <w:tc>
          <w:tcPr>
            <w:tcW w:w="1650" w:type="dxa"/>
            <w:vAlign w:val="center"/>
          </w:tcPr>
          <w:p w14:paraId="2A35E409">
            <w:pPr>
              <w:keepNext w:val="0"/>
              <w:keepLines w:val="0"/>
              <w:widowControl/>
              <w:suppressLineNumbers w:val="0"/>
              <w:jc w:val="center"/>
              <w:textAlignment w:val="center"/>
              <w:rPr>
                <w:rFonts w:hint="default"/>
                <w:vertAlign w:val="baseline"/>
                <w:lang w:val="en-US" w:eastAsia="zh-CN"/>
              </w:rPr>
            </w:pPr>
            <w:r>
              <w:rPr>
                <w:rFonts w:hint="eastAsia"/>
                <w:vertAlign w:val="baseline"/>
                <w:lang w:val="en-US" w:eastAsia="zh-CN"/>
              </w:rPr>
              <w:t>1年</w:t>
            </w:r>
          </w:p>
        </w:tc>
        <w:tc>
          <w:tcPr>
            <w:tcW w:w="1125" w:type="dxa"/>
            <w:vAlign w:val="center"/>
          </w:tcPr>
          <w:p w14:paraId="65E1C06F">
            <w:pPr>
              <w:keepNext w:val="0"/>
              <w:keepLines w:val="0"/>
              <w:widowControl/>
              <w:suppressLineNumbers w:val="0"/>
              <w:jc w:val="center"/>
              <w:textAlignment w:val="center"/>
              <w:rPr>
                <w:rFonts w:hint="default"/>
                <w:vertAlign w:val="baseline"/>
                <w:lang w:val="en-US" w:eastAsia="zh-CN"/>
              </w:rPr>
            </w:pPr>
            <w:r>
              <w:rPr>
                <w:rFonts w:hint="eastAsia"/>
                <w:vertAlign w:val="baseline"/>
                <w:lang w:val="en-US" w:eastAsia="zh-CN"/>
              </w:rPr>
              <w:t>耗材</w:t>
            </w:r>
          </w:p>
        </w:tc>
      </w:tr>
    </w:tbl>
    <w:p w14:paraId="142B5BD0">
      <w:pPr>
        <w:pStyle w:val="12"/>
        <w:rPr>
          <w:rFonts w:hint="default"/>
          <w:lang w:val="en-US" w:eastAsia="zh-CN"/>
        </w:rPr>
      </w:pPr>
    </w:p>
    <w:bookmarkEnd w:id="0"/>
    <w:p w14:paraId="2672DCE5">
      <w:pPr>
        <w:pStyle w:val="3"/>
        <w:spacing w:before="190" w:after="19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2.5运维服务验收要求</w:t>
      </w:r>
    </w:p>
    <w:p w14:paraId="0BA0A181">
      <w:pPr>
        <w:widowControl/>
        <w:spacing w:line="360" w:lineRule="auto"/>
        <w:ind w:firstLine="371" w:firstLineChars="177"/>
        <w:jc w:val="left"/>
        <w:rPr>
          <w:rFonts w:hint="eastAsia" w:ascii="宋体" w:hAnsi="宋体" w:cs="宋体"/>
          <w:color w:val="000000"/>
          <w:lang w:val="en-US" w:eastAsia="zh-CN"/>
        </w:rPr>
      </w:pPr>
      <w:r>
        <w:rPr>
          <w:rFonts w:hint="eastAsia" w:ascii="宋体" w:hAnsi="宋体" w:cs="宋体"/>
          <w:color w:val="000000"/>
          <w:lang w:val="en-US" w:eastAsia="zh-CN"/>
        </w:rPr>
        <w:t>验收标准：按福建省环境监测中心站制定最新非甲烷总烃质控检查表进行评分，评价分数应不低于90%。具体验收标准如下：</w:t>
      </w:r>
    </w:p>
    <w:p w14:paraId="0826FE18">
      <w:pPr>
        <w:widowControl/>
        <w:spacing w:line="360" w:lineRule="auto"/>
        <w:ind w:firstLine="371" w:firstLineChars="177"/>
        <w:jc w:val="left"/>
        <w:rPr>
          <w:rFonts w:hint="eastAsia" w:ascii="宋体" w:hAnsi="宋体" w:cs="宋体"/>
          <w:color w:val="000000"/>
          <w:lang w:val="en-US" w:eastAsia="zh-CN"/>
        </w:rPr>
      </w:pPr>
      <w:r>
        <w:rPr>
          <w:rFonts w:hint="eastAsia" w:ascii="宋体" w:hAnsi="宋体" w:cs="宋体"/>
          <w:color w:val="000000"/>
          <w:lang w:val="en-US" w:eastAsia="zh-CN"/>
        </w:rPr>
        <w:t>2.5.1  质控检查评分≧90%，当期货款100%。</w:t>
      </w:r>
    </w:p>
    <w:p w14:paraId="052BDB76">
      <w:pPr>
        <w:widowControl/>
        <w:spacing w:line="360" w:lineRule="auto"/>
        <w:ind w:firstLine="371" w:firstLineChars="177"/>
        <w:jc w:val="left"/>
        <w:rPr>
          <w:rFonts w:hint="eastAsia" w:ascii="宋体" w:hAnsi="宋体" w:cs="宋体"/>
          <w:color w:val="auto"/>
          <w:lang w:val="en-US" w:eastAsia="zh-CN"/>
        </w:rPr>
      </w:pPr>
      <w:r>
        <w:rPr>
          <w:rFonts w:hint="eastAsia" w:ascii="宋体" w:hAnsi="宋体" w:cs="宋体"/>
          <w:color w:val="000000"/>
          <w:lang w:val="en-US" w:eastAsia="zh-CN"/>
        </w:rPr>
        <w:t xml:space="preserve">2.5.2  </w:t>
      </w:r>
      <w:r>
        <w:rPr>
          <w:rFonts w:hint="eastAsia" w:ascii="宋体" w:hAnsi="宋体" w:cs="宋体"/>
          <w:color w:val="auto"/>
          <w:lang w:val="en-US" w:eastAsia="zh-CN"/>
        </w:rPr>
        <w:t>90%≥质控检查评分＞80%，当期货款90%。</w:t>
      </w:r>
    </w:p>
    <w:p w14:paraId="051F9EF6">
      <w:pPr>
        <w:widowControl/>
        <w:spacing w:line="360" w:lineRule="auto"/>
        <w:ind w:firstLine="371" w:firstLineChars="177"/>
        <w:jc w:val="left"/>
        <w:rPr>
          <w:rFonts w:hint="eastAsia" w:ascii="宋体" w:hAnsi="宋体" w:cs="宋体"/>
          <w:color w:val="000000"/>
          <w:lang w:val="en-US" w:eastAsia="zh-CN"/>
        </w:rPr>
      </w:pPr>
      <w:r>
        <w:rPr>
          <w:rFonts w:hint="eastAsia" w:ascii="宋体" w:hAnsi="宋体" w:cs="宋体"/>
          <w:color w:val="auto"/>
          <w:lang w:val="en-US" w:eastAsia="zh-CN"/>
        </w:rPr>
        <w:t>2.5.3  80%≥质控检查评分＞70%，当</w:t>
      </w:r>
      <w:r>
        <w:rPr>
          <w:rFonts w:hint="eastAsia" w:ascii="宋体" w:hAnsi="宋体" w:cs="宋体"/>
          <w:color w:val="000000"/>
          <w:lang w:val="en-US" w:eastAsia="zh-CN"/>
        </w:rPr>
        <w:t>期货款70%。</w:t>
      </w:r>
    </w:p>
    <w:p w14:paraId="19153D93">
      <w:pPr>
        <w:widowControl/>
        <w:spacing w:line="360" w:lineRule="auto"/>
        <w:ind w:firstLine="371" w:firstLineChars="177"/>
        <w:jc w:val="left"/>
        <w:rPr>
          <w:rFonts w:hint="eastAsia" w:ascii="宋体" w:hAnsi="宋体" w:cs="宋体"/>
          <w:color w:val="000000"/>
          <w:lang w:val="en-US" w:eastAsia="zh-CN"/>
        </w:rPr>
      </w:pPr>
      <w:r>
        <w:rPr>
          <w:rFonts w:hint="eastAsia" w:ascii="宋体" w:hAnsi="宋体" w:cs="宋体"/>
          <w:color w:val="000000"/>
          <w:lang w:val="en-US" w:eastAsia="zh-CN"/>
        </w:rPr>
        <w:t>2.5.4  质控检查评分&lt;60%，当期货款50%。</w:t>
      </w:r>
    </w:p>
    <w:p w14:paraId="39928822">
      <w:pPr>
        <w:widowControl/>
        <w:spacing w:line="360" w:lineRule="auto"/>
        <w:ind w:firstLine="371" w:firstLineChars="177"/>
        <w:jc w:val="left"/>
        <w:rPr>
          <w:rFonts w:hint="eastAsia" w:ascii="宋体" w:hAnsi="宋体" w:cs="宋体"/>
          <w:color w:val="000000"/>
          <w:lang w:val="en-US" w:eastAsia="zh-CN"/>
        </w:rPr>
      </w:pPr>
      <w:r>
        <w:rPr>
          <w:rFonts w:hint="eastAsia" w:ascii="宋体" w:hAnsi="宋体" w:cs="宋体"/>
          <w:color w:val="000000"/>
          <w:lang w:val="en-US" w:eastAsia="zh-CN"/>
        </w:rPr>
        <w:t>三、商务条件</w:t>
      </w:r>
    </w:p>
    <w:p w14:paraId="4472A722">
      <w:pPr>
        <w:pStyle w:val="3"/>
        <w:spacing w:before="190" w:after="19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3.1投标人资格要求</w:t>
      </w:r>
    </w:p>
    <w:p w14:paraId="21AA7870">
      <w:pPr>
        <w:widowControl/>
        <w:spacing w:line="360" w:lineRule="auto"/>
        <w:jc w:val="left"/>
        <w:rPr>
          <w:rFonts w:hint="eastAsia"/>
          <w:color w:val="auto"/>
          <w:lang w:val="en-US" w:eastAsia="zh-CN"/>
        </w:rPr>
      </w:pPr>
      <w:r>
        <w:rPr>
          <w:rFonts w:hint="eastAsia" w:ascii="宋体" w:hAnsi="宋体" w:cs="宋体"/>
          <w:color w:val="auto"/>
          <w:lang w:val="en-US" w:eastAsia="zh-CN"/>
        </w:rPr>
        <w:t>3.1.1投标人须是合法成立且承担过生态环境部门委托的监测系统建设或运维项目的公司。</w:t>
      </w:r>
    </w:p>
    <w:p w14:paraId="737916A9">
      <w:pPr>
        <w:pStyle w:val="12"/>
        <w:ind w:firstLine="0" w:firstLineChars="0"/>
        <w:rPr>
          <w:rFonts w:hint="eastAsia"/>
          <w:color w:val="auto"/>
          <w:lang w:val="en-US" w:eastAsia="zh-CN"/>
        </w:rPr>
      </w:pPr>
      <w:r>
        <w:rPr>
          <w:rFonts w:hint="eastAsia"/>
          <w:color w:val="auto"/>
          <w:lang w:val="en-US" w:eastAsia="zh-CN"/>
        </w:rPr>
        <w:t>3.1.</w:t>
      </w:r>
      <w:r>
        <w:rPr>
          <w:rFonts w:hint="default"/>
          <w:color w:val="auto"/>
          <w:lang w:val="en-US" w:eastAsia="zh-CN"/>
        </w:rPr>
        <w:t>2</w:t>
      </w:r>
      <w:r>
        <w:rPr>
          <w:rFonts w:hint="eastAsia" w:ascii="宋体" w:hAnsi="宋体" w:cs="宋体"/>
          <w:color w:val="auto"/>
          <w:lang w:val="en-US" w:eastAsia="zh-CN"/>
        </w:rPr>
        <w:t>投标人须</w:t>
      </w:r>
      <w:r>
        <w:rPr>
          <w:rFonts w:hint="eastAsia"/>
          <w:color w:val="auto"/>
          <w:lang w:val="en-US" w:eastAsia="zh-CN"/>
        </w:rPr>
        <w:t>提供参加采购活动前三年内在经营活动中没有重大违法记录的声明，并提供信用记录查询证明。</w:t>
      </w:r>
    </w:p>
    <w:p w14:paraId="775060BF">
      <w:pPr>
        <w:pStyle w:val="12"/>
        <w:ind w:firstLine="0" w:firstLineChars="0"/>
        <w:rPr>
          <w:rFonts w:hint="eastAsia"/>
          <w:color w:val="auto"/>
          <w:lang w:val="en-US" w:eastAsia="zh-CN"/>
        </w:rPr>
      </w:pPr>
      <w:r>
        <w:rPr>
          <w:rFonts w:hint="eastAsia"/>
          <w:color w:val="auto"/>
          <w:lang w:val="en-US" w:eastAsia="zh-CN"/>
        </w:rPr>
        <w:t>3.1.</w:t>
      </w:r>
      <w:r>
        <w:rPr>
          <w:rFonts w:hint="default"/>
          <w:color w:val="auto"/>
          <w:lang w:val="en-US" w:eastAsia="zh-CN"/>
        </w:rPr>
        <w:t>3</w:t>
      </w:r>
      <w:r>
        <w:rPr>
          <w:rFonts w:hint="eastAsia" w:ascii="宋体" w:hAnsi="宋体" w:cs="宋体"/>
          <w:color w:val="auto"/>
          <w:lang w:val="en-US" w:eastAsia="zh-CN"/>
        </w:rPr>
        <w:t>投标人</w:t>
      </w:r>
      <w:r>
        <w:rPr>
          <w:rFonts w:hint="eastAsia"/>
          <w:color w:val="auto"/>
          <w:lang w:val="en-US" w:eastAsia="zh-CN"/>
        </w:rPr>
        <w:t>不得为“信用中国”网站（www.creditchina.gov.cn）中列入失信被执行人和重大税收违法案件当事人名单的供应商，不得为中国政府采购网（www.ccgp.gov.cn） 政府采购严重违法失信行为记录名单中被财政部门禁止参加政府采购活动的供应商。</w:t>
      </w:r>
    </w:p>
    <w:p w14:paraId="3F842C9D">
      <w:pPr>
        <w:pStyle w:val="12"/>
        <w:ind w:firstLine="0" w:firstLineChars="0"/>
        <w:rPr>
          <w:rFonts w:hint="default"/>
          <w:color w:val="auto"/>
          <w:lang w:val="en-US" w:eastAsia="zh-CN"/>
        </w:rPr>
      </w:pPr>
      <w:r>
        <w:rPr>
          <w:rFonts w:hint="default"/>
          <w:color w:val="auto"/>
          <w:lang w:val="en-US" w:eastAsia="zh-CN"/>
        </w:rPr>
        <w:t>3.1.4投标人具备履行合同所必需的设备和专业技术能力的证明材料。</w:t>
      </w:r>
    </w:p>
    <w:p w14:paraId="0BE936E1">
      <w:pPr>
        <w:pStyle w:val="3"/>
        <w:spacing w:before="190" w:after="19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3.2交付地点</w:t>
      </w:r>
    </w:p>
    <w:p w14:paraId="317D2AE0">
      <w:pPr>
        <w:widowControl/>
        <w:spacing w:line="360" w:lineRule="auto"/>
        <w:ind w:firstLine="371" w:firstLineChars="177"/>
        <w:jc w:val="left"/>
        <w:rPr>
          <w:rFonts w:hint="eastAsia" w:ascii="宋体" w:hAnsi="宋体" w:cs="宋体"/>
          <w:color w:val="000000"/>
          <w:lang w:val="en-US" w:eastAsia="zh-CN"/>
        </w:rPr>
      </w:pPr>
      <w:r>
        <w:rPr>
          <w:rFonts w:hint="eastAsia" w:ascii="宋体" w:hAnsi="宋体" w:cs="宋体"/>
          <w:color w:val="000000"/>
          <w:lang w:val="en-US" w:eastAsia="zh-CN"/>
        </w:rPr>
        <w:t xml:space="preserve">福建省南平市延平区光荣岭4号 </w:t>
      </w:r>
    </w:p>
    <w:p w14:paraId="46BF9550">
      <w:pPr>
        <w:pStyle w:val="3"/>
        <w:spacing w:before="190" w:after="19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3.3交付时间</w:t>
      </w:r>
    </w:p>
    <w:p w14:paraId="63B40833">
      <w:pPr>
        <w:widowControl/>
        <w:spacing w:line="360" w:lineRule="auto"/>
        <w:ind w:firstLine="371" w:firstLineChars="177"/>
        <w:jc w:val="left"/>
        <w:rPr>
          <w:rFonts w:hint="eastAsia" w:ascii="宋体" w:hAnsi="宋体" w:eastAsia="宋体" w:cs="宋体"/>
          <w:color w:val="000000"/>
          <w:kern w:val="2"/>
          <w:sz w:val="21"/>
          <w:szCs w:val="22"/>
          <w:lang w:val="en-US" w:eastAsia="zh-CN" w:bidi="ar-SA"/>
        </w:rPr>
      </w:pPr>
      <w:r>
        <w:rPr>
          <w:rFonts w:hint="eastAsia" w:ascii="宋体" w:hAnsi="宋体" w:eastAsia="宋体" w:cs="宋体"/>
          <w:color w:val="000000"/>
          <w:kern w:val="2"/>
          <w:sz w:val="21"/>
          <w:szCs w:val="22"/>
          <w:lang w:val="en-US" w:eastAsia="zh-CN" w:bidi="ar-SA"/>
        </w:rPr>
        <w:t>合同签订后 (30) 天内进行运维交接</w:t>
      </w:r>
      <w:r>
        <w:rPr>
          <w:rFonts w:hint="eastAsia" w:ascii="宋体" w:hAnsi="宋体" w:cs="宋体"/>
          <w:color w:val="000000"/>
          <w:kern w:val="2"/>
          <w:sz w:val="21"/>
          <w:szCs w:val="22"/>
          <w:lang w:val="en-US" w:eastAsia="zh-CN" w:bidi="ar-SA"/>
        </w:rPr>
        <w:t>。</w:t>
      </w:r>
    </w:p>
    <w:p w14:paraId="3A8D8898">
      <w:pPr>
        <w:pStyle w:val="3"/>
        <w:spacing w:before="190" w:after="19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3.4、交付条件：</w:t>
      </w:r>
    </w:p>
    <w:p w14:paraId="76B70248">
      <w:pPr>
        <w:pStyle w:val="27"/>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lang w:val="en-US" w:eastAsia="zh-CN"/>
        </w:rPr>
      </w:pPr>
      <w:r>
        <w:rPr>
          <w:rFonts w:hint="eastAsia" w:ascii="宋体" w:hAnsi="宋体" w:eastAsia="宋体" w:cs="宋体"/>
          <w:color w:val="000000"/>
          <w:kern w:val="2"/>
          <w:sz w:val="21"/>
          <w:szCs w:val="22"/>
          <w:lang w:val="en-US" w:eastAsia="zh-CN" w:bidi="ar-SA"/>
        </w:rPr>
        <w:t>分</w:t>
      </w:r>
      <w:r>
        <w:rPr>
          <w:rFonts w:hint="eastAsia" w:cs="宋体"/>
          <w:color w:val="000000"/>
          <w:kern w:val="2"/>
          <w:sz w:val="21"/>
          <w:szCs w:val="22"/>
          <w:lang w:val="en-US" w:eastAsia="zh-CN" w:bidi="ar-SA"/>
        </w:rPr>
        <w:t>3</w:t>
      </w:r>
      <w:r>
        <w:rPr>
          <w:rFonts w:hint="eastAsia" w:ascii="宋体" w:hAnsi="宋体" w:eastAsia="宋体" w:cs="宋体"/>
          <w:color w:val="000000"/>
          <w:kern w:val="2"/>
          <w:sz w:val="21"/>
          <w:szCs w:val="22"/>
          <w:lang w:val="en-US" w:eastAsia="zh-CN" w:bidi="ar-SA"/>
        </w:rPr>
        <w:t xml:space="preserve">期进行支付，根据验收要求进行支付当期货款 。   </w:t>
      </w:r>
      <w:r>
        <w:rPr>
          <w:rFonts w:hint="eastAsia"/>
          <w:lang w:val="en-US" w:eastAsia="zh-CN"/>
        </w:rPr>
        <w:t xml:space="preserve">                                      </w:t>
      </w:r>
    </w:p>
    <w:p w14:paraId="306042E3">
      <w:pPr>
        <w:pStyle w:val="3"/>
        <w:spacing w:before="190" w:after="19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3.5、是否收取履约保证金：否</w:t>
      </w:r>
      <w:r>
        <w:rPr>
          <w:rFonts w:hint="eastAsia" w:ascii="宋体" w:hAnsi="宋体" w:eastAsia="宋体" w:cs="宋体"/>
          <w:sz w:val="24"/>
          <w:szCs w:val="24"/>
          <w:highlight w:val="none"/>
          <w:lang w:val="en-US" w:eastAsia="zh-CN"/>
        </w:rPr>
        <w:br w:type="textWrapping"/>
      </w:r>
      <w:r>
        <w:rPr>
          <w:rFonts w:hint="eastAsia" w:ascii="宋体" w:hAnsi="宋体" w:eastAsia="宋体" w:cs="宋体"/>
          <w:sz w:val="24"/>
          <w:szCs w:val="24"/>
          <w:highlight w:val="none"/>
          <w:lang w:val="en-US" w:eastAsia="zh-CN"/>
        </w:rPr>
        <w:t>3.6、是否邀请投标人参与验收：否</w:t>
      </w:r>
      <w:r>
        <w:rPr>
          <w:rFonts w:hint="eastAsia" w:ascii="宋体" w:hAnsi="宋体" w:eastAsia="宋体" w:cs="宋体"/>
          <w:sz w:val="24"/>
          <w:szCs w:val="24"/>
          <w:highlight w:val="none"/>
          <w:lang w:val="en-US" w:eastAsia="zh-CN"/>
        </w:rPr>
        <w:br w:type="textWrapping"/>
      </w:r>
      <w:r>
        <w:rPr>
          <w:rFonts w:hint="eastAsia" w:ascii="宋体" w:hAnsi="宋体" w:eastAsia="宋体" w:cs="宋体"/>
          <w:sz w:val="24"/>
          <w:szCs w:val="24"/>
          <w:highlight w:val="none"/>
          <w:lang w:val="en-US" w:eastAsia="zh-CN"/>
        </w:rPr>
        <w:t xml:space="preserve">3.7、验收方式数据表格 </w:t>
      </w:r>
    </w:p>
    <w:tbl>
      <w:tblPr>
        <w:tblStyle w:val="14"/>
        <w:tblW w:w="8336" w:type="dxa"/>
        <w:tblCellSpacing w:w="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667"/>
        <w:gridCol w:w="6669"/>
      </w:tblGrid>
      <w:tr w14:paraId="15504F4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Header/>
          <w:tblCellSpacing w:w="0" w:type="dxa"/>
        </w:trPr>
        <w:tc>
          <w:tcPr>
            <w:tcW w:w="1667" w:type="dxa"/>
            <w:tcBorders>
              <w:top w:val="outset" w:color="auto" w:sz="6" w:space="0"/>
              <w:left w:val="outset" w:color="auto" w:sz="6" w:space="0"/>
              <w:bottom w:val="outset" w:color="auto" w:sz="6" w:space="0"/>
              <w:right w:val="outset" w:color="auto" w:sz="6" w:space="0"/>
            </w:tcBorders>
            <w:vAlign w:val="center"/>
          </w:tcPr>
          <w:p w14:paraId="7E2E2AC7">
            <w:pPr>
              <w:pStyle w:val="27"/>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宋体" w:hAnsi="宋体" w:eastAsia="宋体" w:cs="宋体"/>
                <w:color w:val="000000"/>
                <w:kern w:val="2"/>
                <w:sz w:val="21"/>
                <w:szCs w:val="22"/>
                <w:lang w:val="en-US" w:eastAsia="zh-CN" w:bidi="ar-SA"/>
              </w:rPr>
            </w:pPr>
            <w:r>
              <w:rPr>
                <w:rFonts w:hint="eastAsia" w:ascii="宋体" w:hAnsi="宋体" w:eastAsia="宋体" w:cs="宋体"/>
                <w:color w:val="000000"/>
                <w:kern w:val="2"/>
                <w:sz w:val="21"/>
                <w:szCs w:val="22"/>
                <w:lang w:val="en-US" w:eastAsia="zh-CN" w:bidi="ar-SA"/>
              </w:rPr>
              <w:t>验收期次</w:t>
            </w:r>
          </w:p>
        </w:tc>
        <w:tc>
          <w:tcPr>
            <w:tcW w:w="6669" w:type="dxa"/>
            <w:tcBorders>
              <w:top w:val="outset" w:color="auto" w:sz="6" w:space="0"/>
              <w:left w:val="outset" w:color="auto" w:sz="6" w:space="0"/>
              <w:bottom w:val="outset" w:color="auto" w:sz="6" w:space="0"/>
              <w:right w:val="outset" w:color="auto" w:sz="6" w:space="0"/>
            </w:tcBorders>
            <w:vAlign w:val="center"/>
          </w:tcPr>
          <w:p w14:paraId="744459E7">
            <w:pPr>
              <w:pStyle w:val="27"/>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宋体" w:hAnsi="宋体" w:eastAsia="宋体" w:cs="宋体"/>
                <w:color w:val="000000"/>
                <w:kern w:val="2"/>
                <w:sz w:val="21"/>
                <w:szCs w:val="22"/>
                <w:lang w:val="en-US" w:eastAsia="zh-CN" w:bidi="ar-SA"/>
              </w:rPr>
            </w:pPr>
            <w:r>
              <w:rPr>
                <w:rFonts w:hint="eastAsia" w:ascii="宋体" w:hAnsi="宋体" w:eastAsia="宋体" w:cs="宋体"/>
                <w:color w:val="000000"/>
                <w:kern w:val="2"/>
                <w:sz w:val="21"/>
                <w:szCs w:val="22"/>
                <w:lang w:val="en-US" w:eastAsia="zh-CN" w:bidi="ar-SA"/>
              </w:rPr>
              <w:t>验收期次说明</w:t>
            </w:r>
          </w:p>
        </w:tc>
      </w:tr>
      <w:tr w14:paraId="4024FF5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tblCellSpacing w:w="0" w:type="dxa"/>
        </w:trPr>
        <w:tc>
          <w:tcPr>
            <w:tcW w:w="1667" w:type="dxa"/>
            <w:tcBorders>
              <w:top w:val="outset" w:color="auto" w:sz="6" w:space="0"/>
              <w:left w:val="outset" w:color="auto" w:sz="6" w:space="0"/>
              <w:bottom w:val="outset" w:color="auto" w:sz="6" w:space="0"/>
              <w:right w:val="outset" w:color="auto" w:sz="6" w:space="0"/>
            </w:tcBorders>
            <w:vAlign w:val="center"/>
          </w:tcPr>
          <w:p w14:paraId="49F3FD60">
            <w:pPr>
              <w:pStyle w:val="27"/>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宋体" w:hAnsi="宋体" w:eastAsia="宋体" w:cs="宋体"/>
                <w:color w:val="000000"/>
                <w:kern w:val="2"/>
                <w:sz w:val="21"/>
                <w:szCs w:val="22"/>
                <w:lang w:val="en-US" w:eastAsia="zh-CN" w:bidi="ar-SA"/>
              </w:rPr>
            </w:pPr>
            <w:r>
              <w:rPr>
                <w:rFonts w:hint="eastAsia" w:ascii="宋体" w:hAnsi="宋体" w:eastAsia="宋体" w:cs="宋体"/>
                <w:color w:val="000000"/>
                <w:kern w:val="2"/>
                <w:sz w:val="21"/>
                <w:szCs w:val="22"/>
                <w:lang w:val="en-US" w:eastAsia="zh-CN" w:bidi="ar-SA"/>
              </w:rPr>
              <w:t>2</w:t>
            </w:r>
          </w:p>
        </w:tc>
        <w:tc>
          <w:tcPr>
            <w:tcW w:w="6669" w:type="dxa"/>
            <w:tcBorders>
              <w:top w:val="outset" w:color="auto" w:sz="6" w:space="0"/>
              <w:left w:val="outset" w:color="auto" w:sz="6" w:space="0"/>
              <w:bottom w:val="outset" w:color="auto" w:sz="6" w:space="0"/>
              <w:right w:val="outset" w:color="auto" w:sz="6" w:space="0"/>
            </w:tcBorders>
            <w:vAlign w:val="center"/>
          </w:tcPr>
          <w:p w14:paraId="10C2E5C7">
            <w:pPr>
              <w:pStyle w:val="27"/>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宋体" w:hAnsi="宋体" w:eastAsia="宋体" w:cs="宋体"/>
                <w:color w:val="000000"/>
                <w:kern w:val="2"/>
                <w:sz w:val="21"/>
                <w:szCs w:val="22"/>
                <w:lang w:val="en-US" w:eastAsia="zh-CN" w:bidi="ar-SA"/>
              </w:rPr>
            </w:pPr>
            <w:r>
              <w:rPr>
                <w:rFonts w:hint="eastAsia" w:cs="宋体"/>
                <w:color w:val="000000"/>
                <w:kern w:val="2"/>
                <w:sz w:val="21"/>
                <w:szCs w:val="22"/>
                <w:lang w:val="en-US" w:eastAsia="zh-CN" w:bidi="ar-SA"/>
              </w:rPr>
              <w:t>每半年</w:t>
            </w:r>
            <w:r>
              <w:rPr>
                <w:rFonts w:hint="eastAsia" w:ascii="宋体" w:hAnsi="宋体" w:eastAsia="宋体" w:cs="宋体"/>
                <w:color w:val="000000"/>
                <w:kern w:val="2"/>
                <w:sz w:val="21"/>
                <w:szCs w:val="22"/>
                <w:lang w:val="en-US" w:eastAsia="zh-CN" w:bidi="ar-SA"/>
              </w:rPr>
              <w:t>按招标文件要求进行验收</w:t>
            </w:r>
            <w:r>
              <w:rPr>
                <w:rFonts w:hint="eastAsia" w:cs="宋体"/>
                <w:color w:val="000000"/>
                <w:kern w:val="2"/>
                <w:sz w:val="21"/>
                <w:szCs w:val="22"/>
                <w:lang w:val="en-US" w:eastAsia="zh-CN" w:bidi="ar-SA"/>
              </w:rPr>
              <w:t>，并支付当期款项</w:t>
            </w:r>
          </w:p>
        </w:tc>
      </w:tr>
    </w:tbl>
    <w:p w14:paraId="2BBDC85C">
      <w:pPr>
        <w:widowControl/>
        <w:numPr>
          <w:ilvl w:val="0"/>
          <w:numId w:val="0"/>
        </w:numPr>
        <w:jc w:val="left"/>
        <w:rPr>
          <w:rFonts w:hint="eastAsia" w:ascii="宋体-简" w:hAnsi="宋体-简" w:eastAsia="宋体-简" w:cs="宋体"/>
          <w:color w:val="000000"/>
          <w:kern w:val="0"/>
          <w:sz w:val="24"/>
          <w:szCs w:val="24"/>
        </w:rPr>
      </w:pPr>
    </w:p>
    <w:p w14:paraId="30881A47">
      <w:pPr>
        <w:pStyle w:val="3"/>
        <w:spacing w:before="190" w:after="19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 xml:space="preserve">3.8、支付方式数据表格 </w:t>
      </w:r>
    </w:p>
    <w:tbl>
      <w:tblPr>
        <w:tblStyle w:val="14"/>
        <w:tblW w:w="8336" w:type="dxa"/>
        <w:jc w:val="center"/>
        <w:tblCellSpacing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666"/>
        <w:gridCol w:w="1666"/>
        <w:gridCol w:w="5004"/>
      </w:tblGrid>
      <w:tr w14:paraId="0E0EEEA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Header/>
          <w:tblCellSpacing w:w="0" w:type="dxa"/>
          <w:jc w:val="center"/>
        </w:trPr>
        <w:tc>
          <w:tcPr>
            <w:tcW w:w="1666" w:type="dxa"/>
            <w:tcBorders>
              <w:top w:val="outset" w:color="auto" w:sz="6" w:space="0"/>
              <w:left w:val="outset" w:color="auto" w:sz="6" w:space="0"/>
              <w:bottom w:val="outset" w:color="auto" w:sz="6" w:space="0"/>
              <w:right w:val="outset" w:color="auto" w:sz="6" w:space="0"/>
            </w:tcBorders>
            <w:vAlign w:val="center"/>
          </w:tcPr>
          <w:p w14:paraId="3950D85C">
            <w:pPr>
              <w:pStyle w:val="27"/>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宋体" w:hAnsi="宋体" w:eastAsia="宋体" w:cs="宋体"/>
                <w:color w:val="000000"/>
                <w:kern w:val="2"/>
                <w:sz w:val="21"/>
                <w:szCs w:val="22"/>
                <w:lang w:val="en-US" w:eastAsia="zh-CN" w:bidi="ar-SA"/>
              </w:rPr>
            </w:pPr>
            <w:r>
              <w:rPr>
                <w:rFonts w:hint="eastAsia" w:ascii="宋体" w:hAnsi="宋体" w:eastAsia="宋体" w:cs="宋体"/>
                <w:color w:val="000000"/>
                <w:kern w:val="2"/>
                <w:sz w:val="21"/>
                <w:szCs w:val="22"/>
                <w:lang w:val="en-US" w:eastAsia="zh-CN" w:bidi="ar-SA"/>
              </w:rPr>
              <w:t>支付期次</w:t>
            </w:r>
          </w:p>
        </w:tc>
        <w:tc>
          <w:tcPr>
            <w:tcW w:w="1666" w:type="dxa"/>
            <w:tcBorders>
              <w:top w:val="outset" w:color="auto" w:sz="6" w:space="0"/>
              <w:left w:val="outset" w:color="auto" w:sz="6" w:space="0"/>
              <w:bottom w:val="outset" w:color="auto" w:sz="6" w:space="0"/>
              <w:right w:val="outset" w:color="auto" w:sz="6" w:space="0"/>
            </w:tcBorders>
            <w:vAlign w:val="center"/>
          </w:tcPr>
          <w:p w14:paraId="2F977492">
            <w:pPr>
              <w:pStyle w:val="27"/>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宋体" w:hAnsi="宋体" w:eastAsia="宋体" w:cs="宋体"/>
                <w:color w:val="000000"/>
                <w:kern w:val="2"/>
                <w:sz w:val="21"/>
                <w:szCs w:val="22"/>
                <w:lang w:val="en-US" w:eastAsia="zh-CN" w:bidi="ar-SA"/>
              </w:rPr>
            </w:pPr>
            <w:r>
              <w:rPr>
                <w:rFonts w:hint="eastAsia" w:ascii="宋体" w:hAnsi="宋体" w:eastAsia="宋体" w:cs="宋体"/>
                <w:color w:val="000000"/>
                <w:kern w:val="2"/>
                <w:sz w:val="21"/>
                <w:szCs w:val="22"/>
                <w:lang w:val="en-US" w:eastAsia="zh-CN" w:bidi="ar-SA"/>
              </w:rPr>
              <w:t>支付比例(%)</w:t>
            </w:r>
          </w:p>
        </w:tc>
        <w:tc>
          <w:tcPr>
            <w:tcW w:w="5004" w:type="dxa"/>
            <w:tcBorders>
              <w:top w:val="outset" w:color="auto" w:sz="6" w:space="0"/>
              <w:left w:val="outset" w:color="auto" w:sz="6" w:space="0"/>
              <w:bottom w:val="outset" w:color="auto" w:sz="6" w:space="0"/>
              <w:right w:val="outset" w:color="auto" w:sz="6" w:space="0"/>
            </w:tcBorders>
            <w:vAlign w:val="center"/>
          </w:tcPr>
          <w:p w14:paraId="4FA96B3B">
            <w:pPr>
              <w:pStyle w:val="27"/>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宋体" w:hAnsi="宋体" w:eastAsia="宋体" w:cs="宋体"/>
                <w:color w:val="000000"/>
                <w:kern w:val="2"/>
                <w:sz w:val="21"/>
                <w:szCs w:val="22"/>
                <w:lang w:val="en-US" w:eastAsia="zh-CN" w:bidi="ar-SA"/>
              </w:rPr>
            </w:pPr>
            <w:r>
              <w:rPr>
                <w:rFonts w:hint="eastAsia" w:ascii="宋体" w:hAnsi="宋体" w:eastAsia="宋体" w:cs="宋体"/>
                <w:color w:val="000000"/>
                <w:kern w:val="2"/>
                <w:sz w:val="21"/>
                <w:szCs w:val="22"/>
                <w:lang w:val="en-US" w:eastAsia="zh-CN" w:bidi="ar-SA"/>
              </w:rPr>
              <w:t>支付期次说明</w:t>
            </w:r>
          </w:p>
        </w:tc>
      </w:tr>
      <w:tr w14:paraId="52BDB7D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1666" w:type="dxa"/>
            <w:tcBorders>
              <w:top w:val="outset" w:color="auto" w:sz="6" w:space="0"/>
              <w:left w:val="outset" w:color="auto" w:sz="6" w:space="0"/>
              <w:bottom w:val="outset" w:color="auto" w:sz="6" w:space="0"/>
              <w:right w:val="outset" w:color="auto" w:sz="6" w:space="0"/>
            </w:tcBorders>
            <w:vAlign w:val="center"/>
          </w:tcPr>
          <w:p w14:paraId="58E71EBF">
            <w:pPr>
              <w:pStyle w:val="27"/>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宋体" w:hAnsi="宋体" w:eastAsia="宋体" w:cs="宋体"/>
                <w:color w:val="000000"/>
                <w:kern w:val="2"/>
                <w:sz w:val="21"/>
                <w:szCs w:val="22"/>
                <w:lang w:val="en-US" w:eastAsia="zh-CN" w:bidi="ar-SA"/>
              </w:rPr>
            </w:pPr>
            <w:r>
              <w:rPr>
                <w:rFonts w:hint="eastAsia" w:ascii="宋体" w:hAnsi="宋体" w:eastAsia="宋体" w:cs="宋体"/>
                <w:color w:val="000000"/>
                <w:kern w:val="2"/>
                <w:sz w:val="21"/>
                <w:szCs w:val="22"/>
                <w:lang w:val="en-US" w:eastAsia="zh-CN" w:bidi="ar-SA"/>
              </w:rPr>
              <w:t>1</w:t>
            </w:r>
          </w:p>
        </w:tc>
        <w:tc>
          <w:tcPr>
            <w:tcW w:w="1666" w:type="dxa"/>
            <w:tcBorders>
              <w:top w:val="outset" w:color="auto" w:sz="6" w:space="0"/>
              <w:left w:val="outset" w:color="auto" w:sz="6" w:space="0"/>
              <w:bottom w:val="outset" w:color="auto" w:sz="6" w:space="0"/>
              <w:right w:val="outset" w:color="auto" w:sz="6" w:space="0"/>
            </w:tcBorders>
            <w:vAlign w:val="center"/>
          </w:tcPr>
          <w:p w14:paraId="59797EA7">
            <w:pPr>
              <w:pStyle w:val="27"/>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宋体" w:hAnsi="宋体" w:eastAsia="宋体" w:cs="宋体"/>
                <w:color w:val="000000"/>
                <w:kern w:val="2"/>
                <w:sz w:val="21"/>
                <w:szCs w:val="22"/>
                <w:lang w:val="en-US" w:eastAsia="zh-CN" w:bidi="ar-SA"/>
              </w:rPr>
            </w:pPr>
            <w:r>
              <w:rPr>
                <w:rFonts w:hint="eastAsia" w:ascii="宋体" w:hAnsi="宋体" w:eastAsia="宋体" w:cs="宋体"/>
                <w:color w:val="000000"/>
                <w:kern w:val="2"/>
                <w:sz w:val="21"/>
                <w:szCs w:val="22"/>
                <w:lang w:val="en-US" w:eastAsia="zh-CN" w:bidi="ar-SA"/>
              </w:rPr>
              <w:t>20</w:t>
            </w:r>
          </w:p>
        </w:tc>
        <w:tc>
          <w:tcPr>
            <w:tcW w:w="5004" w:type="dxa"/>
            <w:tcBorders>
              <w:top w:val="outset" w:color="auto" w:sz="6" w:space="0"/>
              <w:left w:val="outset" w:color="auto" w:sz="6" w:space="0"/>
              <w:bottom w:val="outset" w:color="auto" w:sz="6" w:space="0"/>
              <w:right w:val="outset" w:color="auto" w:sz="6" w:space="0"/>
            </w:tcBorders>
            <w:vAlign w:val="center"/>
          </w:tcPr>
          <w:p w14:paraId="0E3AD259">
            <w:pPr>
              <w:widowControl/>
              <w:spacing w:line="360" w:lineRule="auto"/>
              <w:jc w:val="left"/>
              <w:rPr>
                <w:rFonts w:hint="eastAsia" w:ascii="宋体" w:hAnsi="宋体" w:eastAsia="宋体" w:cs="宋体"/>
                <w:color w:val="000000"/>
                <w:kern w:val="2"/>
                <w:sz w:val="21"/>
                <w:szCs w:val="22"/>
                <w:lang w:val="en-US" w:eastAsia="zh-CN" w:bidi="ar-SA"/>
              </w:rPr>
            </w:pPr>
            <w:r>
              <w:rPr>
                <w:rFonts w:hint="eastAsia" w:ascii="宋体" w:hAnsi="宋体" w:eastAsia="宋体" w:cs="宋体"/>
                <w:color w:val="000000"/>
                <w:kern w:val="2"/>
                <w:sz w:val="21"/>
                <w:szCs w:val="22"/>
                <w:lang w:val="en-US" w:eastAsia="zh-CN" w:bidi="ar-SA"/>
              </w:rPr>
              <w:t>招标人与中标单位签订合同，待收到中标单位提供的正式发票后10个工作日内支付</w:t>
            </w:r>
          </w:p>
        </w:tc>
      </w:tr>
      <w:tr w14:paraId="38475D7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1666" w:type="dxa"/>
            <w:tcBorders>
              <w:top w:val="outset" w:color="auto" w:sz="6" w:space="0"/>
              <w:left w:val="outset" w:color="auto" w:sz="6" w:space="0"/>
              <w:bottom w:val="outset" w:color="auto" w:sz="6" w:space="0"/>
              <w:right w:val="outset" w:color="auto" w:sz="6" w:space="0"/>
            </w:tcBorders>
            <w:vAlign w:val="center"/>
          </w:tcPr>
          <w:p w14:paraId="2A1CF24E">
            <w:pPr>
              <w:pStyle w:val="27"/>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宋体" w:hAnsi="宋体" w:eastAsia="宋体" w:cs="宋体"/>
                <w:color w:val="000000"/>
                <w:kern w:val="2"/>
                <w:sz w:val="21"/>
                <w:szCs w:val="22"/>
                <w:lang w:val="en-US" w:eastAsia="zh-CN" w:bidi="ar-SA"/>
              </w:rPr>
            </w:pPr>
            <w:r>
              <w:rPr>
                <w:rFonts w:hint="eastAsia" w:ascii="宋体" w:hAnsi="宋体" w:eastAsia="宋体" w:cs="宋体"/>
                <w:color w:val="000000"/>
                <w:kern w:val="2"/>
                <w:sz w:val="21"/>
                <w:szCs w:val="22"/>
                <w:lang w:val="en-US" w:eastAsia="zh-CN" w:bidi="ar-SA"/>
              </w:rPr>
              <w:t>2</w:t>
            </w:r>
          </w:p>
        </w:tc>
        <w:tc>
          <w:tcPr>
            <w:tcW w:w="1666" w:type="dxa"/>
            <w:tcBorders>
              <w:top w:val="outset" w:color="auto" w:sz="6" w:space="0"/>
              <w:left w:val="outset" w:color="auto" w:sz="6" w:space="0"/>
              <w:bottom w:val="outset" w:color="auto" w:sz="6" w:space="0"/>
              <w:right w:val="outset" w:color="auto" w:sz="6" w:space="0"/>
            </w:tcBorders>
            <w:vAlign w:val="center"/>
          </w:tcPr>
          <w:p w14:paraId="0460770D">
            <w:pPr>
              <w:pStyle w:val="27"/>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宋体" w:hAnsi="宋体" w:eastAsia="宋体" w:cs="宋体"/>
                <w:color w:val="000000"/>
                <w:kern w:val="2"/>
                <w:sz w:val="21"/>
                <w:szCs w:val="22"/>
                <w:lang w:val="en-US" w:eastAsia="zh-CN" w:bidi="ar-SA"/>
              </w:rPr>
            </w:pPr>
            <w:r>
              <w:rPr>
                <w:rFonts w:hint="eastAsia" w:ascii="宋体" w:hAnsi="宋体" w:eastAsia="宋体" w:cs="宋体"/>
                <w:color w:val="000000"/>
                <w:kern w:val="2"/>
                <w:sz w:val="21"/>
                <w:szCs w:val="22"/>
                <w:lang w:val="en-US" w:eastAsia="zh-CN" w:bidi="ar-SA"/>
              </w:rPr>
              <w:t>40</w:t>
            </w:r>
          </w:p>
        </w:tc>
        <w:tc>
          <w:tcPr>
            <w:tcW w:w="5004" w:type="dxa"/>
            <w:tcBorders>
              <w:top w:val="outset" w:color="auto" w:sz="6" w:space="0"/>
              <w:left w:val="outset" w:color="auto" w:sz="6" w:space="0"/>
              <w:bottom w:val="outset" w:color="auto" w:sz="6" w:space="0"/>
              <w:right w:val="outset" w:color="auto" w:sz="6" w:space="0"/>
            </w:tcBorders>
            <w:vAlign w:val="center"/>
          </w:tcPr>
          <w:p w14:paraId="136B1B5B">
            <w:pPr>
              <w:widowControl/>
              <w:spacing w:line="360" w:lineRule="auto"/>
              <w:jc w:val="left"/>
              <w:rPr>
                <w:rFonts w:hint="eastAsia" w:ascii="宋体" w:hAnsi="宋体" w:eastAsia="宋体" w:cs="宋体"/>
                <w:color w:val="000000"/>
                <w:kern w:val="2"/>
                <w:sz w:val="21"/>
                <w:szCs w:val="22"/>
                <w:lang w:val="en-US" w:eastAsia="zh-CN" w:bidi="ar-SA"/>
              </w:rPr>
            </w:pPr>
            <w:r>
              <w:rPr>
                <w:rFonts w:hint="eastAsia" w:ascii="宋体" w:hAnsi="宋体" w:eastAsia="宋体" w:cs="宋体"/>
                <w:color w:val="000000"/>
                <w:kern w:val="2"/>
                <w:sz w:val="21"/>
                <w:szCs w:val="22"/>
                <w:lang w:val="en-US" w:eastAsia="zh-CN" w:bidi="ar-SA"/>
              </w:rPr>
              <w:t>招标人每半年对自动站点进行不定期现场检查</w:t>
            </w:r>
            <w:bookmarkStart w:id="1" w:name="_GoBack"/>
            <w:r>
              <w:rPr>
                <w:rFonts w:hint="eastAsia" w:ascii="宋体" w:hAnsi="宋体" w:eastAsia="宋体" w:cs="宋体"/>
                <w:color w:val="000000"/>
                <w:kern w:val="2"/>
                <w:sz w:val="21"/>
                <w:szCs w:val="22"/>
                <w:lang w:val="en-US" w:eastAsia="zh-CN" w:bidi="ar-SA"/>
              </w:rPr>
              <w:t>，</w:t>
            </w:r>
            <w:bookmarkEnd w:id="1"/>
            <w:r>
              <w:rPr>
                <w:rFonts w:hint="eastAsia" w:ascii="宋体" w:hAnsi="宋体" w:eastAsia="宋体" w:cs="宋体"/>
                <w:color w:val="000000"/>
                <w:kern w:val="2"/>
                <w:sz w:val="21"/>
                <w:szCs w:val="22"/>
                <w:lang w:val="en-US" w:eastAsia="zh-CN" w:bidi="ar-SA"/>
              </w:rPr>
              <w:t>运维服务验收要求支付款项，待收到中标单位提供的正式发票后10个工作日内支付</w:t>
            </w:r>
          </w:p>
        </w:tc>
      </w:tr>
      <w:tr w14:paraId="5AFDE02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1666" w:type="dxa"/>
            <w:tcBorders>
              <w:top w:val="outset" w:color="auto" w:sz="6" w:space="0"/>
              <w:left w:val="outset" w:color="auto" w:sz="6" w:space="0"/>
              <w:bottom w:val="outset" w:color="auto" w:sz="6" w:space="0"/>
              <w:right w:val="outset" w:color="auto" w:sz="6" w:space="0"/>
            </w:tcBorders>
            <w:vAlign w:val="center"/>
          </w:tcPr>
          <w:p w14:paraId="61A8D6E9">
            <w:pPr>
              <w:pStyle w:val="27"/>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宋体" w:hAnsi="宋体" w:eastAsia="宋体" w:cs="宋体"/>
                <w:color w:val="000000"/>
                <w:kern w:val="2"/>
                <w:sz w:val="21"/>
                <w:szCs w:val="22"/>
                <w:lang w:val="en-US" w:eastAsia="zh-CN" w:bidi="ar-SA"/>
              </w:rPr>
            </w:pPr>
            <w:r>
              <w:rPr>
                <w:rFonts w:hint="eastAsia" w:ascii="宋体" w:hAnsi="宋体" w:eastAsia="宋体" w:cs="宋体"/>
                <w:color w:val="000000"/>
                <w:kern w:val="2"/>
                <w:sz w:val="21"/>
                <w:szCs w:val="22"/>
                <w:lang w:val="en-US" w:eastAsia="zh-CN" w:bidi="ar-SA"/>
              </w:rPr>
              <w:t>3</w:t>
            </w:r>
          </w:p>
        </w:tc>
        <w:tc>
          <w:tcPr>
            <w:tcW w:w="1666" w:type="dxa"/>
            <w:tcBorders>
              <w:top w:val="outset" w:color="auto" w:sz="6" w:space="0"/>
              <w:left w:val="outset" w:color="auto" w:sz="6" w:space="0"/>
              <w:bottom w:val="outset" w:color="auto" w:sz="6" w:space="0"/>
              <w:right w:val="outset" w:color="auto" w:sz="6" w:space="0"/>
            </w:tcBorders>
            <w:vAlign w:val="center"/>
          </w:tcPr>
          <w:p w14:paraId="7BF60631">
            <w:pPr>
              <w:pStyle w:val="27"/>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宋体" w:hAnsi="宋体" w:eastAsia="宋体" w:cs="宋体"/>
                <w:color w:val="000000"/>
                <w:kern w:val="2"/>
                <w:sz w:val="21"/>
                <w:szCs w:val="22"/>
                <w:lang w:val="en-US" w:eastAsia="zh-CN" w:bidi="ar-SA"/>
              </w:rPr>
            </w:pPr>
            <w:r>
              <w:rPr>
                <w:rFonts w:hint="eastAsia" w:ascii="宋体" w:hAnsi="宋体" w:eastAsia="宋体" w:cs="宋体"/>
                <w:color w:val="000000"/>
                <w:kern w:val="2"/>
                <w:sz w:val="21"/>
                <w:szCs w:val="22"/>
                <w:lang w:val="en-US" w:eastAsia="zh-CN" w:bidi="ar-SA"/>
              </w:rPr>
              <w:t>40</w:t>
            </w:r>
          </w:p>
        </w:tc>
        <w:tc>
          <w:tcPr>
            <w:tcW w:w="5004" w:type="dxa"/>
            <w:tcBorders>
              <w:top w:val="outset" w:color="auto" w:sz="6" w:space="0"/>
              <w:left w:val="outset" w:color="auto" w:sz="6" w:space="0"/>
              <w:bottom w:val="outset" w:color="auto" w:sz="6" w:space="0"/>
              <w:right w:val="outset" w:color="auto" w:sz="6" w:space="0"/>
            </w:tcBorders>
            <w:vAlign w:val="center"/>
          </w:tcPr>
          <w:p w14:paraId="068CBD05">
            <w:pPr>
              <w:widowControl/>
              <w:spacing w:line="360" w:lineRule="auto"/>
              <w:jc w:val="left"/>
              <w:rPr>
                <w:rFonts w:hint="eastAsia" w:ascii="宋体" w:hAnsi="宋体" w:eastAsia="宋体" w:cs="宋体"/>
                <w:color w:val="000000"/>
                <w:kern w:val="2"/>
                <w:sz w:val="21"/>
                <w:szCs w:val="22"/>
                <w:lang w:val="en-US" w:eastAsia="zh-CN" w:bidi="ar-SA"/>
              </w:rPr>
            </w:pPr>
            <w:r>
              <w:rPr>
                <w:rFonts w:hint="eastAsia" w:ascii="宋体" w:hAnsi="宋体" w:eastAsia="宋体" w:cs="宋体"/>
                <w:color w:val="000000"/>
                <w:kern w:val="2"/>
                <w:sz w:val="21"/>
                <w:szCs w:val="22"/>
                <w:lang w:val="en-US" w:eastAsia="zh-CN" w:bidi="ar-SA"/>
              </w:rPr>
              <w:t>招标人每半年对自动站点进行不定期现场检查，运维服务验收要求支付款项，待收到中标单位提供的正式发票后10个工作日内支付</w:t>
            </w:r>
          </w:p>
        </w:tc>
      </w:tr>
    </w:tbl>
    <w:p w14:paraId="11FC7E9F">
      <w:pPr>
        <w:widowControl/>
        <w:spacing w:before="75" w:after="75"/>
        <w:jc w:val="left"/>
        <w:rPr>
          <w:rFonts w:ascii="宋体-简" w:hAnsi="宋体-简" w:eastAsia="宋体-简" w:cs="宋体"/>
          <w:color w:val="000000"/>
          <w:kern w:val="0"/>
          <w:sz w:val="24"/>
          <w:szCs w:val="24"/>
        </w:rPr>
      </w:pPr>
      <w:r>
        <w:rPr>
          <w:rFonts w:ascii="宋体-简" w:hAnsi="宋体-简" w:eastAsia="宋体-简" w:cs="宋体"/>
          <w:color w:val="000000"/>
          <w:kern w:val="0"/>
          <w:sz w:val="24"/>
          <w:szCs w:val="24"/>
        </w:rPr>
        <w:t> </w:t>
      </w:r>
    </w:p>
    <w:p w14:paraId="4D62C591">
      <w:pPr>
        <w:pStyle w:val="3"/>
        <w:bidi w:val="0"/>
        <w:rPr>
          <w:rFonts w:hint="eastAsia" w:ascii="宋体" w:hAnsi="宋体" w:eastAsia="宋体" w:cs="宋体"/>
          <w:sz w:val="30"/>
          <w:szCs w:val="30"/>
        </w:rPr>
      </w:pPr>
      <w:r>
        <w:rPr>
          <w:rFonts w:hint="eastAsia" w:ascii="宋体" w:hAnsi="宋体" w:eastAsia="宋体" w:cs="宋体"/>
          <w:sz w:val="30"/>
          <w:szCs w:val="30"/>
          <w:lang w:val="en-US" w:eastAsia="zh-CN"/>
        </w:rPr>
        <w:t>四、</w:t>
      </w:r>
      <w:r>
        <w:rPr>
          <w:rFonts w:hint="eastAsia" w:ascii="宋体" w:hAnsi="宋体" w:eastAsia="宋体" w:cs="宋体"/>
          <w:sz w:val="30"/>
          <w:szCs w:val="30"/>
        </w:rPr>
        <w:t>招标</w:t>
      </w:r>
      <w:r>
        <w:rPr>
          <w:rFonts w:hint="eastAsia" w:ascii="宋体" w:hAnsi="宋体" w:eastAsia="宋体" w:cs="宋体"/>
          <w:sz w:val="30"/>
          <w:szCs w:val="30"/>
          <w:lang w:val="en-US" w:eastAsia="zh-CN"/>
        </w:rPr>
        <w:t>方式及</w:t>
      </w:r>
      <w:r>
        <w:rPr>
          <w:rFonts w:hint="eastAsia" w:ascii="宋体" w:hAnsi="宋体" w:eastAsia="宋体" w:cs="宋体"/>
          <w:sz w:val="30"/>
          <w:szCs w:val="30"/>
        </w:rPr>
        <w:t>文件的获取</w:t>
      </w:r>
    </w:p>
    <w:p w14:paraId="18EC98B8">
      <w:pPr>
        <w:widowControl/>
        <w:spacing w:line="360" w:lineRule="auto"/>
        <w:ind w:firstLine="420"/>
        <w:jc w:val="left"/>
        <w:rPr>
          <w:rFonts w:hint="eastAsia" w:ascii="宋体" w:hAnsi="宋体" w:cs="宋体"/>
          <w:color w:val="auto"/>
          <w:sz w:val="21"/>
          <w:szCs w:val="21"/>
          <w:lang w:val="en-US" w:eastAsia="zh-CN"/>
        </w:rPr>
      </w:pPr>
      <w:r>
        <w:rPr>
          <w:rFonts w:hint="eastAsia" w:ascii="宋体" w:hAnsi="宋体" w:eastAsia="宋体" w:cs="宋体"/>
          <w:color w:val="auto"/>
          <w:sz w:val="21"/>
          <w:szCs w:val="21"/>
        </w:rPr>
        <w:t>招标</w:t>
      </w:r>
      <w:r>
        <w:rPr>
          <w:rFonts w:hint="eastAsia" w:ascii="宋体" w:hAnsi="宋体" w:eastAsia="宋体" w:cs="宋体"/>
          <w:color w:val="auto"/>
          <w:sz w:val="21"/>
          <w:szCs w:val="21"/>
          <w:lang w:val="en-US" w:eastAsia="zh-CN"/>
        </w:rPr>
        <w:t>方式</w:t>
      </w:r>
      <w:r>
        <w:rPr>
          <w:rFonts w:hint="eastAsia" w:ascii="宋体" w:hAnsi="宋体" w:cs="宋体"/>
          <w:color w:val="auto"/>
          <w:sz w:val="21"/>
          <w:szCs w:val="21"/>
          <w:lang w:val="en-US" w:eastAsia="zh-CN"/>
        </w:rPr>
        <w:t>：福建省南平环境监测中心站非甲烷总烃自动站运维保障服务进行邀请招标。招标采购单位将对本项目投标申请人进行资格预审。</w:t>
      </w:r>
    </w:p>
    <w:p w14:paraId="0AD5AAEE">
      <w:pPr>
        <w:widowControl/>
        <w:spacing w:line="360" w:lineRule="auto"/>
        <w:ind w:firstLine="420"/>
        <w:jc w:val="left"/>
        <w:rPr>
          <w:rFonts w:hint="eastAsia" w:ascii="宋体" w:hAnsi="宋体" w:eastAsia="宋体" w:cs="宋体"/>
          <w:color w:val="auto"/>
          <w:kern w:val="2"/>
          <w:sz w:val="21"/>
          <w:szCs w:val="22"/>
          <w:lang w:val="en-US" w:eastAsia="zh-CN" w:bidi="ar-SA"/>
        </w:rPr>
      </w:pPr>
      <w:r>
        <w:rPr>
          <w:rFonts w:hint="eastAsia" w:ascii="宋体" w:hAnsi="宋体" w:cs="宋体"/>
          <w:color w:val="auto"/>
          <w:kern w:val="2"/>
          <w:sz w:val="21"/>
          <w:szCs w:val="22"/>
          <w:lang w:val="en-US" w:eastAsia="zh-CN" w:bidi="ar-SA"/>
        </w:rPr>
        <w:t>受邀单位</w:t>
      </w:r>
      <w:r>
        <w:rPr>
          <w:rFonts w:hint="eastAsia" w:ascii="宋体" w:hAnsi="宋体" w:eastAsia="宋体" w:cs="宋体"/>
          <w:color w:val="auto"/>
          <w:kern w:val="2"/>
          <w:sz w:val="21"/>
          <w:szCs w:val="22"/>
          <w:lang w:val="en-US" w:eastAsia="zh-CN" w:bidi="ar-SA"/>
        </w:rPr>
        <w:t>于202</w:t>
      </w:r>
      <w:r>
        <w:rPr>
          <w:rFonts w:hint="eastAsia" w:ascii="宋体" w:hAnsi="宋体" w:cs="宋体"/>
          <w:color w:val="auto"/>
          <w:kern w:val="2"/>
          <w:sz w:val="21"/>
          <w:szCs w:val="22"/>
          <w:lang w:val="en-US" w:eastAsia="zh-CN" w:bidi="ar-SA"/>
        </w:rPr>
        <w:t>6</w:t>
      </w:r>
      <w:r>
        <w:rPr>
          <w:rFonts w:hint="eastAsia" w:ascii="宋体" w:hAnsi="宋体" w:eastAsia="宋体" w:cs="宋体"/>
          <w:color w:val="auto"/>
          <w:kern w:val="2"/>
          <w:sz w:val="21"/>
          <w:szCs w:val="22"/>
          <w:lang w:val="en-US" w:eastAsia="zh-CN" w:bidi="ar-SA"/>
        </w:rPr>
        <w:t>年</w:t>
      </w:r>
      <w:r>
        <w:rPr>
          <w:rFonts w:hint="eastAsia" w:ascii="宋体" w:hAnsi="宋体" w:cs="宋体"/>
          <w:color w:val="auto"/>
          <w:kern w:val="2"/>
          <w:sz w:val="21"/>
          <w:szCs w:val="22"/>
          <w:lang w:val="en-US" w:eastAsia="zh-CN" w:bidi="ar-SA"/>
        </w:rPr>
        <w:t>8</w:t>
      </w:r>
      <w:r>
        <w:rPr>
          <w:rFonts w:hint="eastAsia" w:ascii="宋体" w:hAnsi="宋体" w:eastAsia="宋体" w:cs="宋体"/>
          <w:color w:val="auto"/>
          <w:kern w:val="2"/>
          <w:sz w:val="21"/>
          <w:szCs w:val="22"/>
          <w:lang w:val="en-US" w:eastAsia="zh-CN" w:bidi="ar-SA"/>
        </w:rPr>
        <w:t>月</w:t>
      </w:r>
      <w:r>
        <w:rPr>
          <w:rFonts w:hint="eastAsia" w:ascii="宋体" w:hAnsi="宋体" w:cs="宋体"/>
          <w:color w:val="auto"/>
          <w:kern w:val="2"/>
          <w:sz w:val="21"/>
          <w:szCs w:val="22"/>
          <w:lang w:val="en-US" w:eastAsia="zh-CN" w:bidi="ar-SA"/>
        </w:rPr>
        <w:t>7</w:t>
      </w:r>
      <w:r>
        <w:rPr>
          <w:rFonts w:hint="eastAsia" w:ascii="宋体" w:hAnsi="宋体" w:eastAsia="宋体" w:cs="宋体"/>
          <w:color w:val="auto"/>
          <w:kern w:val="2"/>
          <w:sz w:val="21"/>
          <w:szCs w:val="22"/>
          <w:lang w:val="en-US" w:eastAsia="zh-CN" w:bidi="ar-SA"/>
        </w:rPr>
        <w:t>日（北京时间）1</w:t>
      </w:r>
      <w:r>
        <w:rPr>
          <w:rFonts w:hint="eastAsia" w:ascii="宋体" w:hAnsi="宋体" w:cs="宋体"/>
          <w:color w:val="auto"/>
          <w:kern w:val="2"/>
          <w:sz w:val="21"/>
          <w:szCs w:val="22"/>
          <w:lang w:val="en-US" w:eastAsia="zh-CN" w:bidi="ar-SA"/>
        </w:rPr>
        <w:t>8</w:t>
      </w:r>
      <w:r>
        <w:rPr>
          <w:rFonts w:hint="eastAsia" w:ascii="宋体" w:hAnsi="宋体" w:eastAsia="宋体" w:cs="宋体"/>
          <w:color w:val="auto"/>
          <w:kern w:val="2"/>
          <w:sz w:val="21"/>
          <w:szCs w:val="22"/>
          <w:lang w:val="en-US" w:eastAsia="zh-CN" w:bidi="ar-SA"/>
        </w:rPr>
        <w:t>:</w:t>
      </w:r>
      <w:r>
        <w:rPr>
          <w:rFonts w:hint="eastAsia" w:ascii="宋体" w:hAnsi="宋体" w:cs="宋体"/>
          <w:color w:val="auto"/>
          <w:kern w:val="2"/>
          <w:sz w:val="21"/>
          <w:szCs w:val="22"/>
          <w:lang w:val="en-US" w:eastAsia="zh-CN" w:bidi="ar-SA"/>
        </w:rPr>
        <w:t>0</w:t>
      </w:r>
      <w:r>
        <w:rPr>
          <w:rFonts w:hint="eastAsia" w:ascii="宋体" w:hAnsi="宋体" w:eastAsia="宋体" w:cs="宋体"/>
          <w:color w:val="auto"/>
          <w:kern w:val="2"/>
          <w:sz w:val="21"/>
          <w:szCs w:val="22"/>
          <w:lang w:val="en-US" w:eastAsia="zh-CN" w:bidi="ar-SA"/>
        </w:rPr>
        <w:t>0前将招标文件发送至各投标人邮箱，</w:t>
      </w:r>
      <w:r>
        <w:rPr>
          <w:rFonts w:hint="eastAsia" w:ascii="宋体" w:hAnsi="宋体" w:cs="宋体"/>
          <w:color w:val="auto"/>
          <w:kern w:val="2"/>
          <w:sz w:val="21"/>
          <w:szCs w:val="22"/>
          <w:lang w:val="en-US" w:eastAsia="zh-CN" w:bidi="ar-SA"/>
        </w:rPr>
        <w:t>受邀</w:t>
      </w:r>
      <w:r>
        <w:rPr>
          <w:rFonts w:hint="eastAsia" w:ascii="宋体" w:hAnsi="宋体" w:eastAsia="宋体" w:cs="宋体"/>
          <w:color w:val="auto"/>
          <w:kern w:val="2"/>
          <w:sz w:val="21"/>
          <w:szCs w:val="22"/>
          <w:lang w:val="en-US" w:eastAsia="zh-CN" w:bidi="ar-SA"/>
        </w:rPr>
        <w:t>投标人，请于投标文件截止时间前，持盖章确认回执单（格式附后）与报价文件一同递交至招标人。</w:t>
      </w:r>
    </w:p>
    <w:p w14:paraId="09A32F3B">
      <w:pPr>
        <w:pStyle w:val="3"/>
        <w:bidi w:val="0"/>
        <w:rPr>
          <w:rFonts w:hint="eastAsia" w:ascii="宋体" w:hAnsi="宋体" w:eastAsia="宋体" w:cs="宋体"/>
          <w:color w:val="auto"/>
          <w:sz w:val="30"/>
          <w:szCs w:val="30"/>
          <w:lang w:val="en-US" w:eastAsia="zh-CN"/>
        </w:rPr>
      </w:pPr>
      <w:r>
        <w:rPr>
          <w:rFonts w:hint="eastAsia" w:ascii="宋体" w:hAnsi="宋体" w:eastAsia="宋体" w:cs="宋体"/>
          <w:color w:val="auto"/>
          <w:sz w:val="30"/>
          <w:szCs w:val="30"/>
          <w:lang w:val="en-US" w:eastAsia="zh-CN"/>
        </w:rPr>
        <w:t>五、评标办法</w:t>
      </w:r>
    </w:p>
    <w:p w14:paraId="46EC9FB0">
      <w:pPr>
        <w:widowControl/>
        <w:spacing w:line="360" w:lineRule="auto"/>
        <w:jc w:val="left"/>
        <w:rPr>
          <w:rFonts w:hint="eastAsia" w:ascii="宋体" w:hAnsi="宋体" w:eastAsia="宋体" w:cs="宋体"/>
          <w:color w:val="000000"/>
          <w:kern w:val="2"/>
          <w:sz w:val="21"/>
          <w:szCs w:val="22"/>
          <w:lang w:val="en-US" w:eastAsia="zh-CN" w:bidi="ar-SA"/>
        </w:rPr>
      </w:pPr>
      <w:r>
        <w:rPr>
          <w:rFonts w:hint="eastAsia" w:ascii="宋体" w:hAnsi="宋体" w:eastAsia="宋体" w:cs="宋体"/>
          <w:i w:val="0"/>
          <w:iCs w:val="0"/>
          <w:caps w:val="0"/>
          <w:color w:val="333333"/>
          <w:spacing w:val="0"/>
          <w:szCs w:val="25"/>
          <w:shd w:val="clear" w:color="auto" w:fill="FFFFFF"/>
        </w:rPr>
        <w:t>　</w:t>
      </w:r>
      <w:r>
        <w:rPr>
          <w:rStyle w:val="17"/>
          <w:rFonts w:hint="eastAsia"/>
          <w:szCs w:val="24"/>
        </w:rPr>
        <w:t>　</w:t>
      </w:r>
      <w:r>
        <w:rPr>
          <w:rFonts w:hint="eastAsia" w:ascii="宋体" w:hAnsi="宋体" w:eastAsia="宋体" w:cs="宋体"/>
          <w:color w:val="000000"/>
          <w:kern w:val="2"/>
          <w:sz w:val="21"/>
          <w:szCs w:val="22"/>
          <w:lang w:val="en-US" w:eastAsia="zh-CN" w:bidi="ar-SA"/>
        </w:rPr>
        <w:t>本服务项目采用的评标办法：最低价中选</w:t>
      </w:r>
    </w:p>
    <w:p w14:paraId="49960391">
      <w:pPr>
        <w:widowControl/>
        <w:spacing w:line="360" w:lineRule="auto"/>
        <w:jc w:val="left"/>
        <w:rPr>
          <w:rFonts w:hint="eastAsia" w:ascii="宋体" w:hAnsi="宋体" w:eastAsia="宋体" w:cs="宋体"/>
          <w:color w:val="000000"/>
          <w:kern w:val="2"/>
          <w:sz w:val="21"/>
          <w:szCs w:val="22"/>
          <w:lang w:val="en-US" w:eastAsia="zh-CN" w:bidi="ar-SA"/>
        </w:rPr>
      </w:pPr>
      <w:r>
        <w:rPr>
          <w:rFonts w:hint="eastAsia" w:ascii="宋体" w:hAnsi="宋体" w:eastAsia="宋体" w:cs="宋体"/>
          <w:color w:val="000000"/>
          <w:kern w:val="2"/>
          <w:sz w:val="21"/>
          <w:szCs w:val="22"/>
          <w:lang w:val="en-US" w:eastAsia="zh-CN" w:bidi="ar-SA"/>
        </w:rPr>
        <w:t>　　5.1.招标人在投标文件递交截止时间后，在单位会议室组织开标。</w:t>
      </w:r>
    </w:p>
    <w:p w14:paraId="1F883CE3">
      <w:pPr>
        <w:widowControl/>
        <w:spacing w:line="360" w:lineRule="auto"/>
        <w:jc w:val="left"/>
        <w:rPr>
          <w:rFonts w:hint="eastAsia" w:ascii="宋体" w:hAnsi="宋体" w:eastAsia="宋体" w:cs="宋体"/>
          <w:color w:val="000000"/>
          <w:kern w:val="2"/>
          <w:sz w:val="21"/>
          <w:szCs w:val="22"/>
          <w:lang w:val="en-US" w:eastAsia="zh-CN" w:bidi="ar-SA"/>
        </w:rPr>
      </w:pPr>
      <w:r>
        <w:rPr>
          <w:rFonts w:hint="eastAsia" w:ascii="宋体" w:hAnsi="宋体" w:eastAsia="宋体" w:cs="宋体"/>
          <w:color w:val="000000"/>
          <w:kern w:val="2"/>
          <w:sz w:val="21"/>
          <w:szCs w:val="22"/>
          <w:lang w:val="en-US" w:eastAsia="zh-CN" w:bidi="ar-SA"/>
        </w:rPr>
        <w:t>　　5.2.招标人现场对投标人的资格审查，并确认投标人是否符合招标文件要求。</w:t>
      </w:r>
    </w:p>
    <w:p w14:paraId="5E6573DD">
      <w:pPr>
        <w:widowControl/>
        <w:spacing w:line="360" w:lineRule="auto"/>
        <w:jc w:val="left"/>
        <w:rPr>
          <w:rFonts w:hint="eastAsia" w:ascii="宋体" w:hAnsi="宋体" w:eastAsia="宋体" w:cs="宋体"/>
          <w:color w:val="000000"/>
          <w:kern w:val="2"/>
          <w:sz w:val="21"/>
          <w:szCs w:val="22"/>
          <w:lang w:val="en-US" w:eastAsia="zh-CN" w:bidi="ar-SA"/>
        </w:rPr>
      </w:pPr>
      <w:r>
        <w:rPr>
          <w:rFonts w:hint="eastAsia" w:ascii="宋体" w:hAnsi="宋体" w:eastAsia="宋体" w:cs="宋体"/>
          <w:color w:val="000000"/>
          <w:kern w:val="2"/>
          <w:sz w:val="21"/>
          <w:szCs w:val="22"/>
          <w:lang w:val="en-US" w:eastAsia="zh-CN" w:bidi="ar-SA"/>
        </w:rPr>
        <w:t>　　5.3招标人现场宣读符合招标文件要求的投标人投标报价，做好开标记录。并按照投标人的总报价由低到高确定中选人顺序，最低报价者为第一中选人。（评标小组对大小写金额不一致的投标报价按以下方法更正：投标文件的大写金额和小写金额不一致的，以大写金额为准。）</w:t>
      </w:r>
    </w:p>
    <w:p w14:paraId="66069800">
      <w:pPr>
        <w:widowControl/>
        <w:spacing w:line="360" w:lineRule="auto"/>
        <w:jc w:val="left"/>
        <w:rPr>
          <w:rFonts w:hint="eastAsia" w:ascii="宋体" w:hAnsi="宋体" w:eastAsia="宋体" w:cs="宋体"/>
          <w:color w:val="000000"/>
          <w:kern w:val="2"/>
          <w:sz w:val="21"/>
          <w:szCs w:val="22"/>
          <w:lang w:val="en-US" w:eastAsia="zh-CN" w:bidi="ar-SA"/>
        </w:rPr>
      </w:pPr>
      <w:r>
        <w:rPr>
          <w:rFonts w:hint="eastAsia" w:ascii="宋体" w:hAnsi="宋体" w:eastAsia="宋体" w:cs="宋体"/>
          <w:color w:val="000000"/>
          <w:kern w:val="2"/>
          <w:sz w:val="21"/>
          <w:szCs w:val="22"/>
          <w:lang w:val="en-US" w:eastAsia="zh-CN" w:bidi="ar-SA"/>
        </w:rPr>
        <w:t>　　5.4.最低报价者如出现两个或两个以上的，采用随机抽选的方式确定中选人，即由最低报价相同的投标申请人先抽取顺序号，再由招标人抽取中选号，并确定中标人。若参加本项目的投标人不满三家的，进行重新招标。</w:t>
      </w:r>
    </w:p>
    <w:p w14:paraId="4DED4B31">
      <w:pPr>
        <w:pStyle w:val="3"/>
        <w:bidi w:val="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六、投标文件的递交</w:t>
      </w:r>
    </w:p>
    <w:p w14:paraId="03AC6EC3">
      <w:pPr>
        <w:pStyle w:val="11"/>
        <w:keepNext w:val="0"/>
        <w:keepLines w:val="0"/>
        <w:widowControl/>
        <w:suppressLineNumbers w:val="0"/>
        <w:shd w:val="clear" w:color="auto" w:fill="FFFFFF"/>
        <w:ind w:left="0" w:firstLine="0"/>
        <w:jc w:val="both"/>
        <w:rPr>
          <w:rFonts w:hint="eastAsia" w:ascii="宋体" w:hAnsi="宋体" w:eastAsia="宋体" w:cs="宋体"/>
          <w:color w:val="000000"/>
          <w:kern w:val="2"/>
          <w:sz w:val="21"/>
          <w:szCs w:val="22"/>
          <w:lang w:val="en-US" w:eastAsia="zh-CN" w:bidi="ar-SA"/>
        </w:rPr>
      </w:pPr>
      <w:r>
        <w:rPr>
          <w:rFonts w:hint="eastAsia" w:ascii="宋体" w:hAnsi="宋体" w:eastAsia="宋体" w:cs="宋体"/>
          <w:color w:val="000000"/>
          <w:kern w:val="2"/>
          <w:sz w:val="21"/>
          <w:szCs w:val="22"/>
          <w:lang w:val="en-US" w:eastAsia="zh-CN" w:bidi="ar-SA"/>
        </w:rPr>
        <w:t>　　投标文件应在202</w:t>
      </w:r>
      <w:r>
        <w:rPr>
          <w:rFonts w:hint="eastAsia" w:ascii="宋体" w:hAnsi="宋体" w:cs="宋体"/>
          <w:color w:val="000000"/>
          <w:kern w:val="2"/>
          <w:sz w:val="21"/>
          <w:szCs w:val="22"/>
          <w:lang w:val="en-US" w:eastAsia="zh-CN" w:bidi="ar-SA"/>
        </w:rPr>
        <w:t>6</w:t>
      </w:r>
      <w:r>
        <w:rPr>
          <w:rFonts w:hint="eastAsia" w:ascii="宋体" w:hAnsi="宋体" w:eastAsia="宋体" w:cs="宋体"/>
          <w:color w:val="000000"/>
          <w:kern w:val="2"/>
          <w:sz w:val="21"/>
          <w:szCs w:val="22"/>
          <w:lang w:val="en-US" w:eastAsia="zh-CN" w:bidi="ar-SA"/>
        </w:rPr>
        <w:t>年</w:t>
      </w:r>
      <w:r>
        <w:rPr>
          <w:rFonts w:hint="eastAsia" w:ascii="宋体" w:hAnsi="宋体" w:cs="宋体"/>
          <w:color w:val="000000"/>
          <w:kern w:val="2"/>
          <w:sz w:val="21"/>
          <w:szCs w:val="22"/>
          <w:lang w:val="en-US" w:eastAsia="zh-CN" w:bidi="ar-SA"/>
        </w:rPr>
        <w:t>8</w:t>
      </w:r>
      <w:r>
        <w:rPr>
          <w:rFonts w:hint="eastAsia" w:ascii="宋体" w:hAnsi="宋体" w:eastAsia="宋体" w:cs="宋体"/>
          <w:color w:val="000000"/>
          <w:kern w:val="2"/>
          <w:sz w:val="21"/>
          <w:szCs w:val="22"/>
          <w:lang w:val="en-US" w:eastAsia="zh-CN" w:bidi="ar-SA"/>
        </w:rPr>
        <w:t>月</w:t>
      </w:r>
      <w:r>
        <w:rPr>
          <w:rFonts w:hint="eastAsia" w:ascii="宋体" w:hAnsi="宋体" w:cs="宋体"/>
          <w:color w:val="000000"/>
          <w:kern w:val="2"/>
          <w:sz w:val="21"/>
          <w:szCs w:val="22"/>
          <w:lang w:val="en-US" w:eastAsia="zh-CN" w:bidi="ar-SA"/>
        </w:rPr>
        <w:t>7</w:t>
      </w:r>
      <w:r>
        <w:rPr>
          <w:rFonts w:hint="eastAsia" w:ascii="宋体" w:hAnsi="宋体" w:eastAsia="宋体" w:cs="宋体"/>
          <w:color w:val="000000"/>
          <w:kern w:val="2"/>
          <w:sz w:val="21"/>
          <w:szCs w:val="22"/>
          <w:lang w:val="en-US" w:eastAsia="zh-CN" w:bidi="ar-SA"/>
        </w:rPr>
        <w:t>日（北京时间）1</w:t>
      </w:r>
      <w:r>
        <w:rPr>
          <w:rFonts w:hint="eastAsia" w:ascii="宋体" w:hAnsi="宋体" w:cs="宋体"/>
          <w:color w:val="000000"/>
          <w:kern w:val="2"/>
          <w:sz w:val="21"/>
          <w:szCs w:val="22"/>
          <w:lang w:val="en-US" w:eastAsia="zh-CN" w:bidi="ar-SA"/>
        </w:rPr>
        <w:t>8</w:t>
      </w:r>
      <w:r>
        <w:rPr>
          <w:rFonts w:hint="eastAsia" w:ascii="宋体" w:hAnsi="宋体" w:eastAsia="宋体" w:cs="宋体"/>
          <w:color w:val="000000"/>
          <w:kern w:val="2"/>
          <w:sz w:val="21"/>
          <w:szCs w:val="22"/>
          <w:lang w:val="en-US" w:eastAsia="zh-CN" w:bidi="ar-SA"/>
        </w:rPr>
        <w:t>:</w:t>
      </w:r>
      <w:r>
        <w:rPr>
          <w:rFonts w:hint="eastAsia" w:ascii="宋体" w:hAnsi="宋体" w:cs="宋体"/>
          <w:color w:val="000000"/>
          <w:kern w:val="2"/>
          <w:sz w:val="21"/>
          <w:szCs w:val="22"/>
          <w:lang w:val="en-US" w:eastAsia="zh-CN" w:bidi="ar-SA"/>
        </w:rPr>
        <w:t>0</w:t>
      </w:r>
      <w:r>
        <w:rPr>
          <w:rFonts w:hint="eastAsia" w:ascii="宋体" w:hAnsi="宋体" w:eastAsia="宋体" w:cs="宋体"/>
          <w:color w:val="000000"/>
          <w:kern w:val="2"/>
          <w:sz w:val="21"/>
          <w:szCs w:val="22"/>
          <w:lang w:val="en-US" w:eastAsia="zh-CN" w:bidi="ar-SA"/>
        </w:rPr>
        <w:t>0以前将密封的投标文件送至地点：福建省南平市延平区光荣岭4号福建省南平环境监测中心站办公室。逾期送达的或未送达指定地点或投标文件密封不符合规定要求的投标文件，招标人不予受理。</w:t>
      </w:r>
    </w:p>
    <w:p w14:paraId="0BE44850">
      <w:pPr>
        <w:pStyle w:val="3"/>
        <w:bidi w:val="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七、投标文件的密封和标记</w:t>
      </w:r>
    </w:p>
    <w:p w14:paraId="32E3E9ED">
      <w:pPr>
        <w:pStyle w:val="11"/>
        <w:keepNext w:val="0"/>
        <w:keepLines w:val="0"/>
        <w:widowControl/>
        <w:suppressLineNumbers w:val="0"/>
        <w:shd w:val="clear" w:color="auto" w:fill="FFFFFF"/>
        <w:ind w:left="0" w:firstLine="0"/>
        <w:jc w:val="both"/>
        <w:rPr>
          <w:rFonts w:hint="eastAsia" w:ascii="宋体" w:hAnsi="宋体" w:eastAsia="宋体" w:cs="宋体"/>
          <w:color w:val="000000"/>
          <w:kern w:val="2"/>
          <w:sz w:val="21"/>
          <w:szCs w:val="22"/>
          <w:lang w:val="en-US" w:eastAsia="zh-CN" w:bidi="ar-SA"/>
        </w:rPr>
      </w:pPr>
      <w:r>
        <w:rPr>
          <w:rFonts w:hint="eastAsia" w:ascii="宋体" w:hAnsi="宋体" w:eastAsia="宋体" w:cs="宋体"/>
          <w:color w:val="000000"/>
          <w:kern w:val="2"/>
          <w:sz w:val="21"/>
          <w:szCs w:val="22"/>
          <w:lang w:val="en-US" w:eastAsia="zh-CN" w:bidi="ar-SA"/>
        </w:rPr>
        <w:t>　　为方便开标时唱标，投标人应将《营业执照》、《报价函》、《投标人基本情况一览表》、《法人身份证复印件》及其他招标文件要求的复印件盖章后装入信封密封提交，并在信封上清晰标明项目名称、投标人名称和“在（投标截止时间）前不得启封” 的字样，封口处应加盖投标人印章。如果未按要求密封和标记，招标人对误投或提前启封概不负责。</w:t>
      </w:r>
    </w:p>
    <w:p w14:paraId="19A915F4">
      <w:pPr>
        <w:pStyle w:val="11"/>
        <w:keepNext w:val="0"/>
        <w:keepLines w:val="0"/>
        <w:widowControl/>
        <w:suppressLineNumbers w:val="0"/>
        <w:shd w:val="clear" w:color="auto" w:fill="FFFFFF"/>
        <w:ind w:left="0" w:firstLine="0"/>
        <w:jc w:val="both"/>
        <w:rPr>
          <w:rFonts w:hint="eastAsia" w:ascii="宋体" w:hAnsi="宋体" w:eastAsia="宋体" w:cs="宋体"/>
          <w:color w:val="000000"/>
          <w:kern w:val="2"/>
          <w:sz w:val="21"/>
          <w:szCs w:val="22"/>
          <w:lang w:val="en-US" w:eastAsia="zh-CN" w:bidi="ar-SA"/>
        </w:rPr>
      </w:pPr>
      <w:r>
        <w:rPr>
          <w:rFonts w:hint="eastAsia" w:ascii="宋体" w:hAnsi="宋体" w:eastAsia="宋体" w:cs="宋体"/>
          <w:color w:val="000000"/>
          <w:kern w:val="2"/>
          <w:sz w:val="21"/>
          <w:szCs w:val="22"/>
          <w:lang w:val="en-US" w:eastAsia="zh-CN" w:bidi="ar-SA"/>
        </w:rPr>
        <w:t>　　投标人需提交的投标文件份数：2份（正本1份，副本1份），投标人所提交的投标文件在评标结束后，无论中标与否都不退还。</w:t>
      </w:r>
    </w:p>
    <w:p w14:paraId="0AB225D0">
      <w:pPr>
        <w:pStyle w:val="3"/>
        <w:bidi w:val="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八、联系方式</w:t>
      </w:r>
    </w:p>
    <w:p w14:paraId="38B5C35F">
      <w:pPr>
        <w:pStyle w:val="11"/>
        <w:keepNext w:val="0"/>
        <w:keepLines w:val="0"/>
        <w:widowControl/>
        <w:suppressLineNumbers w:val="0"/>
        <w:shd w:val="clear" w:color="auto" w:fill="FFFFFF"/>
        <w:ind w:left="0" w:firstLine="0"/>
        <w:jc w:val="both"/>
        <w:rPr>
          <w:rFonts w:hint="eastAsia" w:ascii="宋体" w:hAnsi="宋体" w:eastAsia="宋体" w:cs="宋体"/>
          <w:color w:val="000000"/>
          <w:kern w:val="2"/>
          <w:sz w:val="21"/>
          <w:szCs w:val="22"/>
          <w:lang w:val="en-US" w:eastAsia="zh-CN" w:bidi="ar-SA"/>
        </w:rPr>
      </w:pPr>
      <w:r>
        <w:rPr>
          <w:rFonts w:hint="eastAsia" w:ascii="宋体" w:hAnsi="宋体" w:eastAsia="宋体" w:cs="宋体"/>
          <w:color w:val="000000"/>
          <w:kern w:val="2"/>
          <w:sz w:val="21"/>
          <w:szCs w:val="22"/>
          <w:lang w:val="en-US" w:eastAsia="zh-CN" w:bidi="ar-SA"/>
        </w:rPr>
        <w:t>　　服务项目单位：福建省南平环境监测中心站</w:t>
      </w:r>
    </w:p>
    <w:p w14:paraId="1C5A88B5">
      <w:pPr>
        <w:pStyle w:val="11"/>
        <w:keepNext w:val="0"/>
        <w:keepLines w:val="0"/>
        <w:widowControl/>
        <w:suppressLineNumbers w:val="0"/>
        <w:shd w:val="clear" w:color="auto" w:fill="FFFFFF"/>
        <w:ind w:left="0" w:firstLine="0"/>
        <w:jc w:val="both"/>
        <w:rPr>
          <w:rFonts w:hint="eastAsia" w:ascii="宋体" w:hAnsi="宋体" w:eastAsia="宋体" w:cs="宋体"/>
          <w:color w:val="000000"/>
          <w:kern w:val="2"/>
          <w:sz w:val="21"/>
          <w:szCs w:val="22"/>
          <w:lang w:val="en-US" w:eastAsia="zh-CN" w:bidi="ar-SA"/>
        </w:rPr>
      </w:pPr>
      <w:r>
        <w:rPr>
          <w:rFonts w:hint="eastAsia" w:ascii="宋体" w:hAnsi="宋体" w:eastAsia="宋体" w:cs="宋体"/>
          <w:color w:val="000000"/>
          <w:kern w:val="2"/>
          <w:sz w:val="21"/>
          <w:szCs w:val="22"/>
          <w:lang w:val="en-US" w:eastAsia="zh-CN" w:bidi="ar-SA"/>
        </w:rPr>
        <w:t>　　办公地址：福建省南平市延平区光荣岭4号</w:t>
      </w:r>
    </w:p>
    <w:p w14:paraId="66AC7A17">
      <w:pPr>
        <w:pStyle w:val="11"/>
        <w:keepNext w:val="0"/>
        <w:keepLines w:val="0"/>
        <w:widowControl/>
        <w:suppressLineNumbers w:val="0"/>
        <w:shd w:val="clear" w:color="auto" w:fill="FFFFFF"/>
        <w:ind w:left="0" w:firstLine="0"/>
        <w:jc w:val="both"/>
        <w:rPr>
          <w:rFonts w:hint="eastAsia" w:ascii="宋体" w:hAnsi="宋体" w:eastAsia="宋体" w:cs="宋体"/>
          <w:color w:val="000000"/>
          <w:kern w:val="2"/>
          <w:sz w:val="21"/>
          <w:szCs w:val="22"/>
          <w:lang w:val="en-US" w:eastAsia="zh-CN" w:bidi="ar-SA"/>
        </w:rPr>
      </w:pPr>
      <w:r>
        <w:rPr>
          <w:rFonts w:hint="eastAsia" w:ascii="宋体" w:hAnsi="宋体" w:eastAsia="宋体" w:cs="宋体"/>
          <w:color w:val="000000"/>
          <w:kern w:val="2"/>
          <w:sz w:val="21"/>
          <w:szCs w:val="22"/>
          <w:lang w:val="en-US" w:eastAsia="zh-CN" w:bidi="ar-SA"/>
        </w:rPr>
        <w:t>　　联系人：</w:t>
      </w:r>
      <w:r>
        <w:rPr>
          <w:rFonts w:hint="eastAsia" w:ascii="宋体" w:hAnsi="宋体" w:cs="宋体"/>
          <w:color w:val="000000"/>
          <w:kern w:val="2"/>
          <w:sz w:val="21"/>
          <w:szCs w:val="22"/>
          <w:lang w:val="en-US" w:eastAsia="zh-CN" w:bidi="ar-SA"/>
        </w:rPr>
        <w:t xml:space="preserve">李先生 </w:t>
      </w:r>
    </w:p>
    <w:p w14:paraId="70A4B3C2">
      <w:pPr>
        <w:pStyle w:val="11"/>
        <w:keepNext w:val="0"/>
        <w:keepLines w:val="0"/>
        <w:widowControl/>
        <w:suppressLineNumbers w:val="0"/>
        <w:shd w:val="clear" w:color="auto" w:fill="FFFFFF"/>
        <w:ind w:left="0" w:firstLine="0"/>
        <w:jc w:val="both"/>
        <w:rPr>
          <w:rFonts w:hint="default" w:ascii="宋体" w:hAnsi="宋体" w:eastAsia="宋体" w:cs="宋体"/>
          <w:color w:val="000000"/>
          <w:kern w:val="2"/>
          <w:sz w:val="21"/>
          <w:szCs w:val="22"/>
          <w:lang w:val="en-US" w:eastAsia="zh-CN" w:bidi="ar-SA"/>
        </w:rPr>
      </w:pPr>
      <w:r>
        <w:rPr>
          <w:rFonts w:hint="eastAsia" w:ascii="宋体" w:hAnsi="宋体" w:eastAsia="宋体" w:cs="宋体"/>
          <w:color w:val="000000"/>
          <w:kern w:val="2"/>
          <w:sz w:val="21"/>
          <w:szCs w:val="22"/>
          <w:lang w:val="en-US" w:eastAsia="zh-CN" w:bidi="ar-SA"/>
        </w:rPr>
        <w:t>　　联系方法：0599-8831644</w:t>
      </w:r>
    </w:p>
    <w:p w14:paraId="3918AB92">
      <w:pPr>
        <w:rPr>
          <w:sz w:val="24"/>
          <w:szCs w:val="24"/>
        </w:rPr>
      </w:pPr>
    </w:p>
    <w:p w14:paraId="1FC367D4">
      <w:pPr>
        <w:widowControl/>
        <w:numPr>
          <w:ilvl w:val="0"/>
          <w:numId w:val="0"/>
        </w:numPr>
        <w:spacing w:before="75" w:after="75"/>
        <w:ind w:leftChars="0"/>
        <w:jc w:val="left"/>
        <w:rPr>
          <w:rFonts w:ascii="宋体-简" w:hAnsi="宋体-简" w:eastAsia="宋体-简" w:cs="宋体"/>
          <w:color w:val="000000"/>
          <w:kern w:val="0"/>
          <w:sz w:val="24"/>
          <w:szCs w:val="24"/>
        </w:rPr>
      </w:pPr>
    </w:p>
    <w:p w14:paraId="7D6122EB">
      <w:pPr>
        <w:widowControl/>
        <w:spacing w:before="75" w:after="75"/>
        <w:jc w:val="left"/>
        <w:rPr>
          <w:rFonts w:ascii="宋体-简" w:hAnsi="宋体-简" w:eastAsia="宋体-简" w:cs="宋体"/>
          <w:color w:val="000000"/>
          <w:kern w:val="0"/>
          <w:sz w:val="24"/>
          <w:szCs w:val="24"/>
        </w:rPr>
      </w:pPr>
      <w:r>
        <w:rPr>
          <w:rFonts w:ascii="宋体-简" w:hAnsi="宋体-简" w:eastAsia="宋体-简" w:cs="宋体"/>
          <w:color w:val="000000"/>
          <w:kern w:val="0"/>
          <w:sz w:val="24"/>
          <w:szCs w:val="24"/>
        </w:rPr>
        <w:t> </w:t>
      </w:r>
    </w:p>
    <w:p w14:paraId="52387923">
      <w:pPr>
        <w:widowControl/>
        <w:jc w:val="left"/>
        <w:rPr>
          <w:rFonts w:ascii="宋体-简" w:hAnsi="宋体-简" w:eastAsia="宋体-简" w:cs="宋体"/>
          <w:color w:val="000000"/>
          <w:kern w:val="0"/>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FangSong_GB2312">
    <w:altName w:val="仿宋"/>
    <w:panose1 w:val="02010609030000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 w:name="等线">
    <w:panose1 w:val="02010600030101010101"/>
    <w:charset w:val="86"/>
    <w:family w:val="auto"/>
    <w:pitch w:val="default"/>
    <w:sig w:usb0="A00002BF" w:usb1="38CF7CFA" w:usb2="00000016" w:usb3="00000000" w:csb0="0004000F" w:csb1="00000000"/>
  </w:font>
  <w:font w:name="FZXiaoBiaoSong-B05">
    <w:altName w:val="宋体"/>
    <w:panose1 w:val="02000000000000000000"/>
    <w:charset w:val="86"/>
    <w:family w:val="auto"/>
    <w:pitch w:val="default"/>
    <w:sig w:usb0="00000000" w:usb1="00000000" w:usb2="00082016" w:usb3="00000000" w:csb0="00040001" w:csb1="00000000"/>
  </w:font>
  <w:font w:name="宋体-简">
    <w:altName w:val="宋体"/>
    <w:panose1 w:val="00000000000000000000"/>
    <w:charset w:val="86"/>
    <w:family w:val="auto"/>
    <w:pitch w:val="default"/>
    <w:sig w:usb0="00000000" w:usb1="00000000" w:usb2="00000010" w:usb3="00000000" w:csb0="0004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10F86056"/>
    <w:rsid w:val="1AE00A09"/>
    <w:rsid w:val="1BC26218"/>
    <w:rsid w:val="1DC87BB6"/>
    <w:rsid w:val="539C5E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9"/>
    <w:pPr>
      <w:keepNext/>
      <w:keepLines/>
      <w:spacing w:before="340" w:beforeAutospacing="0" w:after="330" w:afterAutospacing="0" w:line="576" w:lineRule="auto"/>
      <w:outlineLvl w:val="0"/>
    </w:pPr>
    <w:rPr>
      <w:b/>
      <w:kern w:val="44"/>
      <w:sz w:val="44"/>
    </w:rPr>
  </w:style>
  <w:style w:type="paragraph" w:styleId="3">
    <w:name w:val="heading 2"/>
    <w:basedOn w:val="1"/>
    <w:next w:val="1"/>
    <w:link w:val="26"/>
    <w:qFormat/>
    <w:uiPriority w:val="9"/>
    <w:pPr>
      <w:keepNext/>
      <w:keepLines/>
      <w:spacing w:before="260" w:beforeAutospacing="0" w:after="260" w:afterAutospacing="0" w:line="413" w:lineRule="auto"/>
      <w:outlineLvl w:val="1"/>
    </w:pPr>
    <w:rPr>
      <w:rFonts w:ascii="Arial" w:hAnsi="Arial" w:eastAsia="黑体"/>
      <w:b/>
      <w:sz w:val="32"/>
    </w:rPr>
  </w:style>
  <w:style w:type="paragraph" w:styleId="4">
    <w:name w:val="heading 3"/>
    <w:basedOn w:val="1"/>
    <w:next w:val="1"/>
    <w:link w:val="18"/>
    <w:qFormat/>
    <w:uiPriority w:val="9"/>
    <w:pPr>
      <w:widowControl/>
      <w:spacing w:before="100" w:beforeAutospacing="1" w:after="100" w:afterAutospacing="1"/>
      <w:jc w:val="left"/>
      <w:outlineLvl w:val="2"/>
    </w:pPr>
    <w:rPr>
      <w:rFonts w:ascii="宋体" w:hAnsi="宋体" w:cs="宋体"/>
      <w:b/>
      <w:bCs/>
      <w:kern w:val="0"/>
      <w:sz w:val="27"/>
      <w:szCs w:val="27"/>
    </w:rPr>
  </w:style>
  <w:style w:type="character" w:default="1" w:styleId="16">
    <w:name w:val="Default Paragraph Font"/>
    <w:qFormat/>
    <w:uiPriority w:val="1"/>
  </w:style>
  <w:style w:type="table" w:default="1" w:styleId="14">
    <w:name w:val="Normal Table"/>
    <w:qFormat/>
    <w:uiPriority w:val="99"/>
    <w:tblPr>
      <w:tblCellMar>
        <w:top w:w="0" w:type="dxa"/>
        <w:left w:w="108" w:type="dxa"/>
        <w:bottom w:w="0" w:type="dxa"/>
        <w:right w:w="108" w:type="dxa"/>
      </w:tblCellMar>
    </w:tblPr>
  </w:style>
  <w:style w:type="paragraph" w:styleId="5">
    <w:name w:val="Body Text"/>
    <w:basedOn w:val="1"/>
    <w:next w:val="6"/>
    <w:qFormat/>
    <w:uiPriority w:val="0"/>
    <w:pPr>
      <w:widowControl w:val="0"/>
      <w:adjustRightInd/>
      <w:snapToGrid/>
      <w:spacing w:after="120"/>
      <w:jc w:val="both"/>
    </w:pPr>
    <w:rPr>
      <w:rFonts w:ascii="Times New Roman" w:hAnsi="Times New Roman" w:eastAsia="宋体" w:cs="Times New Roman"/>
      <w:kern w:val="2"/>
      <w:sz w:val="21"/>
      <w:szCs w:val="20"/>
    </w:rPr>
  </w:style>
  <w:style w:type="paragraph" w:customStyle="1" w:styleId="6">
    <w:name w:val="Default"/>
    <w:qFormat/>
    <w:uiPriority w:val="0"/>
    <w:pPr>
      <w:widowControl w:val="0"/>
      <w:autoSpaceDE w:val="0"/>
      <w:autoSpaceDN w:val="0"/>
      <w:adjustRightInd w:val="0"/>
      <w:spacing w:after="0" w:line="240" w:lineRule="auto"/>
    </w:pPr>
    <w:rPr>
      <w:rFonts w:ascii="宋体" w:hAnsi="Times New Roman" w:eastAsia="宋体" w:cs="Times New Roman"/>
      <w:color w:val="000000"/>
      <w:sz w:val="24"/>
      <w:szCs w:val="24"/>
      <w:lang w:val="en-US" w:eastAsia="zh-CN" w:bidi="ar-SA"/>
    </w:rPr>
  </w:style>
  <w:style w:type="paragraph" w:styleId="7">
    <w:name w:val="Body Text Indent"/>
    <w:basedOn w:val="1"/>
    <w:next w:val="8"/>
    <w:link w:val="25"/>
    <w:qFormat/>
    <w:uiPriority w:val="99"/>
    <w:pPr>
      <w:spacing w:after="120"/>
      <w:ind w:left="420" w:leftChars="200"/>
    </w:pPr>
  </w:style>
  <w:style w:type="paragraph" w:styleId="8">
    <w:name w:val="envelope return"/>
    <w:basedOn w:val="1"/>
    <w:qFormat/>
    <w:uiPriority w:val="0"/>
    <w:pPr>
      <w:snapToGrid w:val="0"/>
    </w:pPr>
    <w:rPr>
      <w:rFonts w:ascii="Arial" w:hAnsi="Arial" w:cs="Times New Roman"/>
    </w:rPr>
  </w:style>
  <w:style w:type="paragraph" w:styleId="9">
    <w:name w:val="footer"/>
    <w:basedOn w:val="1"/>
    <w:link w:val="20"/>
    <w:qFormat/>
    <w:uiPriority w:val="99"/>
    <w:pPr>
      <w:tabs>
        <w:tab w:val="center" w:pos="4153"/>
        <w:tab w:val="right" w:pos="8306"/>
      </w:tabs>
      <w:snapToGrid w:val="0"/>
      <w:jc w:val="left"/>
    </w:pPr>
    <w:rPr>
      <w:sz w:val="18"/>
      <w:szCs w:val="18"/>
    </w:rPr>
  </w:style>
  <w:style w:type="paragraph" w:styleId="10">
    <w:name w:val="header"/>
    <w:basedOn w:val="1"/>
    <w:link w:val="19"/>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qFormat/>
    <w:uiPriority w:val="0"/>
    <w:pPr>
      <w:spacing w:before="100" w:beforeAutospacing="1" w:after="100" w:afterAutospacing="1"/>
      <w:jc w:val="left"/>
    </w:pPr>
    <w:rPr>
      <w:kern w:val="0"/>
      <w:sz w:val="24"/>
      <w:szCs w:val="24"/>
    </w:rPr>
  </w:style>
  <w:style w:type="paragraph" w:styleId="12">
    <w:name w:val="Body Text First Indent"/>
    <w:basedOn w:val="5"/>
    <w:qFormat/>
    <w:uiPriority w:val="0"/>
    <w:pPr>
      <w:ind w:firstLine="420" w:firstLineChars="100"/>
    </w:pPr>
  </w:style>
  <w:style w:type="paragraph" w:styleId="13">
    <w:name w:val="Body Text First Indent 2"/>
    <w:basedOn w:val="7"/>
    <w:next w:val="1"/>
    <w:qFormat/>
    <w:uiPriority w:val="0"/>
    <w:pPr>
      <w:ind w:firstLine="200" w:firstLineChars="200"/>
    </w:pPr>
  </w:style>
  <w:style w:type="table" w:styleId="15">
    <w:name w:val="Table Grid"/>
    <w:basedOn w:val="14"/>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qFormat/>
    <w:uiPriority w:val="0"/>
    <w:rPr>
      <w:b/>
    </w:rPr>
  </w:style>
  <w:style w:type="character" w:customStyle="1" w:styleId="18">
    <w:name w:val="标题 3 字符"/>
    <w:link w:val="4"/>
    <w:qFormat/>
    <w:uiPriority w:val="9"/>
    <w:rPr>
      <w:rFonts w:ascii="宋体" w:hAnsi="宋体" w:eastAsia="宋体" w:cs="宋体"/>
      <w:b/>
      <w:bCs/>
      <w:kern w:val="0"/>
      <w:sz w:val="27"/>
      <w:szCs w:val="27"/>
    </w:rPr>
  </w:style>
  <w:style w:type="character" w:customStyle="1" w:styleId="19">
    <w:name w:val="页眉 字符"/>
    <w:link w:val="10"/>
    <w:qFormat/>
    <w:uiPriority w:val="99"/>
    <w:rPr>
      <w:kern w:val="2"/>
      <w:sz w:val="18"/>
      <w:szCs w:val="18"/>
    </w:rPr>
  </w:style>
  <w:style w:type="character" w:customStyle="1" w:styleId="20">
    <w:name w:val="页脚 字符"/>
    <w:link w:val="9"/>
    <w:qFormat/>
    <w:uiPriority w:val="99"/>
    <w:rPr>
      <w:kern w:val="2"/>
      <w:sz w:val="18"/>
      <w:szCs w:val="18"/>
    </w:rPr>
  </w:style>
  <w:style w:type="paragraph" w:customStyle="1" w:styleId="21">
    <w:name w:val="样式 样式 样式1 + 左侧:  0.67 字符 + 左侧:  0.67 字符"/>
    <w:basedOn w:val="1"/>
    <w:qFormat/>
    <w:uiPriority w:val="0"/>
    <w:pPr>
      <w:spacing w:line="360" w:lineRule="auto"/>
      <w:ind w:left="161" w:leftChars="67" w:firstLine="566" w:firstLineChars="236"/>
    </w:pPr>
    <w:rPr>
      <w:rFonts w:ascii="宋体" w:hAnsi="宋体" w:cs="宋体"/>
      <w:sz w:val="24"/>
      <w:szCs w:val="20"/>
    </w:rPr>
  </w:style>
  <w:style w:type="paragraph" w:customStyle="1" w:styleId="22">
    <w:name w:val="正文首行缩进（绿盟科技）"/>
    <w:basedOn w:val="1"/>
    <w:link w:val="23"/>
    <w:qFormat/>
    <w:uiPriority w:val="0"/>
    <w:pPr>
      <w:widowControl/>
      <w:spacing w:after="50" w:line="300" w:lineRule="auto"/>
      <w:ind w:firstLine="200" w:firstLineChars="200"/>
      <w:jc w:val="left"/>
    </w:pPr>
    <w:rPr>
      <w:rFonts w:ascii="Arial" w:hAnsi="Arial"/>
      <w:szCs w:val="21"/>
    </w:rPr>
  </w:style>
  <w:style w:type="character" w:customStyle="1" w:styleId="23">
    <w:name w:val="正文首行缩进（绿盟科技） Char"/>
    <w:link w:val="22"/>
    <w:qFormat/>
    <w:uiPriority w:val="0"/>
    <w:rPr>
      <w:rFonts w:ascii="Arial" w:hAnsi="Arial"/>
      <w:kern w:val="2"/>
      <w:sz w:val="21"/>
      <w:szCs w:val="21"/>
    </w:rPr>
  </w:style>
  <w:style w:type="paragraph" w:customStyle="1" w:styleId="24">
    <w:name w:val="正文首行缩进 21"/>
    <w:basedOn w:val="7"/>
    <w:qFormat/>
    <w:uiPriority w:val="0"/>
    <w:pPr>
      <w:spacing w:after="0"/>
      <w:ind w:left="0" w:leftChars="0" w:firstLine="420"/>
    </w:pPr>
    <w:rPr>
      <w:rFonts w:eastAsia="FangSong_GB2312"/>
      <w:kern w:val="1"/>
      <w:sz w:val="32"/>
      <w:szCs w:val="24"/>
    </w:rPr>
  </w:style>
  <w:style w:type="character" w:customStyle="1" w:styleId="25">
    <w:name w:val="正文文本缩进 字符"/>
    <w:basedOn w:val="16"/>
    <w:link w:val="7"/>
    <w:qFormat/>
    <w:uiPriority w:val="99"/>
    <w:rPr>
      <w:kern w:val="2"/>
      <w:sz w:val="21"/>
      <w:szCs w:val="22"/>
    </w:rPr>
  </w:style>
  <w:style w:type="character" w:customStyle="1" w:styleId="26">
    <w:name w:val="标题 2 Char"/>
    <w:link w:val="3"/>
    <w:qFormat/>
    <w:uiPriority w:val="9"/>
    <w:rPr>
      <w:rFonts w:ascii="Arial" w:hAnsi="Arial" w:eastAsia="黑体"/>
      <w:b/>
      <w:sz w:val="32"/>
    </w:rPr>
  </w:style>
  <w:style w:type="paragraph" w:customStyle="1" w:styleId="27">
    <w:name w:val="正文格式"/>
    <w:basedOn w:val="1"/>
    <w:qFormat/>
    <w:uiPriority w:val="0"/>
    <w:pPr>
      <w:spacing w:line="360" w:lineRule="auto"/>
      <w:ind w:firstLine="200" w:firstLineChars="200"/>
    </w:pPr>
    <w:rPr>
      <w:rFonts w:ascii="宋体" w:hAnsi="宋体"/>
      <w:kern w:val="0"/>
      <w:sz w:val="24"/>
      <w:lang w:val="en-GB"/>
    </w:rPr>
  </w:style>
  <w:style w:type="character" w:customStyle="1" w:styleId="28">
    <w:name w:val="font61"/>
    <w:basedOn w:val="16"/>
    <w:qFormat/>
    <w:uiPriority w:val="0"/>
    <w:rPr>
      <w:rFonts w:ascii="华文楷体" w:hAnsi="华文楷体" w:eastAsia="华文楷体" w:cs="华文楷体"/>
      <w:color w:val="000000"/>
      <w:sz w:val="18"/>
      <w:szCs w:val="18"/>
      <w:u w:val="none"/>
    </w:rPr>
  </w:style>
  <w:style w:type="character" w:customStyle="1" w:styleId="29">
    <w:name w:val="font71"/>
    <w:basedOn w:val="16"/>
    <w:qFormat/>
    <w:uiPriority w:val="0"/>
    <w:rPr>
      <w:rFonts w:ascii="等线" w:hAnsi="等线" w:eastAsia="等线" w:cs="等线"/>
      <w:color w:val="000000"/>
      <w:sz w:val="22"/>
      <w:szCs w:val="22"/>
      <w:u w:val="none"/>
    </w:rPr>
  </w:style>
  <w:style w:type="character" w:customStyle="1" w:styleId="30">
    <w:name w:val="font01"/>
    <w:basedOn w:val="16"/>
    <w:qFormat/>
    <w:uiPriority w:val="0"/>
    <w:rPr>
      <w:rFonts w:hint="default" w:ascii="Arial" w:hAnsi="Arial" w:cs="Arial"/>
      <w:color w:val="000000"/>
      <w:sz w:val="22"/>
      <w:szCs w:val="22"/>
      <w:u w:val="none"/>
    </w:rPr>
  </w:style>
  <w:style w:type="character" w:customStyle="1" w:styleId="31">
    <w:name w:val="font21"/>
    <w:basedOn w:val="16"/>
    <w:qFormat/>
    <w:uiPriority w:val="0"/>
    <w:rPr>
      <w:rFonts w:hint="eastAsia" w:ascii="宋体" w:hAnsi="宋体" w:eastAsia="宋体" w:cs="宋体"/>
      <w:color w:val="000000"/>
      <w:sz w:val="22"/>
      <w:szCs w:val="22"/>
      <w:u w:val="none"/>
    </w:rPr>
  </w:style>
  <w:style w:type="character" w:customStyle="1" w:styleId="32">
    <w:name w:val="font81"/>
    <w:basedOn w:val="16"/>
    <w:qFormat/>
    <w:uiPriority w:val="0"/>
    <w:rPr>
      <w:rFonts w:ascii="华文楷体" w:hAnsi="华文楷体" w:eastAsia="华文楷体" w:cs="华文楷体"/>
      <w:color w:val="000000"/>
      <w:sz w:val="22"/>
      <w:szCs w:val="22"/>
      <w:u w:val="none"/>
    </w:rPr>
  </w:style>
  <w:style w:type="character" w:customStyle="1" w:styleId="33">
    <w:name w:val="font91"/>
    <w:basedOn w:val="16"/>
    <w:qFormat/>
    <w:uiPriority w:val="0"/>
    <w:rPr>
      <w:rFonts w:ascii="华文楷体" w:hAnsi="华文楷体" w:eastAsia="华文楷体" w:cs="华文楷体"/>
      <w:color w:val="000000"/>
      <w:sz w:val="24"/>
      <w:szCs w:val="24"/>
      <w:u w:val="none"/>
    </w:rPr>
  </w:style>
  <w:style w:type="character" w:customStyle="1" w:styleId="34">
    <w:name w:val="font101"/>
    <w:basedOn w:val="16"/>
    <w:qFormat/>
    <w:uiPriority w:val="0"/>
    <w:rPr>
      <w:rFonts w:hint="default" w:ascii="Arial" w:hAnsi="Arial" w:cs="Arial"/>
      <w:color w:val="000000"/>
      <w:sz w:val="22"/>
      <w:szCs w:val="22"/>
      <w:u w:val="none"/>
    </w:rPr>
  </w:style>
  <w:style w:type="character" w:customStyle="1" w:styleId="35">
    <w:name w:val="font41"/>
    <w:basedOn w:val="16"/>
    <w:qFormat/>
    <w:uiPriority w:val="0"/>
    <w:rPr>
      <w:rFonts w:ascii="华文楷体" w:hAnsi="华文楷体" w:eastAsia="华文楷体" w:cs="华文楷体"/>
      <w:color w:val="000000"/>
      <w:sz w:val="24"/>
      <w:szCs w:val="24"/>
      <w:u w:val="none"/>
    </w:rPr>
  </w:style>
  <w:style w:type="character" w:customStyle="1" w:styleId="36">
    <w:name w:val="font112"/>
    <w:basedOn w:val="16"/>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8f1d75e0-d395-41c6-88bc-a0a73a298f4b</errorID>
      <errorWord>4）、</errorWord>
      <group>L1_Punc</group>
      <groupName>标点问题</groupName>
      <ability>L2_Punc_CN</ability>
      <abilityName>标点符号检查</abilityName>
      <candidateList>
        <item>4）</item>
      </candidateList>
      <explain>根据国标GB/T 15834-2011《标点符号用法》中的4.5.3.3节，带括号的汉字数字或阿拉伯数字表次序时，后面通常不加顿号。如“（一）指导思想”“（二）行动指南”。</explain>
      <paraID>573EC105</paraID>
      <start>79</start>
      <end>82</end>
      <status>unmodified</status>
      <modifiedWord/>
      <trackRevisions>false</trackRevisions>
    </reviewItem>
    <reviewItem>
      <errorID>59d33253-3187-4d98-8d19-645223519dba</errorID>
      <errorWord>4）、</errorWord>
      <group>L1_Punc</group>
      <groupName>标点问题</groupName>
      <ability>L2_Punc_CN</ability>
      <abilityName>标点符号检查</abilityName>
      <candidateList>
        <item>4）</item>
      </candidateList>
      <explain>根据国标GB/T 15834-2011《标点符号用法》中的4.5.3.3节，带括号的汉字数字或阿拉伯数字表次序时，后面通常不加顿号。如“（一）指导思想”“（二）行动指南”。</explain>
      <paraID> 8601140</paraID>
      <start>52</start>
      <end>55</end>
      <status>unmodified</status>
      <modifiedWord/>
      <trackRevisions>false</trackRevisions>
    </reviewItem>
    <reviewItem>
      <errorID>d95e5bc3-9592-491f-a569-9d67cd57cf96</errorID>
      <errorWord>验漏</errorWord>
      <group>L1_Word</group>
      <groupName>字词问题</groupName>
      <ability>L2_Typo</ability>
      <abilityName>字词错误</abilityName>
      <candidateList>
        <item>检漏</item>
      </candidateList>
      <explain>存在字形相近字词的误用。</explain>
      <paraID>414798F4</paraID>
      <start>17</start>
      <end>19</end>
      <status>modified</status>
      <modifiedWord>检漏</modifiedWord>
      <trackRevisions>false</trackRevisions>
    </reviewItem>
    <reviewItem>
      <errorID>518a2aa3-91bb-4864-a6c4-466df4029133</errorID>
      <errorWord>相应</errorWord>
      <group>L1_Word</group>
      <groupName>字词问题</groupName>
      <ability>L2_Typo</ability>
      <abilityName>字词错误</abilityName>
      <candidateList>
        <item>响应</item>
      </candidateList>
      <explain/>
      <paraID>5ECF355E</paraID>
      <start>30</start>
      <end>32</end>
      <status>modified</status>
      <modifiedWord>响应</modifiedWord>
      <trackRevisions>false</trackRevisions>
    </reviewItem>
    <reviewItem>
      <errorID>3945accb-f13b-49c7-ac6b-927d438d9e7a</errorID>
      <errorWord>跟换</errorWord>
      <group>L1_Word</group>
      <groupName>字词问题</groupName>
      <ability>L2_Typo</ability>
      <abilityName>字词错误</abilityName>
      <candidateList>
        <item>更换</item>
      </candidateList>
      <explain/>
      <paraID>480F7747</paraID>
      <start>35</start>
      <end>37</end>
      <status>modified</status>
      <modifiedWord>更换</modifiedWord>
      <trackRevisions>false</trackRevisions>
    </reviewItem>
    <reviewItem>
      <errorID>bbdc90c1-b965-478a-bd82-0431333926ba</errorID>
      <errorWord>跟换</errorWord>
      <group>L1_Word</group>
      <groupName>字词问题</groupName>
      <ability>L2_Typo</ability>
      <abilityName>字词错误</abilityName>
      <candidateList>
        <item>更换</item>
      </candidateList>
      <explain/>
      <paraID>480F7747</paraID>
      <start>45</start>
      <end>47</end>
      <status>modified</status>
      <modifiedWord>更换</modifiedWord>
      <trackRevisions>false</trackRevisions>
    </reviewItem>
    <reviewItem>
      <errorID>d743ec8b-6809-462b-a2c8-5993d9597b4f</errorID>
      <errorWord>(</errorWord>
      <group>L1_Format</group>
      <groupName>格式问题</groupName>
      <ability>L2_HalfPunc_CN</ability>
      <abilityName>全半角检查</abilityName>
      <candidateList>
        <item>（</item>
      </candidateList>
      <explain>文本全半角错误。</explain>
      <paraID>1401CC8C</paraID>
      <start>3</start>
      <end>4</end>
      <status>unmodified</status>
      <modifiedWord/>
      <trackRevisions>false</trackRevisions>
    </reviewItem>
    <reviewItem>
      <errorID>b72d0dba-c2eb-4abf-9af4-eb7786d96372</errorID>
      <errorWord>)</errorWord>
      <group>L1_Format</group>
      <groupName>格式问题</groupName>
      <ability>L2_HalfPunc_CN</ability>
      <abilityName>全半角检查</abilityName>
      <candidateList>
        <item>）</item>
      </candidateList>
      <explain>文本全半角错误。</explain>
      <paraID>1401CC8C</paraID>
      <start>8</start>
      <end>9</end>
      <status>unmodified</status>
      <modifiedWord/>
      <trackRevisions>false</trackRevisions>
    </reviewItem>
    <reviewItem>
      <errorID>6fb8a53a-2f73-4517-9602-67bf0297dd8a</errorID>
      <errorWord>(</errorWord>
      <group>L1_Format</group>
      <groupName>格式问题</groupName>
      <ability>L2_HalfPunc_CN</ability>
      <abilityName>全半角检查</abilityName>
      <candidateList>
        <item>（</item>
      </candidateList>
      <explain>文本全半角错误。</explain>
      <paraID>6C6A2334</paraID>
      <start>6</start>
      <end>7</end>
      <status>unmodified</status>
      <modifiedWord/>
      <trackRevisions>false</trackRevisions>
    </reviewItem>
    <reviewItem>
      <errorID>274eb35b-57d6-4654-8a65-862feced05c6</errorID>
      <errorWord>)</errorWord>
      <group>L1_Format</group>
      <groupName>格式问题</groupName>
      <ability>L2_HalfPunc_CN</ability>
      <abilityName>全半角检查</abilityName>
      <candidateList>
        <item>）</item>
      </candidateList>
      <explain>文本全半角错误。</explain>
      <paraID>6C6A2334</paraID>
      <start>19</start>
      <end>20</end>
      <status>unmodified</status>
      <modifiedWord/>
      <trackRevisions>false</trackRevisions>
    </reviewItem>
    <reviewItem>
      <errorID>2984db08-9a04-4ac5-a8a6-b48af4b8dc19</errorID>
      <errorWord>(</errorWord>
      <group>L1_Format</group>
      <groupName>格式问题</groupName>
      <ability>L2_HalfPunc_CN</ability>
      <abilityName>全半角检查</abilityName>
      <candidateList>
        <item>（</item>
      </candidateList>
      <explain>文本全半角错误。</explain>
      <paraID>61CCB223</paraID>
      <start>12</start>
      <end>13</end>
      <status>unmodified</status>
      <modifiedWord/>
      <trackRevisions>false</trackRevisions>
    </reviewItem>
    <reviewItem>
      <errorID>3b63412c-6959-4c02-968a-21edb1aa8a60</errorID>
      <errorWord>)</errorWord>
      <group>L1_Format</group>
      <groupName>格式问题</groupName>
      <ability>L2_HalfPunc_CN</ability>
      <abilityName>全半角检查</abilityName>
      <candidateList>
        <item>）</item>
      </candidateList>
      <explain>文本全半角错误。</explain>
      <paraID>61CCB223</paraID>
      <start>18</start>
      <end>19</end>
      <status>unmodified</status>
      <modifiedWord/>
      <trackRevisions>false</trackRevisions>
    </reviewItem>
    <reviewItem>
      <errorID>1731137e-0a5a-4508-81d5-a25843861567</errorID>
      <errorWord>(</errorWord>
      <group>L1_Format</group>
      <groupName>格式问题</groupName>
      <ability>L2_HalfPunc_CN</ability>
      <abilityName>全半角检查</abilityName>
      <candidateList>
        <item>（</item>
      </candidateList>
      <explain>文本全半角错误。</explain>
      <paraID> EA2A215</paraID>
      <start>10</start>
      <end>11</end>
      <status>unmodified</status>
      <modifiedWord/>
      <trackRevisions>false</trackRevisions>
    </reviewItem>
    <reviewItem>
      <errorID>c4798070-6c60-4177-95d9-397b4e9a63ae</errorID>
      <errorWord>)</errorWord>
      <group>L1_Format</group>
      <groupName>格式问题</groupName>
      <ability>L2_HalfPunc_CN</ability>
      <abilityName>全半角检查</abilityName>
      <candidateList>
        <item>）</item>
      </candidateList>
      <explain>文本全半角错误。</explain>
      <paraID> EA2A215</paraID>
      <start>21</start>
      <end>22</end>
      <status>unmodified</status>
      <modifiedWord/>
      <trackRevisions>false</trackRevisions>
    </reviewItem>
    <reviewItem>
      <errorID>1506f50a-e4c4-4bf6-ba9b-bb76a507c5ea</errorID>
      <errorWord>(</errorWord>
      <group>L1_Format</group>
      <groupName>格式问题</groupName>
      <ability>L2_HalfPunc_CN</ability>
      <abilityName>全半角检查</abilityName>
      <candidateList>
        <item>（</item>
      </candidateList>
      <explain>文本全半角错误。</explain>
      <paraID>4C6802BB</paraID>
      <start>7</start>
      <end>8</end>
      <status>unmodified</status>
      <modifiedWord/>
      <trackRevisions>false</trackRevisions>
    </reviewItem>
    <reviewItem>
      <errorID>7b0aaaed-20f6-48ec-b67d-b56007c8943d</errorID>
      <errorWord>)</errorWord>
      <group>L1_Format</group>
      <groupName>格式问题</groupName>
      <ability>L2_HalfPunc_CN</ability>
      <abilityName>全半角检查</abilityName>
      <candidateList>
        <item>）</item>
      </candidateList>
      <explain>文本全半角错误。</explain>
      <paraID>4C6802BB</paraID>
      <start>13</start>
      <end>14</end>
      <status>unmodified</status>
      <modifiedWord/>
      <trackRevisions>false</trackRevisions>
    </reviewItem>
    <reviewItem>
      <errorID>58731245-723c-4eae-8077-5fda81ec307f</errorID>
      <errorWord>(</errorWord>
      <group>L1_Format</group>
      <groupName>格式问题</groupName>
      <ability>L2_HalfPunc_CN</ability>
      <abilityName>全半角检查</abilityName>
      <candidateList>
        <item>（</item>
      </candidateList>
      <explain>文本全半角错误。</explain>
      <paraID>200806B6</paraID>
      <start>23</start>
      <end>24</end>
      <status>unmodified</status>
      <modifiedWord/>
      <trackRevisions>false</trackRevisions>
    </reviewItem>
    <reviewItem>
      <errorID>f119344c-c909-4c00-80a8-99324e48cf6e</errorID>
      <errorWord>)</errorWord>
      <group>L1_Format</group>
      <groupName>格式问题</groupName>
      <ability>L2_HalfPunc_CN</ability>
      <abilityName>全半角检查</abilityName>
      <candidateList>
        <item>）</item>
      </candidateList>
      <explain>文本全半角错误。</explain>
      <paraID>200806B6</paraID>
      <start>38</start>
      <end>39</end>
      <status>unmodified</status>
      <modifiedWord/>
      <trackRevisions>false</trackRevisions>
    </reviewItem>
    <reviewItem>
      <errorID>c1f593b5-410e-4264-87a3-b35aa32b2070</errorID>
      <errorWord>(</errorWord>
      <group>L1_Format</group>
      <groupName>格式问题</groupName>
      <ability>L2_HalfPunc_CN</ability>
      <abilityName>全半角检查</abilityName>
      <candidateList>
        <item>（</item>
      </candidateList>
      <explain>文本全半角错误。</explain>
      <paraID>2F977492</paraID>
      <start>4</start>
      <end>5</end>
      <status>unmodified</status>
      <modifiedWord/>
      <trackRevisions>false</trackRevisions>
    </reviewItem>
    <reviewItem>
      <errorID>5a6d392d-520b-4cc0-bc15-94c79c65e734</errorID>
      <errorWord>)</errorWord>
      <group>L1_Format</group>
      <groupName>格式问题</groupName>
      <ability>L2_HalfPunc_CN</ability>
      <abilityName>全半角检查</abilityName>
      <candidateList>
        <item>）</item>
      </candidateList>
      <explain>文本全半角错误。</explain>
      <paraID>2F977492</paraID>
      <start>6</start>
      <end>7</end>
      <status>unmodified</status>
      <modifiedWord/>
      <trackRevisions>false</trackRevisions>
    </reviewItem>
    <reviewItem>
      <errorID>db062268-1a82-40c9-80d2-03fce5c6b845</errorID>
      <errorWord>，</errorWord>
      <group>L1_Word</group>
      <groupName>字词问题</groupName>
      <ability>L2_Typo</ability>
      <abilityName>字词错误</abilityName>
      <candidateList>
        <item>，按</item>
      </candidateList>
      <explain/>
      <paraID>136B1B5B</paraID>
      <start>20</start>
      <end>21</end>
      <status>unmodified</status>
      <modifiedWord/>
      <trackRevisions>false</trackRevisions>
    </reviewItem>
    <reviewItem>
      <errorID>432f522f-172c-4551-a271-4f0954863698</errorID>
      <errorWord>，</errorWord>
      <group>L1_Word</group>
      <groupName>字词问题</groupName>
      <ability>L2_Typo</ability>
      <abilityName>字词错误</abilityName>
      <candidateList>
        <item>，按</item>
      </candidateList>
      <explain/>
      <paraID> 68CBD05</paraID>
      <start>20</start>
      <end>21</end>
      <status>unmodified</status>
      <modifiedWord/>
      <trackRevisions>false</trackRevisions>
    </reviewItem>
    <reviewItem>
      <errorID>4e245f7e-0ad1-4498-a5ac-7e030e00f7fb</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32E3E9ED</paraID>
      <start>21</start>
      <end>24</end>
      <status>unmodified</status>
      <modifiedWord/>
      <trackRevisions>false</trackRevisions>
    </reviewItem>
    <reviewItem>
      <errorID>fd7a49e2-3184-48a2-945f-24e2532d0d95</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32E3E9ED</paraID>
      <start>27</start>
      <end>30</end>
      <status>unmodified</status>
      <modifiedWord/>
      <trackRevisions>false</trackRevisions>
    </reviewItem>
    <reviewItem>
      <errorID>c921ff61-2005-4568-b662-5909c244a408</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32E3E9ED</paraID>
      <start>40</start>
      <end>43</end>
      <status>unmodified</status>
      <modifiedWord/>
      <trackRevisions>false</trackRevisions>
    </reviewItem>
  </reviewItems>
  <config/>
</contractReview>
</file>

<file path=customXml/itemProps1.xml><?xml version="1.0" encoding="utf-8"?>
<ds:datastoreItem xmlns:ds="http://schemas.openxmlformats.org/officeDocument/2006/customXml" ds:itemID="{bb5fe4e3-b64f-49a6-b24a-8396f7edd14c}">
  <ds:schemaRefs/>
</ds:datastoreItem>
</file>

<file path=docProps/app.xml><?xml version="1.0" encoding="utf-8"?>
<Properties xmlns="http://schemas.openxmlformats.org/officeDocument/2006/extended-properties" xmlns:vt="http://schemas.openxmlformats.org/officeDocument/2006/docPropsVTypes">
  <Template>Normal.dotm</Template>
  <Pages>6</Pages>
  <Words>2950</Words>
  <Characters>3340</Characters>
  <Paragraphs>241</Paragraphs>
  <TotalTime>5</TotalTime>
  <ScaleCrop>false</ScaleCrop>
  <LinksUpToDate>false</LinksUpToDate>
  <CharactersWithSpaces>3464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2024-04-07T15:07:00Z</dcterms:created>
  <dc:creator>NTKO</dc:creator>
  <cp:lastModifiedBy>彩虹</cp:lastModifiedBy>
  <cp:lastPrinted>2024-05-13T07:42:00Z</cp:lastPrinted>
  <dcterms:modified xsi:type="dcterms:W3CDTF">2026-07-29T07:58:32Z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8CF9EE52E7FD4CF59C6D796E63D17482_13</vt:lpwstr>
  </property>
  <property fmtid="{D5CDD505-2E9C-101B-9397-08002B2CF9AE}" pid="4" name="KSOTemplateDocerSaveRecord">
    <vt:lpwstr>eyJoZGlkIjoiM2RkOTc3OWNmN2I4YTNmZDAxZTRmZGUzOWNlOTEyMDciLCJ1c2VySWQiOiIxMDQ0MjkxMTYxIn0=</vt:lpwstr>
  </property>
</Properties>
</file>