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26C90">
      <w:pPr>
        <w:spacing w:line="360" w:lineRule="auto"/>
        <w:jc w:val="center"/>
        <w:rPr>
          <w:rFonts w:hint="eastAsia" w:ascii="宋体" w:hAnsi="宋体" w:eastAsia="宋体" w:cs="宋体"/>
          <w:b/>
          <w:bCs/>
          <w:color w:val="auto"/>
          <w:kern w:val="2"/>
          <w:sz w:val="44"/>
          <w:szCs w:val="44"/>
          <w:lang w:val="en-US" w:eastAsia="zh-CN" w:bidi="ar-SA"/>
        </w:rPr>
      </w:pPr>
    </w:p>
    <w:p w14:paraId="5698498A">
      <w:pPr>
        <w:pStyle w:val="2"/>
        <w:rPr>
          <w:rFonts w:hint="eastAsia" w:ascii="宋体" w:hAnsi="宋体" w:eastAsia="宋体" w:cs="宋体"/>
          <w:b/>
          <w:bCs/>
          <w:color w:val="auto"/>
          <w:kern w:val="2"/>
          <w:sz w:val="44"/>
          <w:szCs w:val="44"/>
          <w:lang w:val="en-US" w:eastAsia="zh-CN" w:bidi="ar-SA"/>
        </w:rPr>
      </w:pPr>
    </w:p>
    <w:p w14:paraId="24D93282">
      <w:pPr>
        <w:pStyle w:val="2"/>
        <w:rPr>
          <w:rFonts w:hint="eastAsia" w:ascii="宋体" w:hAnsi="宋体" w:eastAsia="宋体" w:cs="宋体"/>
          <w:b/>
          <w:bCs/>
          <w:color w:val="auto"/>
          <w:kern w:val="2"/>
          <w:sz w:val="44"/>
          <w:szCs w:val="44"/>
          <w:lang w:val="en-US" w:eastAsia="zh-CN" w:bidi="ar-SA"/>
        </w:rPr>
      </w:pPr>
    </w:p>
    <w:p w14:paraId="3642CEDF">
      <w:pPr>
        <w:spacing w:line="360" w:lineRule="auto"/>
        <w:jc w:val="center"/>
        <w:rPr>
          <w:rFonts w:hint="eastAsia" w:ascii="宋体" w:hAnsi="宋体" w:eastAsia="宋体" w:cs="宋体"/>
          <w:color w:val="auto"/>
          <w:sz w:val="52"/>
          <w:szCs w:val="52"/>
          <w:lang w:eastAsia="zh-CN"/>
        </w:rPr>
      </w:pPr>
      <w:r>
        <w:rPr>
          <w:rFonts w:hint="eastAsia" w:ascii="宋体" w:hAnsi="宋体" w:eastAsia="宋体" w:cs="宋体"/>
          <w:b/>
          <w:bCs/>
          <w:color w:val="auto"/>
          <w:sz w:val="52"/>
          <w:szCs w:val="52"/>
        </w:rPr>
        <w:t>金鸡山环保大楼</w:t>
      </w:r>
      <w:r>
        <w:rPr>
          <w:rFonts w:hint="eastAsia" w:ascii="宋体" w:hAnsi="宋体" w:cs="宋体"/>
          <w:b/>
          <w:bCs/>
          <w:color w:val="auto"/>
          <w:sz w:val="52"/>
          <w:szCs w:val="52"/>
          <w:lang w:val="en-US" w:eastAsia="zh-CN"/>
        </w:rPr>
        <w:t>部分区域</w:t>
      </w:r>
      <w:r>
        <w:rPr>
          <w:rFonts w:hint="eastAsia" w:ascii="宋体" w:hAnsi="宋体" w:eastAsia="宋体" w:cs="宋体"/>
          <w:b/>
          <w:bCs/>
          <w:color w:val="auto"/>
          <w:sz w:val="52"/>
          <w:szCs w:val="52"/>
        </w:rPr>
        <w:t>消防系统</w:t>
      </w:r>
      <w:r>
        <w:rPr>
          <w:rFonts w:hint="eastAsia" w:ascii="宋体" w:hAnsi="宋体" w:cs="宋体"/>
          <w:b/>
          <w:bCs/>
          <w:color w:val="auto"/>
          <w:sz w:val="52"/>
          <w:szCs w:val="52"/>
          <w:lang w:val="en-US" w:eastAsia="zh-CN"/>
        </w:rPr>
        <w:t>优化提升</w:t>
      </w:r>
      <w:r>
        <w:rPr>
          <w:rFonts w:hint="eastAsia" w:ascii="宋体" w:hAnsi="宋体" w:eastAsia="宋体" w:cs="宋体"/>
          <w:b/>
          <w:bCs/>
          <w:color w:val="auto"/>
          <w:sz w:val="52"/>
          <w:szCs w:val="52"/>
        </w:rPr>
        <w:t>项目采购文件</w:t>
      </w:r>
    </w:p>
    <w:p w14:paraId="4C720F9A">
      <w:pPr>
        <w:ind w:firstLine="560"/>
        <w:rPr>
          <w:rFonts w:cs="Times New Roman"/>
          <w:color w:val="auto"/>
          <w:sz w:val="52"/>
          <w:szCs w:val="52"/>
        </w:rPr>
      </w:pPr>
    </w:p>
    <w:p w14:paraId="0C9B11C2">
      <w:pPr>
        <w:ind w:firstLine="560"/>
        <w:rPr>
          <w:rFonts w:cs="Times New Roman"/>
          <w:color w:val="auto"/>
        </w:rPr>
      </w:pPr>
    </w:p>
    <w:p w14:paraId="3C2D7B68">
      <w:pPr>
        <w:ind w:firstLine="560"/>
        <w:rPr>
          <w:rFonts w:cs="Times New Roman"/>
          <w:color w:val="auto"/>
        </w:rPr>
      </w:pPr>
    </w:p>
    <w:p w14:paraId="32BF8A5A">
      <w:pPr>
        <w:ind w:firstLine="560"/>
        <w:rPr>
          <w:rFonts w:cs="Times New Roman"/>
          <w:color w:val="auto"/>
        </w:rPr>
      </w:pPr>
    </w:p>
    <w:p w14:paraId="537788C5">
      <w:pPr>
        <w:ind w:firstLine="560"/>
        <w:rPr>
          <w:rFonts w:cs="Times New Roman"/>
          <w:color w:val="auto"/>
        </w:rPr>
      </w:pPr>
    </w:p>
    <w:p w14:paraId="6D921670">
      <w:pPr>
        <w:ind w:firstLine="560"/>
        <w:rPr>
          <w:rFonts w:cs="Times New Roman"/>
          <w:color w:val="auto"/>
        </w:rPr>
      </w:pPr>
    </w:p>
    <w:p w14:paraId="2C582E4A">
      <w:pPr>
        <w:ind w:firstLine="560"/>
        <w:rPr>
          <w:rFonts w:cs="Times New Roman"/>
          <w:color w:val="auto"/>
        </w:rPr>
      </w:pPr>
    </w:p>
    <w:p w14:paraId="23AD1E69">
      <w:pPr>
        <w:ind w:firstLine="560"/>
        <w:rPr>
          <w:rFonts w:cs="Times New Roman"/>
          <w:color w:val="auto"/>
        </w:rPr>
      </w:pPr>
    </w:p>
    <w:p w14:paraId="128FEEA5">
      <w:pPr>
        <w:ind w:firstLine="560"/>
        <w:rPr>
          <w:rFonts w:cs="Times New Roman"/>
          <w:color w:val="auto"/>
        </w:rPr>
      </w:pPr>
    </w:p>
    <w:p w14:paraId="6A256545">
      <w:pPr>
        <w:ind w:firstLine="560"/>
        <w:rPr>
          <w:rFonts w:cs="Times New Roman"/>
          <w:color w:val="auto"/>
        </w:rPr>
      </w:pPr>
    </w:p>
    <w:p w14:paraId="1F44AD11">
      <w:pPr>
        <w:ind w:firstLine="560"/>
        <w:rPr>
          <w:rFonts w:cs="Times New Roman"/>
          <w:color w:val="auto"/>
        </w:rPr>
      </w:pPr>
    </w:p>
    <w:p w14:paraId="458F5998">
      <w:pPr>
        <w:ind w:firstLine="560"/>
        <w:rPr>
          <w:rFonts w:cs="Times New Roman"/>
          <w:color w:val="auto"/>
        </w:rPr>
      </w:pPr>
    </w:p>
    <w:p w14:paraId="02911F84">
      <w:pPr>
        <w:ind w:firstLine="560"/>
        <w:rPr>
          <w:rFonts w:cs="Times New Roman"/>
          <w:color w:val="auto"/>
        </w:rPr>
      </w:pPr>
    </w:p>
    <w:p w14:paraId="612CD6E5">
      <w:pPr>
        <w:ind w:firstLine="0" w:firstLineChars="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采购单位：福建省福州环境监测中心站</w:t>
      </w:r>
    </w:p>
    <w:p w14:paraId="0DAD13EC">
      <w:pPr>
        <w:ind w:firstLine="2249" w:firstLineChars="700"/>
        <w:jc w:val="both"/>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项目编号：</w:t>
      </w:r>
      <w:r>
        <w:rPr>
          <w:rFonts w:hint="eastAsia" w:ascii="仿宋_GB2312" w:hAnsi="仿宋_GB2312" w:eastAsia="仿宋_GB2312" w:cs="仿宋_GB2312"/>
          <w:b/>
          <w:sz w:val="32"/>
          <w:szCs w:val="32"/>
        </w:rPr>
        <w:t>FZHJJC-202601</w:t>
      </w:r>
      <w:r>
        <w:rPr>
          <w:rFonts w:hint="eastAsia" w:ascii="仿宋_GB2312" w:hAnsi="仿宋_GB2312" w:eastAsia="仿宋_GB2312" w:cs="仿宋_GB2312"/>
          <w:b/>
          <w:sz w:val="32"/>
          <w:szCs w:val="32"/>
          <w:lang w:val="en-US" w:eastAsia="zh-CN"/>
        </w:rPr>
        <w:t>8</w:t>
      </w:r>
    </w:p>
    <w:p w14:paraId="77A47715">
      <w:pPr>
        <w:ind w:firstLine="2249" w:firstLineChars="7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时    间：2026 年 </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rPr>
        <w:t xml:space="preserve"> 月</w:t>
      </w:r>
    </w:p>
    <w:p w14:paraId="0CF24F7F">
      <w:pPr>
        <w:rPr>
          <w:rFonts w:cs="Times New Roman"/>
          <w:color w:val="auto"/>
        </w:rPr>
      </w:pPr>
    </w:p>
    <w:p w14:paraId="0EFDFFF5">
      <w:pPr>
        <w:rPr>
          <w:rFonts w:cs="Times New Roman"/>
          <w:color w:val="auto"/>
        </w:rPr>
      </w:pPr>
    </w:p>
    <w:p w14:paraId="3DCA28DA">
      <w:pPr>
        <w:rPr>
          <w:rFonts w:cs="Times New Roman"/>
          <w:color w:val="auto"/>
        </w:rPr>
      </w:pPr>
    </w:p>
    <w:p w14:paraId="20A49F43">
      <w:pPr>
        <w:rPr>
          <w:rFonts w:cs="Times New Roman"/>
          <w:color w:val="auto"/>
        </w:rPr>
      </w:pPr>
    </w:p>
    <w:p w14:paraId="7E6C18F2">
      <w:pPr>
        <w:rPr>
          <w:rFonts w:cs="Times New Roman"/>
          <w:color w:val="auto"/>
        </w:rPr>
      </w:pPr>
    </w:p>
    <w:p w14:paraId="1E0135E6">
      <w:pPr>
        <w:jc w:val="center"/>
        <w:rPr>
          <w:rFonts w:hint="eastAsia" w:ascii="隶书" w:hAnsi="隶书" w:eastAsia="隶书" w:cs="隶书"/>
          <w:color w:val="auto"/>
          <w:sz w:val="56"/>
          <w:szCs w:val="56"/>
        </w:rPr>
      </w:pPr>
    </w:p>
    <w:p w14:paraId="5CC92298">
      <w:pPr>
        <w:jc w:val="both"/>
        <w:rPr>
          <w:rFonts w:hint="eastAsia" w:ascii="隶书" w:hAnsi="隶书" w:eastAsia="隶书" w:cs="隶书"/>
          <w:color w:val="auto"/>
          <w:sz w:val="56"/>
          <w:szCs w:val="56"/>
        </w:rPr>
      </w:pPr>
    </w:p>
    <w:p w14:paraId="2C05A9A7">
      <w:pPr>
        <w:jc w:val="center"/>
        <w:rPr>
          <w:rFonts w:ascii="隶书" w:hAnsi="隶书" w:eastAsia="隶书" w:cs="Times New Roman"/>
          <w:color w:val="auto"/>
          <w:sz w:val="56"/>
          <w:szCs w:val="56"/>
        </w:rPr>
      </w:pPr>
      <w:r>
        <w:rPr>
          <w:rFonts w:hint="eastAsia" w:ascii="隶书" w:hAnsi="隶书" w:eastAsia="隶书" w:cs="隶书"/>
          <w:color w:val="auto"/>
          <w:sz w:val="56"/>
          <w:szCs w:val="56"/>
        </w:rPr>
        <w:t>目录</w:t>
      </w:r>
    </w:p>
    <w:p w14:paraId="48871267">
      <w:pPr>
        <w:rPr>
          <w:rFonts w:cs="Times New Roman"/>
          <w:color w:val="auto"/>
        </w:rPr>
      </w:pPr>
    </w:p>
    <w:p w14:paraId="0EB0981D">
      <w:pPr>
        <w:spacing w:line="360" w:lineRule="auto"/>
        <w:jc w:val="both"/>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TOC \o "1-4" \h  \u </w:instrText>
      </w:r>
      <w:r>
        <w:rPr>
          <w:rFonts w:hint="eastAsia" w:ascii="隶书" w:hAnsi="宋体" w:eastAsia="隶书" w:cs="隶书"/>
          <w:color w:val="auto"/>
          <w:kern w:val="2"/>
          <w:sz w:val="32"/>
          <w:szCs w:val="32"/>
          <w:lang w:val="en-US" w:eastAsia="zh-CN" w:bidi="ar-SA"/>
        </w:rPr>
        <w:fldChar w:fldCharType="separate"/>
      </w:r>
    </w:p>
    <w:p w14:paraId="04A46A84">
      <w:pPr>
        <w:pStyle w:val="15"/>
        <w:tabs>
          <w:tab w:val="right" w:leader="dot" w:pos="9742"/>
        </w:tabs>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"_Toc532916737"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fldChar w:fldCharType="end"/>
      </w: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"_Toc532916738"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t>第一章 采购邀请函</w:t>
      </w:r>
      <w:r>
        <w:rPr>
          <w:rFonts w:hint="eastAsia" w:ascii="隶书" w:hAnsi="宋体" w:eastAsia="隶书" w:cs="隶书"/>
          <w:color w:val="auto"/>
          <w:kern w:val="2"/>
          <w:sz w:val="32"/>
          <w:szCs w:val="32"/>
          <w:lang w:val="en-US" w:eastAsia="zh-CN" w:bidi="ar-SA"/>
        </w:rPr>
        <w:tab/>
      </w:r>
      <w:r>
        <w:rPr>
          <w:rFonts w:hint="eastAsia" w:ascii="隶书" w:hAnsi="宋体" w:cs="隶书"/>
          <w:color w:val="auto"/>
          <w:kern w:val="2"/>
          <w:sz w:val="32"/>
          <w:szCs w:val="32"/>
          <w:lang w:val="en-US" w:eastAsia="zh-CN" w:bidi="ar-SA"/>
        </w:rPr>
        <w:t>1</w:t>
      </w:r>
      <w:r>
        <w:rPr>
          <w:rFonts w:hint="eastAsia" w:ascii="隶书" w:hAnsi="宋体" w:eastAsia="隶书" w:cs="隶书"/>
          <w:color w:val="auto"/>
          <w:kern w:val="2"/>
          <w:sz w:val="32"/>
          <w:szCs w:val="32"/>
          <w:lang w:val="en-US" w:eastAsia="zh-CN" w:bidi="ar-SA"/>
        </w:rPr>
        <w:fldChar w:fldCharType="end"/>
      </w:r>
    </w:p>
    <w:p w14:paraId="2267ACAA">
      <w:pPr>
        <w:pStyle w:val="15"/>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t>第二章 供应商须知........................................................................................</w:t>
      </w:r>
      <w:r>
        <w:rPr>
          <w:rFonts w:hint="eastAsia" w:ascii="隶书" w:hAnsi="宋体" w:cs="隶书"/>
          <w:color w:val="auto"/>
          <w:kern w:val="2"/>
          <w:sz w:val="32"/>
          <w:szCs w:val="32"/>
          <w:lang w:val="en-US" w:eastAsia="zh-CN" w:bidi="ar-SA"/>
        </w:rPr>
        <w:t>2</w:t>
      </w:r>
    </w:p>
    <w:p w14:paraId="5618B644">
      <w:pPr>
        <w:pStyle w:val="15"/>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651F61FC">
      <w:pPr>
        <w:pStyle w:val="15"/>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5B3B881D">
      <w:pPr>
        <w:pStyle w:val="15"/>
        <w:tabs>
          <w:tab w:val="right" w:leader="dot" w:pos="9742"/>
        </w:tabs>
        <w:spacing w:line="360" w:lineRule="auto"/>
        <w:ind w:firstLine="800"/>
        <w:rPr>
          <w:rFonts w:ascii="隶书" w:hAnsi="宋体" w:cs="Times New Roman"/>
          <w:color w:val="auto"/>
          <w:sz w:val="40"/>
          <w:szCs w:val="40"/>
        </w:rPr>
      </w:pPr>
      <w:r>
        <w:rPr>
          <w:rFonts w:hint="eastAsia" w:ascii="隶书" w:hAnsi="宋体" w:eastAsia="隶书" w:cs="隶书"/>
          <w:color w:val="auto"/>
          <w:kern w:val="2"/>
          <w:sz w:val="32"/>
          <w:szCs w:val="32"/>
          <w:lang w:val="en-US" w:eastAsia="zh-CN" w:bidi="ar-SA"/>
        </w:rPr>
        <w:fldChar w:fldCharType="end"/>
      </w:r>
    </w:p>
    <w:p w14:paraId="3826A82A">
      <w:pPr>
        <w:rPr>
          <w:rFonts w:ascii="隶书" w:hAnsi="宋体" w:eastAsia="隶书" w:cs="Times New Roman"/>
          <w:color w:val="auto"/>
          <w:sz w:val="40"/>
          <w:szCs w:val="40"/>
        </w:rPr>
      </w:pPr>
    </w:p>
    <w:p w14:paraId="0E1122E3">
      <w:pPr>
        <w:rPr>
          <w:rFonts w:ascii="隶书" w:hAnsi="宋体" w:eastAsia="隶书" w:cs="Times New Roman"/>
          <w:color w:val="auto"/>
          <w:sz w:val="40"/>
          <w:szCs w:val="40"/>
        </w:rPr>
      </w:pPr>
    </w:p>
    <w:p w14:paraId="303D205A">
      <w:pPr>
        <w:rPr>
          <w:rFonts w:ascii="隶书" w:hAnsi="宋体" w:eastAsia="隶书" w:cs="Times New Roman"/>
          <w:color w:val="auto"/>
          <w:sz w:val="40"/>
          <w:szCs w:val="40"/>
        </w:rPr>
      </w:pPr>
    </w:p>
    <w:p w14:paraId="5AA7D110">
      <w:pPr>
        <w:rPr>
          <w:rFonts w:ascii="隶书" w:hAnsi="宋体" w:eastAsia="隶书" w:cs="Times New Roman"/>
          <w:color w:val="auto"/>
          <w:sz w:val="40"/>
          <w:szCs w:val="40"/>
        </w:rPr>
      </w:pPr>
    </w:p>
    <w:p w14:paraId="371B6B2E">
      <w:pPr>
        <w:rPr>
          <w:rFonts w:ascii="隶书" w:hAnsi="宋体" w:eastAsia="隶书" w:cs="Times New Roman"/>
          <w:color w:val="auto"/>
          <w:sz w:val="40"/>
          <w:szCs w:val="40"/>
        </w:rPr>
      </w:pPr>
    </w:p>
    <w:p w14:paraId="7D6EB1C9">
      <w:pPr>
        <w:rPr>
          <w:rFonts w:ascii="隶书" w:hAnsi="宋体" w:eastAsia="隶书" w:cs="Times New Roman"/>
          <w:color w:val="auto"/>
          <w:sz w:val="40"/>
          <w:szCs w:val="40"/>
        </w:rPr>
        <w:sectPr>
          <w:pgSz w:w="11906" w:h="16838"/>
          <w:pgMar w:top="1304" w:right="1077" w:bottom="1304" w:left="1077" w:header="851" w:footer="992" w:gutter="0"/>
          <w:cols w:space="720" w:num="1"/>
          <w:docGrid w:type="lines" w:linePitch="312" w:charSpace="0"/>
        </w:sectPr>
      </w:pPr>
    </w:p>
    <w:p w14:paraId="0B90E178">
      <w:pPr>
        <w:pStyle w:val="5"/>
        <w:spacing w:after="240"/>
        <w:jc w:val="center"/>
        <w:rPr>
          <w:rFonts w:cs="Times New Roman"/>
          <w:color w:val="auto"/>
        </w:rPr>
      </w:pPr>
      <w:bookmarkStart w:id="0" w:name="_Toc29546"/>
      <w:bookmarkStart w:id="1" w:name="_Toc532916738"/>
      <w:r>
        <w:rPr>
          <w:rFonts w:hint="eastAsia" w:cs="宋体"/>
          <w:color w:val="auto"/>
        </w:rPr>
        <w:t>第一章采购邀请</w:t>
      </w:r>
      <w:bookmarkEnd w:id="0"/>
      <w:bookmarkEnd w:id="1"/>
      <w:r>
        <w:rPr>
          <w:rFonts w:hint="eastAsia" w:cs="宋体"/>
          <w:color w:val="auto"/>
        </w:rPr>
        <w:t>函</w:t>
      </w:r>
    </w:p>
    <w:p w14:paraId="188CDD1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福建省福州环境监测中心站拟对金鸡山环保大楼部分区域消防系统升级改造项目进行报价邀请，本着公平、公正、公开的原则，诚邀符合资质的供应商参与本项目。</w:t>
      </w:r>
    </w:p>
    <w:p w14:paraId="1F8A21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凡有意参与本项目的供应商，请于2026 年8月15日18:00前提交报价及相关资格审查材料，逾期报名或资料不全不予受理。</w:t>
      </w:r>
    </w:p>
    <w:p w14:paraId="3CBEFF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邮寄地址：福州市晋安区金鸡山路32号 福建省福州环境监测中心站</w:t>
      </w:r>
    </w:p>
    <w:p w14:paraId="5B61257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联系人与联系电话：</w:t>
      </w:r>
      <w:r>
        <w:rPr>
          <w:rFonts w:hint="eastAsia" w:ascii="仿宋_GB2312" w:hAnsi="仿宋_GB2312" w:eastAsia="仿宋_GB2312" w:cs="仿宋_GB2312"/>
          <w:color w:val="auto"/>
          <w:sz w:val="32"/>
          <w:szCs w:val="32"/>
          <w:lang w:val="en-US" w:eastAsia="zh-CN"/>
        </w:rPr>
        <w:t>黄哲帆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19012927648</w:t>
      </w:r>
      <w:r>
        <w:rPr>
          <w:rFonts w:hint="eastAsia" w:ascii="仿宋_GB2312" w:hAnsi="仿宋_GB2312" w:eastAsia="仿宋_GB2312" w:cs="仿宋_GB2312"/>
          <w:color w:val="auto"/>
          <w:sz w:val="32"/>
          <w:szCs w:val="32"/>
          <w:lang w:eastAsia="zh-CN"/>
        </w:rPr>
        <w:t>。</w:t>
      </w:r>
    </w:p>
    <w:p w14:paraId="2E267F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p>
    <w:p w14:paraId="0397684A">
      <w:pPr>
        <w:spacing w:line="360" w:lineRule="auto"/>
        <w:ind w:firstLine="560"/>
        <w:rPr>
          <w:rFonts w:cs="Times New Roman"/>
          <w:color w:val="auto"/>
        </w:rPr>
      </w:pPr>
    </w:p>
    <w:p w14:paraId="1AB6B26A">
      <w:pPr>
        <w:spacing w:line="360" w:lineRule="auto"/>
        <w:ind w:firstLine="560"/>
        <w:rPr>
          <w:rFonts w:cs="Times New Roman"/>
          <w:color w:val="auto"/>
        </w:rPr>
      </w:pPr>
    </w:p>
    <w:p w14:paraId="7E9BBA56">
      <w:pPr>
        <w:spacing w:line="360" w:lineRule="auto"/>
        <w:ind w:firstLine="560"/>
        <w:rPr>
          <w:rFonts w:cs="Times New Roman"/>
          <w:color w:val="auto"/>
        </w:rPr>
      </w:pPr>
    </w:p>
    <w:p w14:paraId="01B97381">
      <w:pPr>
        <w:spacing w:line="360" w:lineRule="auto"/>
        <w:ind w:firstLine="560"/>
        <w:rPr>
          <w:rFonts w:cs="Times New Roman"/>
          <w:color w:val="auto"/>
        </w:rPr>
      </w:pPr>
    </w:p>
    <w:p w14:paraId="2FB692AC">
      <w:pPr>
        <w:spacing w:line="360" w:lineRule="auto"/>
        <w:ind w:firstLine="560"/>
        <w:rPr>
          <w:rFonts w:cs="Times New Roman"/>
          <w:color w:val="auto"/>
        </w:rPr>
      </w:pPr>
    </w:p>
    <w:p w14:paraId="0EBDE63D">
      <w:pPr>
        <w:spacing w:line="360" w:lineRule="auto"/>
        <w:ind w:firstLine="560"/>
        <w:rPr>
          <w:rFonts w:cs="Times New Roman"/>
          <w:color w:val="auto"/>
        </w:rPr>
      </w:pPr>
    </w:p>
    <w:p w14:paraId="726711F0">
      <w:pPr>
        <w:spacing w:line="360" w:lineRule="auto"/>
        <w:ind w:firstLine="560"/>
        <w:rPr>
          <w:rFonts w:hint="eastAsia" w:ascii="仿宋_GB2312" w:hAnsi="仿宋_GB2312" w:eastAsia="仿宋_GB2312" w:cs="仿宋_GB2312"/>
          <w:color w:val="auto"/>
          <w:sz w:val="32"/>
          <w:szCs w:val="32"/>
        </w:rPr>
      </w:pPr>
    </w:p>
    <w:p w14:paraId="44D2AD48">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福建省福州环境监测中心站</w:t>
      </w:r>
    </w:p>
    <w:p w14:paraId="6500C199">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p>
    <w:p w14:paraId="075CA47E">
      <w:pPr>
        <w:widowControl/>
        <w:jc w:val="left"/>
        <w:rPr>
          <w:rFonts w:cs="Times New Roman"/>
          <w:color w:val="auto"/>
        </w:rPr>
      </w:pPr>
      <w:r>
        <w:rPr>
          <w:rFonts w:cs="Times New Roman"/>
          <w:color w:val="auto"/>
        </w:rPr>
        <w:br w:type="page"/>
      </w:r>
    </w:p>
    <w:p w14:paraId="7EE6AE83">
      <w:pPr>
        <w:pStyle w:val="5"/>
        <w:spacing w:after="240"/>
        <w:jc w:val="center"/>
        <w:rPr>
          <w:rFonts w:cs="Times New Roman"/>
          <w:color w:val="auto"/>
        </w:rPr>
      </w:pPr>
      <w:bookmarkStart w:id="2" w:name="_Toc532916739"/>
      <w:bookmarkStart w:id="3" w:name="_Toc1074"/>
      <w:r>
        <w:rPr>
          <w:rFonts w:hint="eastAsia" w:eastAsia="宋体" w:cs="宋体"/>
          <w:color w:val="auto"/>
          <w:lang w:eastAsia="zh-CN"/>
        </w:rPr>
        <w:t>第二章</w:t>
      </w:r>
      <w:r>
        <w:rPr>
          <w:rFonts w:hint="eastAsia" w:cs="宋体"/>
          <w:color w:val="auto"/>
          <w:lang w:val="en-US" w:eastAsia="zh-CN"/>
        </w:rPr>
        <w:t xml:space="preserve"> </w:t>
      </w:r>
      <w:r>
        <w:rPr>
          <w:rFonts w:hint="eastAsia" w:cs="宋体"/>
          <w:color w:val="auto"/>
        </w:rPr>
        <w:t>供应商须知</w:t>
      </w:r>
      <w:bookmarkEnd w:id="2"/>
      <w:bookmarkEnd w:id="3"/>
    </w:p>
    <w:p w14:paraId="72FFE76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一、项目概况</w:t>
      </w:r>
    </w:p>
    <w:p w14:paraId="3739AC9C">
      <w:pPr>
        <w:keepNext w:val="0"/>
        <w:keepLines w:val="0"/>
        <w:pageBreakBefore w:val="0"/>
        <w:widowControl/>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项目名称：金鸡山环保大楼部分区域消防系统优化提升项目</w:t>
      </w:r>
    </w:p>
    <w:p w14:paraId="30A5A6AF">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项目地址：福州市晋安区金鸡山路32号</w:t>
      </w:r>
    </w:p>
    <w:p w14:paraId="2AC1FDA2">
      <w:pPr>
        <w:spacing w:line="520" w:lineRule="exact"/>
        <w:ind w:firstLine="320" w:firstLineChars="1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 xml:space="preserve">服务期限：自合同签订之日起 </w:t>
      </w:r>
      <w:r>
        <w:rPr>
          <w:rFonts w:hint="eastAsia" w:ascii="仿宋_GB2312" w:hAnsi="仿宋_GB2312" w:eastAsia="仿宋_GB2312" w:cs="仿宋_GB2312"/>
          <w:color w:val="auto"/>
          <w:sz w:val="32"/>
          <w:szCs w:val="32"/>
          <w:lang w:val="en-US" w:eastAsia="zh-CN"/>
        </w:rPr>
        <w:t>10个工作日</w:t>
      </w:r>
      <w:r>
        <w:rPr>
          <w:rFonts w:hint="eastAsia" w:ascii="仿宋_GB2312" w:hAnsi="仿宋_GB2312" w:eastAsia="仿宋_GB2312" w:cs="仿宋_GB2312"/>
          <w:color w:val="auto"/>
          <w:sz w:val="32"/>
          <w:szCs w:val="32"/>
        </w:rPr>
        <w:t>内，完成全部施工、调试并通过竣工验收</w:t>
      </w:r>
    </w:p>
    <w:p w14:paraId="18A828A5">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kern w:val="2"/>
          <w:sz w:val="32"/>
          <w:szCs w:val="32"/>
          <w:lang w:eastAsia="zh-CN"/>
        </w:rPr>
        <w:t>（四）</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rPr>
        <w:t>要求：根据现场踏勘报价情况，本项目采购价格以</w:t>
      </w:r>
      <w:r>
        <w:rPr>
          <w:rFonts w:hint="eastAsia" w:ascii="仿宋_GB2312" w:hAnsi="仿宋_GB2312" w:eastAsia="仿宋_GB2312" w:cs="仿宋_GB2312"/>
          <w:b w:val="0"/>
          <w:bCs w:val="0"/>
          <w:color w:val="auto"/>
          <w:sz w:val="32"/>
          <w:szCs w:val="32"/>
        </w:rPr>
        <w:t>33320 元</w:t>
      </w:r>
      <w:r>
        <w:rPr>
          <w:rFonts w:hint="eastAsia" w:ascii="仿宋_GB2312" w:hAnsi="仿宋_GB2312" w:eastAsia="仿宋_GB2312" w:cs="仿宋_GB2312"/>
          <w:color w:val="auto"/>
          <w:sz w:val="32"/>
          <w:szCs w:val="32"/>
        </w:rPr>
        <w:t>为上限。</w:t>
      </w:r>
    </w:p>
    <w:p w14:paraId="7F9CDC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textAlignment w:val="auto"/>
        <w:rPr>
          <w:rFonts w:hint="default" w:ascii="仿宋_GB2312" w:hAnsi="仿宋_GB2312" w:eastAsia="仿宋_GB2312" w:cs="仿宋_GB2312"/>
          <w:bCs w:val="0"/>
          <w:color w:val="auto"/>
          <w:kern w:val="2"/>
          <w:sz w:val="32"/>
          <w:szCs w:val="32"/>
          <w:lang w:val="en-US" w:eastAsia="zh-CN" w:bidi="en-US"/>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bCs w:val="0"/>
          <w:color w:val="auto"/>
          <w:kern w:val="2"/>
          <w:sz w:val="32"/>
          <w:szCs w:val="32"/>
          <w:lang w:val="en-US" w:eastAsia="zh-CN" w:bidi="en-US"/>
        </w:rPr>
        <w:t>项目概况：</w:t>
      </w:r>
    </w:p>
    <w:p w14:paraId="1B58A38E">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为保障</w:t>
      </w:r>
      <w:r>
        <w:rPr>
          <w:rFonts w:hint="eastAsia" w:ascii="仿宋_GB2312" w:hAnsi="仿宋_GB2312" w:eastAsia="仿宋_GB2312" w:cs="仿宋_GB2312"/>
          <w:color w:val="auto"/>
          <w:sz w:val="32"/>
          <w:szCs w:val="32"/>
          <w:lang w:val="en-US" w:eastAsia="zh-CN"/>
        </w:rPr>
        <w:t>金鸡山</w:t>
      </w:r>
      <w:r>
        <w:rPr>
          <w:rFonts w:hint="eastAsia" w:ascii="仿宋_GB2312" w:hAnsi="仿宋_GB2312" w:eastAsia="仿宋_GB2312" w:cs="仿宋_GB2312"/>
          <w:color w:val="auto"/>
          <w:sz w:val="32"/>
          <w:szCs w:val="32"/>
        </w:rPr>
        <w:t>环保大楼办公区域消防安全、消除设施风险、提升日常值守管理效率，拟对大楼部分区域消防系统实施优化提升工程，包含硬件升级、线路整合、设施排查校验及主机迁移四大类内容。</w:t>
      </w:r>
      <w:r>
        <w:rPr>
          <w:rFonts w:hint="eastAsia" w:ascii="仿宋_GB2312" w:hAnsi="仿宋_GB2312" w:eastAsia="仿宋_GB2312" w:cs="仿宋_GB2312"/>
          <w:color w:val="auto"/>
          <w:sz w:val="32"/>
          <w:szCs w:val="32"/>
          <w:lang w:val="en-US" w:eastAsia="zh-CN"/>
        </w:rPr>
        <w:t xml:space="preserve"> </w:t>
      </w:r>
    </w:p>
    <w:p w14:paraId="273819D6">
      <w:pPr>
        <w:keepNext w:val="0"/>
        <w:keepLines w:val="0"/>
        <w:pageBreakBefore w:val="0"/>
        <w:numPr>
          <w:ilvl w:val="0"/>
          <w:numId w:val="1"/>
        </w:numPr>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eastAsia="zh-CN"/>
        </w:rPr>
        <w:t>采购内容</w:t>
      </w:r>
      <w:r>
        <w:rPr>
          <w:rFonts w:hint="eastAsia" w:ascii="仿宋_GB2312" w:hAnsi="仿宋_GB2312" w:eastAsia="仿宋_GB2312" w:cs="仿宋_GB2312"/>
          <w:color w:val="auto"/>
          <w:sz w:val="32"/>
          <w:szCs w:val="32"/>
          <w:highlight w:val="none"/>
        </w:rPr>
        <w:t>：</w:t>
      </w:r>
    </w:p>
    <w:p w14:paraId="61CD267D">
      <w:pPr>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lang w:val="en-US" w:eastAsia="zh-CN"/>
        </w:rPr>
        <w:t xml:space="preserve">核心硬件升级更新 </w:t>
      </w:r>
      <w:r>
        <w:rPr>
          <w:rFonts w:hint="eastAsia" w:ascii="仿宋_GB2312" w:hAnsi="仿宋_GB2312" w:eastAsia="仿宋_GB2312" w:cs="仿宋_GB2312"/>
          <w:color w:val="auto"/>
          <w:sz w:val="32"/>
          <w:szCs w:val="32"/>
          <w:lang w:val="en-US" w:eastAsia="zh-CN"/>
        </w:rPr>
        <w:t>对消防联动主机、消防广播等核心硬件设备进行升级更换，提升系统运行稳定性与预警响应能力；新设备须为正规厂家合格产品，随货提供出厂合格证、检测报告等质量证明文件。</w:t>
      </w:r>
    </w:p>
    <w:p w14:paraId="75AA415F">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2.全楼层消防线路接入 </w:t>
      </w:r>
      <w:r>
        <w:rPr>
          <w:rFonts w:hint="eastAsia" w:ascii="仿宋_GB2312" w:hAnsi="仿宋_GB2312" w:eastAsia="仿宋_GB2312" w:cs="仿宋_GB2312"/>
          <w:color w:val="auto"/>
          <w:sz w:val="32"/>
          <w:szCs w:val="32"/>
          <w:lang w:val="en-US" w:eastAsia="zh-CN"/>
        </w:rPr>
        <w:t>完成一楼至七楼、九楼消防线路全面排查与系统整合接入，修复破损、老化线路，整改不规范接线，实现消防信号统一管控、管辖区域全覆盖。</w:t>
      </w:r>
    </w:p>
    <w:p w14:paraId="2CF3316E">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3.消防设施排查校验 </w:t>
      </w:r>
      <w:r>
        <w:rPr>
          <w:rFonts w:hint="eastAsia" w:ascii="仿宋_GB2312" w:hAnsi="仿宋_GB2312" w:eastAsia="仿宋_GB2312" w:cs="仿宋_GB2312"/>
          <w:color w:val="auto"/>
          <w:sz w:val="32"/>
          <w:szCs w:val="32"/>
          <w:lang w:val="en-US" w:eastAsia="zh-CN"/>
        </w:rPr>
        <w:t>对本站管辖范围内所有楼层的烟感探测器、喷淋系统、手动报警等设施进行全覆盖功能排查与测试；逐一测试烟感功能，更换故障、失效设备；开展喷淋管路检查、末端试水测试，排查漏水、堵塞、压力不足等问题并修复故障点位；所有排查、维修内容形成书面台账交付。</w:t>
      </w:r>
    </w:p>
    <w:p w14:paraId="7C8A2956">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4.主机迁移及配套施工 </w:t>
      </w:r>
      <w:r>
        <w:rPr>
          <w:rFonts w:hint="eastAsia" w:ascii="仿宋_GB2312" w:hAnsi="仿宋_GB2312" w:eastAsia="仿宋_GB2312" w:cs="仿宋_GB2312"/>
          <w:color w:val="auto"/>
          <w:sz w:val="32"/>
          <w:szCs w:val="32"/>
          <w:lang w:val="en-US" w:eastAsia="zh-CN"/>
        </w:rPr>
        <w:t>将四楼主机室整体迁移至一楼保安室，配套完成信号线路、电源线路布设及管线防护；主机迁移后完成全系统联调，确保所有信号正常接入、功能完好；同步在室外对应区域增设减速带，保障值守通道通行安全。</w:t>
      </w:r>
    </w:p>
    <w:p w14:paraId="3CA337E6">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5.维护要求 </w:t>
      </w:r>
      <w:r>
        <w:rPr>
          <w:rFonts w:hint="eastAsia" w:ascii="仿宋_GB2312" w:hAnsi="仿宋_GB2312" w:eastAsia="仿宋_GB2312" w:cs="仿宋_GB2312"/>
          <w:color w:val="auto"/>
          <w:sz w:val="32"/>
          <w:szCs w:val="32"/>
          <w:lang w:val="en-US" w:eastAsia="zh-CN"/>
        </w:rPr>
        <w:t>本次新更换的消防主机、消防广播等硬件设备，提供不少于 2 年的免费保修服务</w:t>
      </w:r>
      <w:bookmarkStart w:id="4" w:name="_GoBack"/>
      <w:r>
        <w:rPr>
          <w:rFonts w:hint="eastAsia" w:ascii="仿宋_GB2312" w:hAnsi="仿宋_GB2312" w:eastAsia="仿宋_GB2312" w:cs="仿宋_GB2312"/>
          <w:color w:val="auto"/>
          <w:sz w:val="32"/>
          <w:szCs w:val="32"/>
          <w:lang w:val="en-US" w:eastAsia="zh-CN"/>
        </w:rPr>
        <w:t>；</w:t>
      </w:r>
      <w:bookmarkEnd w:id="4"/>
      <w:r>
        <w:rPr>
          <w:rFonts w:hint="eastAsia" w:ascii="仿宋_GB2312" w:hAnsi="仿宋_GB2312" w:eastAsia="仿宋_GB2312" w:cs="仿宋_GB2312"/>
          <w:color w:val="auto"/>
          <w:sz w:val="32"/>
          <w:szCs w:val="32"/>
          <w:lang w:val="en-US" w:eastAsia="zh-CN"/>
        </w:rPr>
        <w:t>所有线路整改、烟感喷淋维修、管路修复等维修类施工内容，提供不少于 6 个月的系统维护期；系统维护期内同一部位、同一类型故障免费上门返修，接到报修 1 小时内响应、4 小时内派员到场处理。 项目所有施工及验收严格执行国家现行消防工程规范标准，施工全程落实安全防护措施，不影响大楼正常办公秩序。</w:t>
      </w:r>
      <w:r>
        <w:rPr>
          <w:rFonts w:hint="eastAsia" w:ascii="仿宋_GB2312" w:hAnsi="仿宋_GB2312" w:eastAsia="仿宋_GB2312" w:cs="仿宋_GB2312"/>
          <w:color w:val="auto"/>
          <w:sz w:val="32"/>
          <w:szCs w:val="32"/>
        </w:rPr>
        <w:t xml:space="preserve"> </w:t>
      </w:r>
    </w:p>
    <w:p w14:paraId="6B6E3D8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Times New Roman"/>
          <w:color w:val="auto"/>
          <w:sz w:val="32"/>
          <w:szCs w:val="32"/>
          <w:lang w:val="en-US" w:eastAsia="zh-CN"/>
        </w:rPr>
        <w:t>二</w:t>
      </w:r>
      <w:r>
        <w:rPr>
          <w:rFonts w:hint="eastAsia" w:ascii="黑体" w:hAnsi="黑体" w:eastAsia="黑体" w:cs="Times New Roman"/>
          <w:color w:val="auto"/>
          <w:sz w:val="32"/>
          <w:szCs w:val="32"/>
        </w:rPr>
        <w:t>、</w:t>
      </w:r>
      <w:r>
        <w:rPr>
          <w:rFonts w:hint="eastAsia" w:ascii="黑体" w:hAnsi="黑体" w:eastAsia="黑体"/>
          <w:color w:val="auto"/>
          <w:sz w:val="32"/>
          <w:szCs w:val="32"/>
        </w:rPr>
        <w:t>报价文件</w:t>
      </w:r>
    </w:p>
    <w:p w14:paraId="7B6F4FEC">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en-US"/>
        </w:rPr>
      </w:pPr>
      <w:r>
        <w:rPr>
          <w:rFonts w:hint="eastAsia" w:ascii="仿宋_GB2312" w:hAnsi="仿宋_GB2312" w:eastAsia="仿宋_GB2312" w:cs="仿宋_GB2312"/>
          <w:color w:val="auto"/>
          <w:kern w:val="2"/>
          <w:sz w:val="32"/>
          <w:szCs w:val="32"/>
          <w:lang w:eastAsia="zh-CN" w:bidi="en-US"/>
        </w:rPr>
        <w:t>（一）</w:t>
      </w:r>
      <w:r>
        <w:rPr>
          <w:rFonts w:hint="eastAsia" w:ascii="仿宋_GB2312" w:hAnsi="仿宋_GB2312" w:eastAsia="仿宋_GB2312" w:cs="仿宋_GB2312"/>
          <w:bCs w:val="0"/>
          <w:color w:val="auto"/>
          <w:kern w:val="2"/>
          <w:sz w:val="32"/>
          <w:szCs w:val="32"/>
          <w:lang w:bidi="en-US"/>
        </w:rPr>
        <w:t>单位授权书</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1）</w:t>
      </w:r>
      <w:r>
        <w:rPr>
          <w:rFonts w:hint="eastAsia" w:ascii="仿宋_GB2312" w:hAnsi="仿宋_GB2312" w:eastAsia="仿宋_GB2312" w:cs="仿宋_GB2312"/>
          <w:bCs w:val="0"/>
          <w:color w:val="auto"/>
          <w:kern w:val="2"/>
          <w:sz w:val="32"/>
          <w:szCs w:val="32"/>
          <w:lang w:bidi="en-US"/>
        </w:rPr>
        <w:t>若申请人代表为单位授权的委托代理人，应提供本授权书；若申请人代表为单位负责人，应在此项下提交其身份证正反面复印件，可不提供本授权书</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2）</w:t>
      </w:r>
      <w:r>
        <w:rPr>
          <w:rFonts w:hint="eastAsia" w:ascii="仿宋_GB2312" w:hAnsi="仿宋_GB2312" w:eastAsia="仿宋_GB2312" w:cs="仿宋_GB2312"/>
          <w:bCs w:val="0"/>
          <w:color w:val="auto"/>
          <w:kern w:val="2"/>
          <w:sz w:val="32"/>
          <w:szCs w:val="32"/>
          <w:lang w:bidi="en-US"/>
        </w:rPr>
        <w:t>申请人为自然人的，可不填写本授权书。</w:t>
      </w:r>
    </w:p>
    <w:p w14:paraId="7FFF41DB">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bidi="en-US"/>
        </w:rPr>
      </w:pPr>
      <w:r>
        <w:rPr>
          <w:rFonts w:hint="eastAsia" w:ascii="仿宋_GB2312" w:hAnsi="仿宋_GB2312" w:eastAsia="仿宋_GB2312" w:cs="仿宋_GB2312"/>
          <w:color w:val="auto"/>
          <w:kern w:val="2"/>
          <w:sz w:val="32"/>
          <w:szCs w:val="32"/>
          <w:lang w:eastAsia="zh-CN" w:bidi="en-US"/>
        </w:rPr>
        <w:t>（二）</w:t>
      </w:r>
      <w:r>
        <w:rPr>
          <w:rFonts w:hint="eastAsia" w:ascii="仿宋_GB2312" w:hAnsi="仿宋_GB2312" w:eastAsia="仿宋_GB2312" w:cs="仿宋_GB2312"/>
          <w:bCs w:val="0"/>
          <w:color w:val="auto"/>
          <w:kern w:val="2"/>
          <w:sz w:val="32"/>
          <w:szCs w:val="32"/>
          <w:lang w:bidi="en-US"/>
        </w:rPr>
        <w:t>营业执照等证明文件</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bidi="en-US"/>
        </w:rPr>
        <w:t>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7DB540C5">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eastAsia="zh-CN" w:bidi="en-US"/>
        </w:rPr>
      </w:pPr>
      <w:r>
        <w:rPr>
          <w:rFonts w:hint="eastAsia" w:ascii="仿宋_GB2312" w:hAnsi="仿宋_GB2312" w:eastAsia="仿宋_GB2312" w:cs="仿宋_GB2312"/>
          <w:bCs w:val="0"/>
          <w:color w:val="auto"/>
          <w:kern w:val="2"/>
          <w:sz w:val="32"/>
          <w:szCs w:val="32"/>
          <w:lang w:eastAsia="zh-CN" w:bidi="en-US"/>
        </w:rPr>
        <w:t>（三）</w:t>
      </w:r>
      <w:r>
        <w:rPr>
          <w:rFonts w:hint="eastAsia" w:ascii="仿宋_GB2312" w:hAnsi="仿宋_GB2312" w:eastAsia="仿宋_GB2312" w:cs="仿宋_GB2312"/>
          <w:bCs w:val="0"/>
          <w:color w:val="auto"/>
          <w:kern w:val="2"/>
          <w:sz w:val="32"/>
          <w:szCs w:val="32"/>
          <w:lang w:bidi="en-US"/>
        </w:rPr>
        <w:t>财务状况报告</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bidi="en-US"/>
        </w:rPr>
        <w:t>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34BBF60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（四）依法</w:t>
      </w:r>
      <w:r>
        <w:rPr>
          <w:rFonts w:hint="eastAsia" w:ascii="仿宋_GB2312" w:hAnsi="仿宋_GB2312" w:eastAsia="仿宋_GB2312" w:cs="仿宋_GB2312"/>
          <w:bCs w:val="0"/>
          <w:color w:val="auto"/>
          <w:sz w:val="32"/>
          <w:szCs w:val="32"/>
          <w:lang w:bidi="en-US"/>
        </w:rPr>
        <w:t>缴纳税收证明材料</w:t>
      </w:r>
      <w:r>
        <w:rPr>
          <w:rFonts w:hint="eastAsia" w:ascii="仿宋_GB2312" w:hAnsi="仿宋_GB2312" w:eastAsia="仿宋_GB2312" w:cs="仿宋_GB2312"/>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29A79E6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bidi="en-US"/>
        </w:rPr>
      </w:pPr>
      <w:r>
        <w:rPr>
          <w:rFonts w:hint="eastAsia" w:ascii="仿宋_GB2312" w:hAnsi="仿宋_GB2312" w:eastAsia="仿宋_GB2312" w:cs="仿宋_GB2312"/>
          <w:bCs w:val="0"/>
          <w:color w:val="auto"/>
          <w:sz w:val="32"/>
          <w:szCs w:val="32"/>
          <w:lang w:eastAsia="zh-CN" w:bidi="en-US"/>
        </w:rPr>
        <w:t>（五）</w:t>
      </w:r>
      <w:r>
        <w:rPr>
          <w:rFonts w:hint="eastAsia" w:ascii="仿宋_GB2312" w:hAnsi="仿宋_GB2312" w:eastAsia="仿宋_GB2312" w:cs="仿宋_GB2312"/>
          <w:bCs w:val="0"/>
          <w:color w:val="auto"/>
          <w:sz w:val="32"/>
          <w:szCs w:val="32"/>
          <w:lang w:bidi="en-US"/>
        </w:rPr>
        <w:t>依法缴纳社会保障资金证明材料</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0CD613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（六）</w:t>
      </w:r>
      <w:r>
        <w:rPr>
          <w:rFonts w:hint="eastAsia" w:ascii="仿宋_GB2312" w:hAnsi="仿宋_GB2312" w:eastAsia="仿宋_GB2312" w:cs="仿宋_GB2312"/>
          <w:bCs w:val="0"/>
          <w:color w:val="auto"/>
          <w:sz w:val="32"/>
          <w:szCs w:val="32"/>
          <w:lang w:bidi="en-US"/>
        </w:rPr>
        <w:t>参加采购活动前三年内在经营活动中没有重大违法记录的声明</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DF556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bCs w:val="0"/>
          <w:color w:val="auto"/>
          <w:sz w:val="32"/>
          <w:szCs w:val="32"/>
          <w:lang w:eastAsia="zh-CN" w:bidi="en-US"/>
        </w:rPr>
        <w:t>（七）信用记录查询结果：（</w:t>
      </w:r>
      <w:r>
        <w:rPr>
          <w:rFonts w:hint="eastAsia" w:ascii="仿宋_GB2312" w:hAnsi="仿宋_GB2312" w:eastAsia="仿宋_GB2312" w:cs="仿宋_GB2312"/>
          <w:bCs w:val="0"/>
          <w:color w:val="auto"/>
          <w:sz w:val="32"/>
          <w:szCs w:val="32"/>
          <w:lang w:val="en-US" w:eastAsia="zh-CN" w:bidi="en-US"/>
        </w:rPr>
        <w:t>1</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信用记录查询的截止时点：信用记录查询的截止时点为本项目投标截止当日。</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2</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信用记录查询渠道：信用中国（www.creditchina.gov.cn）、中国政府采购网（www.ccgp.gov.cn）。</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3</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060F5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报价材料应于202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Cs w:val="0"/>
          <w:color w:val="auto"/>
          <w:sz w:val="32"/>
          <w:szCs w:val="32"/>
          <w:lang w:bidi="en-US"/>
        </w:rPr>
        <w:t>月</w:t>
      </w:r>
      <w:r>
        <w:rPr>
          <w:rFonts w:hint="eastAsia" w:ascii="仿宋_GB2312" w:hAnsi="仿宋_GB2312" w:eastAsia="仿宋_GB2312" w:cs="仿宋_GB2312"/>
          <w:bCs w:val="0"/>
          <w:color w:val="auto"/>
          <w:sz w:val="32"/>
          <w:szCs w:val="32"/>
          <w:lang w:val="en-US" w:eastAsia="zh-CN" w:bidi="en-US"/>
        </w:rPr>
        <w:t>15</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18：00</w:t>
      </w:r>
      <w:r>
        <w:rPr>
          <w:rFonts w:hint="eastAsia" w:ascii="仿宋_GB2312" w:hAnsi="仿宋_GB2312" w:eastAsia="仿宋_GB2312" w:cs="仿宋_GB2312"/>
          <w:color w:val="auto"/>
          <w:sz w:val="32"/>
          <w:szCs w:val="32"/>
        </w:rPr>
        <w:t>时前送至福州市晋安区金鸡山路32号福建省福州环境监测中心站，逾期报名或资料不全不予受理。</w:t>
      </w:r>
    </w:p>
    <w:p w14:paraId="2A42D6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val="en-US" w:eastAsia="zh-CN"/>
        </w:rPr>
        <w:t>三</w:t>
      </w:r>
      <w:r>
        <w:rPr>
          <w:rFonts w:hint="eastAsia" w:ascii="黑体" w:hAnsi="黑体" w:eastAsia="黑体"/>
          <w:color w:val="auto"/>
          <w:sz w:val="32"/>
          <w:szCs w:val="32"/>
        </w:rPr>
        <w:t>、</w:t>
      </w:r>
      <w:r>
        <w:rPr>
          <w:rFonts w:hint="eastAsia" w:ascii="黑体" w:hAnsi="黑体" w:eastAsia="黑体" w:cs="宋体"/>
          <w:color w:val="auto"/>
          <w:kern w:val="0"/>
          <w:sz w:val="32"/>
          <w:szCs w:val="32"/>
        </w:rPr>
        <w:t>评定方式</w:t>
      </w:r>
    </w:p>
    <w:p w14:paraId="1B70498C">
      <w:pPr>
        <w:keepNext w:val="0"/>
        <w:keepLines w:val="0"/>
        <w:pageBreakBefore w:val="0"/>
        <w:widowControl w:val="0"/>
        <w:kinsoku/>
        <w:wordWrap/>
        <w:overflowPunct/>
        <w:topLinePunct w:val="0"/>
        <w:autoSpaceDE/>
        <w:autoSpaceDN/>
        <w:bidi w:val="0"/>
        <w:adjustRightInd/>
        <w:snapToGrid/>
        <w:spacing w:line="520" w:lineRule="exact"/>
        <w:ind w:firstLine="55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标工作将参照《中华人民共和国招标投标法》、《中华人民共和国招标投标法实施条例》的规定进行，按照客观、公正、审慎的原则，根据文件规定的评审程序、评标方法和评标标准进行独立评审。评标方法采用</w:t>
      </w:r>
      <w:r>
        <w:rPr>
          <w:rFonts w:hint="eastAsia" w:ascii="仿宋_GB2312" w:hAnsi="仿宋_GB2312" w:eastAsia="仿宋_GB2312" w:cs="仿宋_GB2312"/>
          <w:color w:val="auto"/>
          <w:sz w:val="32"/>
          <w:szCs w:val="32"/>
          <w:lang w:val="en-US" w:eastAsia="zh-CN"/>
        </w:rPr>
        <w:t>最低评标价法</w:t>
      </w:r>
      <w:r>
        <w:rPr>
          <w:rFonts w:hint="eastAsia" w:ascii="仿宋_GB2312" w:hAnsi="仿宋_GB2312" w:eastAsia="仿宋_GB2312" w:cs="仿宋_GB2312"/>
          <w:color w:val="auto"/>
          <w:sz w:val="32"/>
          <w:szCs w:val="32"/>
        </w:rPr>
        <w:t>。</w:t>
      </w:r>
    </w:p>
    <w:p w14:paraId="157D39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val="en-US" w:eastAsia="zh-CN"/>
        </w:rPr>
        <w:t>四</w:t>
      </w:r>
      <w:r>
        <w:rPr>
          <w:rFonts w:hint="eastAsia" w:ascii="黑体" w:hAnsi="黑体" w:eastAsia="黑体"/>
          <w:color w:val="auto"/>
          <w:sz w:val="32"/>
          <w:szCs w:val="32"/>
        </w:rPr>
        <w:t>、评审原则</w:t>
      </w:r>
    </w:p>
    <w:p w14:paraId="18258D30">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hint="eastAsia" w:ascii="仿宋_GB2312" w:hAnsi="仿宋_GB2312" w:eastAsia="仿宋_GB2312" w:cs="仿宋_GB2312"/>
          <w:strike/>
          <w:color w:val="auto"/>
          <w:sz w:val="32"/>
          <w:szCs w:val="32"/>
        </w:rPr>
      </w:pPr>
      <w:r>
        <w:rPr>
          <w:rFonts w:hint="eastAsia" w:ascii="仿宋_GB2312" w:hAnsi="仿宋_GB2312" w:eastAsia="仿宋_GB2312" w:cs="仿宋_GB2312"/>
          <w:color w:val="auto"/>
          <w:sz w:val="32"/>
          <w:szCs w:val="32"/>
        </w:rPr>
        <w:t>需要有三家及以上符合条件的</w:t>
      </w:r>
      <w:r>
        <w:rPr>
          <w:rFonts w:hint="eastAsia" w:ascii="仿宋_GB2312" w:hAnsi="仿宋_GB2312" w:eastAsia="仿宋_GB2312" w:cs="仿宋_GB2312"/>
          <w:color w:val="auto"/>
          <w:sz w:val="32"/>
          <w:szCs w:val="32"/>
          <w:lang w:eastAsia="zh-CN"/>
        </w:rPr>
        <w:t>供应商</w:t>
      </w:r>
      <w:r>
        <w:rPr>
          <w:rFonts w:hint="eastAsia" w:ascii="仿宋_GB2312" w:hAnsi="仿宋_GB2312" w:eastAsia="仿宋_GB2312" w:cs="仿宋_GB2312"/>
          <w:color w:val="auto"/>
          <w:sz w:val="32"/>
          <w:szCs w:val="32"/>
        </w:rPr>
        <w:t>，才符合评标条件，如有不足，则需要重新挂网公开询价。</w:t>
      </w:r>
    </w:p>
    <w:p w14:paraId="31CB4FF3">
      <w:pPr>
        <w:keepNext w:val="0"/>
        <w:keepLines w:val="0"/>
        <w:pageBreakBefore w:val="0"/>
        <w:widowControl w:val="0"/>
        <w:kinsoku/>
        <w:wordWrap/>
        <w:overflowPunct/>
        <w:topLinePunct w:val="0"/>
        <w:autoSpaceDE/>
        <w:autoSpaceDN/>
        <w:bidi w:val="0"/>
        <w:adjustRightInd/>
        <w:snapToGrid/>
        <w:spacing w:line="520" w:lineRule="exact"/>
        <w:ind w:firstLine="561" w:firstLineChars="0"/>
        <w:jc w:val="left"/>
        <w:textAlignment w:val="auto"/>
        <w:rPr>
          <w:rFonts w:ascii="仿宋" w:hAnsi="仿宋" w:eastAsia="仿宋"/>
          <w:color w:val="auto"/>
          <w:sz w:val="28"/>
          <w:szCs w:val="28"/>
        </w:rPr>
      </w:pPr>
      <w:r>
        <w:rPr>
          <w:rFonts w:hint="eastAsia" w:ascii="黑体" w:hAnsi="黑体" w:eastAsia="黑体"/>
          <w:color w:val="auto"/>
          <w:sz w:val="32"/>
          <w:szCs w:val="32"/>
          <w:lang w:val="en-US" w:eastAsia="zh-CN"/>
        </w:rPr>
        <w:t>五</w:t>
      </w:r>
      <w:r>
        <w:rPr>
          <w:rFonts w:hint="eastAsia" w:ascii="黑体" w:hAnsi="黑体" w:eastAsia="黑体"/>
          <w:color w:val="auto"/>
          <w:sz w:val="32"/>
          <w:szCs w:val="32"/>
        </w:rPr>
        <w:t>、评审事项</w:t>
      </w:r>
    </w:p>
    <w:p w14:paraId="53623177">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本次邀请报价本着公开、公平、公正的原则，由我站组织专家组进行评定。评审结果公示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个工作日无异议后，与我站签订</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合同（协议）。</w:t>
      </w:r>
    </w:p>
    <w:p w14:paraId="2A8417F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Times New Roman"/>
          <w:color w:val="auto"/>
          <w:sz w:val="32"/>
          <w:szCs w:val="32"/>
          <w:lang w:val="en-US" w:eastAsia="zh-CN"/>
        </w:rPr>
      </w:pPr>
      <w:r>
        <w:rPr>
          <w:rFonts w:hint="eastAsia" w:ascii="黑体" w:hAnsi="黑体" w:eastAsia="黑体" w:cs="Times New Roman"/>
          <w:color w:val="auto"/>
          <w:sz w:val="32"/>
          <w:szCs w:val="32"/>
          <w:lang w:val="en-US" w:eastAsia="zh-CN"/>
        </w:rPr>
        <w:t>六、结算方式：</w:t>
      </w:r>
    </w:p>
    <w:p w14:paraId="7A6E9EF5">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1.中标价为技术服务费用总额。</w:t>
      </w:r>
    </w:p>
    <w:p w14:paraId="544B394D">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付款以转账方式支付，</w:t>
      </w:r>
      <w:r>
        <w:rPr>
          <w:rFonts w:hint="eastAsia" w:ascii="仿宋_GB2312" w:hAnsi="仿宋_GB2312" w:eastAsia="仿宋_GB2312" w:cs="仿宋_GB2312"/>
          <w:b w:val="0"/>
          <w:bCs w:val="0"/>
          <w:color w:val="auto"/>
          <w:sz w:val="32"/>
          <w:szCs w:val="32"/>
          <w:highlight w:val="none"/>
          <w:lang w:val="en-US" w:eastAsia="zh-CN"/>
        </w:rPr>
        <w:t>中标</w:t>
      </w:r>
      <w:r>
        <w:rPr>
          <w:rFonts w:hint="eastAsia" w:ascii="仿宋_GB2312" w:hAnsi="仿宋_GB2312" w:eastAsia="仿宋_GB2312" w:cs="仿宋_GB2312"/>
          <w:b w:val="0"/>
          <w:bCs w:val="0"/>
          <w:color w:val="auto"/>
          <w:sz w:val="32"/>
          <w:szCs w:val="32"/>
          <w:highlight w:val="none"/>
        </w:rPr>
        <w:t>方必须提供正规的发票（普票）。</w:t>
      </w:r>
    </w:p>
    <w:p w14:paraId="19D76020">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eastAsia="仿宋_GB2312" w:cs="仿宋_GB2312"/>
          <w:b w:val="0"/>
          <w:bCs w:val="0"/>
          <w:color w:val="auto"/>
          <w:sz w:val="32"/>
          <w:szCs w:val="32"/>
          <w:highlight w:val="none"/>
        </w:rPr>
        <w:t>验收合格，中标方出具全额正式发票后 10 个工作日内，采购方向中标方支付合同总额的 100%。</w:t>
      </w:r>
    </w:p>
    <w:p w14:paraId="780F88B3">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验收产生的相关费用由中标方承担。</w:t>
      </w:r>
    </w:p>
    <w:p w14:paraId="555DE9E4">
      <w:pPr>
        <w:pStyle w:val="2"/>
      </w:pPr>
    </w:p>
    <w:p w14:paraId="4B3B16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rPr>
        <w:t>本次评审福建省福州环境监测中心站保留最终解释权。</w:t>
      </w:r>
    </w:p>
    <w:p w14:paraId="5A599414">
      <w:pPr>
        <w:pStyle w:val="8"/>
        <w:bidi w:val="0"/>
        <w:spacing w:after="0" w:line="400" w:lineRule="exact"/>
        <w:ind w:firstLine="0" w:firstLineChars="0"/>
        <w:jc w:val="left"/>
        <w:rPr>
          <w:rFonts w:ascii="宋体" w:hAnsi="宋体" w:eastAsia="宋体" w:cs="宋体"/>
          <w:b/>
          <w:bCs/>
          <w:sz w:val="24"/>
          <w:szCs w:val="24"/>
        </w:rPr>
      </w:pPr>
      <w:r>
        <w:rPr>
          <w:rFonts w:ascii="宋体" w:hAnsi="宋体" w:eastAsia="宋体" w:cs="宋体"/>
          <w:b/>
          <w:bCs/>
          <w:sz w:val="32"/>
          <w:szCs w:val="32"/>
        </w:rPr>
        <w:t>附件</w:t>
      </w:r>
    </w:p>
    <w:p w14:paraId="13D460B1">
      <w:pPr>
        <w:pStyle w:val="8"/>
        <w:bidi w:val="0"/>
        <w:spacing w:after="0" w:line="400" w:lineRule="exact"/>
        <w:ind w:firstLine="0" w:firstLineChars="0"/>
        <w:jc w:val="both"/>
        <w:rPr>
          <w:rFonts w:ascii="宋体" w:hAnsi="宋体" w:eastAsia="宋体" w:cs="宋体"/>
          <w:b/>
          <w:bCs/>
          <w:sz w:val="30"/>
          <w:szCs w:val="30"/>
        </w:rPr>
      </w:pPr>
    </w:p>
    <w:p w14:paraId="6D6AC598">
      <w:pPr>
        <w:pStyle w:val="8"/>
        <w:bidi w:val="0"/>
        <w:spacing w:after="0" w:line="400" w:lineRule="exact"/>
        <w:ind w:firstLine="0" w:firstLineChars="0"/>
        <w:jc w:val="center"/>
        <w:rPr>
          <w:rFonts w:hint="eastAsia" w:ascii="黑体" w:hAnsi="黑体" w:eastAsia="黑体" w:cs="Calibri"/>
          <w:b w:val="0"/>
          <w:bCs w:val="0"/>
          <w:color w:val="auto"/>
          <w:sz w:val="36"/>
          <w:szCs w:val="36"/>
        </w:rPr>
      </w:pPr>
      <w:r>
        <w:rPr>
          <w:rFonts w:hint="eastAsia" w:ascii="黑体" w:hAnsi="黑体" w:eastAsia="黑体" w:cs="Calibri"/>
          <w:b w:val="0"/>
          <w:bCs w:val="0"/>
          <w:color w:val="auto"/>
          <w:sz w:val="36"/>
          <w:szCs w:val="36"/>
        </w:rPr>
        <w:t>金鸡山环保大楼部分区域消防系统优化提升项目详细施工清单</w:t>
      </w:r>
    </w:p>
    <w:p w14:paraId="25DD7753">
      <w:pPr>
        <w:pStyle w:val="8"/>
        <w:bidi w:val="0"/>
        <w:spacing w:after="0" w:line="400" w:lineRule="exact"/>
        <w:ind w:firstLine="420" w:firstLineChars="0"/>
        <w:rPr>
          <w:rFonts w:hint="eastAsia" w:ascii="黑体" w:hAnsi="黑体" w:eastAsia="黑体" w:cs="Calibri"/>
          <w:color w:val="auto"/>
          <w:sz w:val="32"/>
          <w:szCs w:val="32"/>
          <w:lang w:val="en-US" w:eastAsia="zh-CN"/>
        </w:rPr>
      </w:pPr>
    </w:p>
    <w:p w14:paraId="6988BF58">
      <w:pPr>
        <w:pStyle w:val="8"/>
        <w:bidi w:val="0"/>
        <w:spacing w:after="0" w:line="400" w:lineRule="exact"/>
        <w:ind w:firstLine="420" w:firstLineChars="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此次提升项目</w:t>
      </w:r>
      <w:r>
        <w:rPr>
          <w:rFonts w:hint="eastAsia" w:ascii="仿宋_GB2312" w:hAnsi="仿宋_GB2312" w:eastAsia="仿宋_GB2312" w:cs="仿宋_GB2312"/>
          <w:color w:val="auto"/>
          <w:sz w:val="32"/>
          <w:szCs w:val="32"/>
          <w:highlight w:val="none"/>
        </w:rPr>
        <w:t>覆盖</w:t>
      </w:r>
      <w:r>
        <w:rPr>
          <w:rFonts w:hint="eastAsia" w:ascii="仿宋_GB2312" w:hAnsi="仿宋_GB2312" w:eastAsia="仿宋_GB2312" w:cs="仿宋_GB2312"/>
          <w:color w:val="auto"/>
          <w:sz w:val="32"/>
          <w:szCs w:val="32"/>
          <w:highlight w:val="none"/>
          <w:lang w:val="en-US" w:eastAsia="zh-CN"/>
        </w:rPr>
        <w:t>但不限于包括</w:t>
      </w:r>
      <w:r>
        <w:rPr>
          <w:rFonts w:hint="eastAsia" w:ascii="仿宋_GB2312" w:hAnsi="仿宋_GB2312" w:eastAsia="仿宋_GB2312" w:cs="仿宋_GB2312"/>
          <w:color w:val="auto"/>
          <w:sz w:val="32"/>
          <w:szCs w:val="32"/>
          <w:highlight w:val="none"/>
        </w:rPr>
        <w:t>硬件升级、线路整合、设施校验、主机迁移、系统调试</w:t>
      </w:r>
      <w:r>
        <w:rPr>
          <w:rFonts w:hint="eastAsia" w:ascii="仿宋_GB2312" w:hAnsi="仿宋_GB2312" w:eastAsia="仿宋_GB2312" w:cs="仿宋_GB2312"/>
          <w:color w:val="auto"/>
          <w:sz w:val="32"/>
          <w:szCs w:val="32"/>
          <w:highlight w:val="none"/>
          <w:lang w:val="en-US" w:eastAsia="zh-CN"/>
        </w:rPr>
        <w:t>等具体优化项目</w:t>
      </w:r>
      <w:r>
        <w:rPr>
          <w:rFonts w:hint="eastAsia" w:ascii="仿宋_GB2312" w:hAnsi="仿宋_GB2312" w:eastAsia="仿宋_GB2312" w:cs="仿宋_GB2312"/>
          <w:color w:val="auto"/>
          <w:sz w:val="32"/>
          <w:szCs w:val="32"/>
          <w:highlight w:val="none"/>
        </w:rPr>
        <w:t>，明细</w:t>
      </w:r>
      <w:r>
        <w:rPr>
          <w:rFonts w:hint="eastAsia" w:ascii="仿宋_GB2312" w:hAnsi="仿宋_GB2312" w:eastAsia="仿宋_GB2312" w:cs="仿宋_GB2312"/>
          <w:color w:val="auto"/>
          <w:sz w:val="32"/>
          <w:szCs w:val="32"/>
          <w:highlight w:val="none"/>
          <w:lang w:val="en-US" w:eastAsia="zh-CN"/>
        </w:rPr>
        <w:t>清单如下</w:t>
      </w:r>
      <w:r>
        <w:rPr>
          <w:rFonts w:hint="eastAsia" w:ascii="仿宋_GB2312" w:hAnsi="仿宋_GB2312" w:eastAsia="仿宋_GB2312" w:cs="仿宋_GB2312"/>
          <w:color w:val="auto"/>
          <w:sz w:val="32"/>
          <w:szCs w:val="32"/>
          <w:highlight w:val="none"/>
        </w:rPr>
        <w:t>。</w:t>
      </w:r>
    </w:p>
    <w:p w14:paraId="711F7033">
      <w:pPr>
        <w:pStyle w:val="8"/>
        <w:bidi w:val="0"/>
        <w:spacing w:after="0" w:line="400" w:lineRule="exact"/>
        <w:ind w:firstLine="420" w:firstLineChars="0"/>
        <w:rPr>
          <w:rFonts w:hint="eastAsia" w:ascii="仿宋_GB2312" w:hAnsi="仿宋_GB2312" w:eastAsia="仿宋_GB2312" w:cs="仿宋_GB2312"/>
          <w:color w:val="auto"/>
          <w:sz w:val="32"/>
          <w:szCs w:val="32"/>
          <w:highlight w:val="none"/>
        </w:rPr>
      </w:pPr>
    </w:p>
    <w:p w14:paraId="11335C25">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核心硬件升级更换类</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35"/>
        <w:gridCol w:w="1442"/>
        <w:gridCol w:w="1907"/>
        <w:gridCol w:w="900"/>
        <w:gridCol w:w="905"/>
        <w:gridCol w:w="3903"/>
      </w:tblGrid>
      <w:tr w14:paraId="1774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Header/>
        </w:trPr>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3BC02A4">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D7D7B11">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设备名称</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4B72B0D">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规格参数</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B00597">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DE57A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CD0AA1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77A6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63C5BE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EAF48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火灾报警联动控制器</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6BBA2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壁挂式，3 回路</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7AA897">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台</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DB169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45C93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替换原有老旧主机，实现全楼层消防信号统一管控；设备提供 2 年免费保修</w:t>
            </w:r>
          </w:p>
        </w:tc>
      </w:tr>
      <w:tr w14:paraId="0499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27C90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C38C2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消防广播配套主机</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52D8F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HJ-9402-120BA</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CE13A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套</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98E44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2A53E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配套主机升级，完善应急广播预警功能；设备提供 2 年免费保修</w:t>
            </w:r>
          </w:p>
        </w:tc>
      </w:tr>
      <w:tr w14:paraId="4FA4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0EBAF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92144B">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蓄电池</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A97818B">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与主机配套</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F3FBC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只</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CABF4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37B5573">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tc>
      </w:tr>
      <w:tr w14:paraId="49F4C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DF6D8D">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850E082">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消防电话</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655AD8">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与主机配套</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38EB92A">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套</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C1A7940">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38EB24">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tc>
      </w:tr>
    </w:tbl>
    <w:p w14:paraId="3EEAFD35">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全楼层消防线路排查与系统接入</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58"/>
        <w:gridCol w:w="1537"/>
        <w:gridCol w:w="1761"/>
        <w:gridCol w:w="894"/>
        <w:gridCol w:w="932"/>
        <w:gridCol w:w="3910"/>
      </w:tblGrid>
      <w:tr w14:paraId="46F08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548310">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8ED980C">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服务项目</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FE39A6B">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覆盖楼层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0C8418">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EBDC93">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81E9F3">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工作内容说明</w:t>
            </w:r>
          </w:p>
        </w:tc>
      </w:tr>
      <w:tr w14:paraId="761A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10A16B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1</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16D0FC">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线路排查及系统接入、设备维修</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DFFCC91">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1-7 层、9层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1083D6A">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层</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32C009E">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8</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1022357">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1.线路故障排查、线路梳理规整、信号接入主机，含人工及辅材；</w:t>
            </w:r>
          </w:p>
          <w:p w14:paraId="2CFBBAA2">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2.逐点测试烟感探测功能，修复故障点位、更换失效部件，确保预警正常；</w:t>
            </w:r>
          </w:p>
          <w:p w14:paraId="6E5660C1">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3.喷淋管网、阀件、末端试水装置全覆盖检查，排查渗漏、卡阻故障并修复；</w:t>
            </w:r>
          </w:p>
          <w:p w14:paraId="0711DD3D">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4.针对排查发现的损坏消防部件进行更换维修，施工内容提供 6 个月系统维护</w:t>
            </w:r>
          </w:p>
          <w:p w14:paraId="37A743C9">
            <w:pPr>
              <w:widowControl/>
              <w:numPr>
                <w:ilvl w:val="-1"/>
                <w:numId w:val="0"/>
              </w:numPr>
              <w:jc w:val="left"/>
              <w:rPr>
                <w:rFonts w:hint="eastAsia" w:ascii="仿宋_GB2312" w:hAnsi="仿宋_GB2312" w:eastAsia="仿宋_GB2312" w:cs="仿宋_GB2312"/>
                <w:color w:val="auto"/>
                <w:sz w:val="32"/>
                <w:szCs w:val="32"/>
                <w:highlight w:val="none"/>
              </w:rPr>
            </w:pPr>
          </w:p>
        </w:tc>
      </w:tr>
      <w:tr w14:paraId="4155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927702">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EEA666">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多线水泵控制</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B524E4E">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1-7 层、9层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131DCC">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组</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5423FA">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D0A25E3">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针对水泵系统进行排查检修</w:t>
            </w:r>
          </w:p>
          <w:p w14:paraId="7C6C7FBE">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p w14:paraId="6CE50FA5">
            <w:pPr>
              <w:pStyle w:val="2"/>
              <w:rPr>
                <w:rFonts w:hint="eastAsia" w:ascii="仿宋_GB2312" w:hAnsi="仿宋_GB2312" w:eastAsia="仿宋_GB2312" w:cs="仿宋_GB2312"/>
                <w:color w:val="auto"/>
                <w:kern w:val="2"/>
                <w:sz w:val="32"/>
                <w:szCs w:val="32"/>
                <w:highlight w:val="none"/>
                <w:lang w:val="en-US" w:eastAsia="zh-CN" w:bidi="ar-SA"/>
              </w:rPr>
            </w:pPr>
          </w:p>
          <w:p w14:paraId="6B63A64B">
            <w:pPr>
              <w:pStyle w:val="2"/>
              <w:rPr>
                <w:rFonts w:hint="eastAsia" w:ascii="仿宋_GB2312" w:hAnsi="仿宋_GB2312" w:eastAsia="仿宋_GB2312" w:cs="仿宋_GB2312"/>
                <w:color w:val="auto"/>
                <w:kern w:val="2"/>
                <w:sz w:val="32"/>
                <w:szCs w:val="32"/>
                <w:highlight w:val="none"/>
                <w:lang w:val="en-US" w:eastAsia="zh-CN" w:bidi="ar-SA"/>
              </w:rPr>
            </w:pPr>
          </w:p>
          <w:p w14:paraId="1B3550C6">
            <w:pPr>
              <w:pStyle w:val="2"/>
              <w:rPr>
                <w:rFonts w:hint="eastAsia" w:ascii="仿宋_GB2312" w:hAnsi="仿宋_GB2312" w:eastAsia="仿宋_GB2312" w:cs="仿宋_GB2312"/>
                <w:color w:val="auto"/>
                <w:kern w:val="2"/>
                <w:sz w:val="32"/>
                <w:szCs w:val="32"/>
                <w:highlight w:val="none"/>
                <w:lang w:val="en-US" w:eastAsia="zh-CN" w:bidi="ar-SA"/>
              </w:rPr>
            </w:pPr>
          </w:p>
        </w:tc>
      </w:tr>
    </w:tbl>
    <w:p w14:paraId="3FA2A86C">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主机迁移及配套施工</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1"/>
        <w:gridCol w:w="1536"/>
        <w:gridCol w:w="1838"/>
        <w:gridCol w:w="878"/>
        <w:gridCol w:w="922"/>
        <w:gridCol w:w="3877"/>
      </w:tblGrid>
      <w:tr w14:paraId="49E3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68535F">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9B729AC">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施工项目</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A717B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施工内容</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EC764D">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BB2A350">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A93EE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4FE41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0B4E1FF">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C835C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消防主机整体迁移</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F733D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由四楼主机室搬迁至一楼保安室，含主机拆装、固定、端接</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79E29B">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B3A48C">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FFAF1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优化值守管理流程，迁移过程做好设备防护</w:t>
            </w:r>
          </w:p>
        </w:tc>
      </w:tr>
      <w:tr w14:paraId="5FFA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0EFFF1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E1A8B0C">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迁移配套管线布设防护</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8FB8F7">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新增减速带，含迁移路径线路布设、穿管防护、标识整理等</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D402DF">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90D925">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569D5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含全部管线材料、人工施工</w:t>
            </w:r>
          </w:p>
        </w:tc>
      </w:tr>
    </w:tbl>
    <w:p w14:paraId="5612CAD4">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2DAB4374">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3C2FB39C">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47D8AD12">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系统调试与</w:t>
      </w:r>
      <w:r>
        <w:rPr>
          <w:rFonts w:hint="eastAsia" w:ascii="仿宋_GB2312" w:hAnsi="仿宋_GB2312" w:eastAsia="仿宋_GB2312" w:cs="仿宋_GB2312"/>
          <w:b/>
          <w:bCs/>
          <w:color w:val="auto"/>
          <w:sz w:val="32"/>
          <w:szCs w:val="32"/>
          <w:highlight w:val="none"/>
          <w:lang w:val="en-US" w:eastAsia="zh-CN"/>
        </w:rPr>
        <w:t>维护</w:t>
      </w:r>
      <w:r>
        <w:rPr>
          <w:rFonts w:hint="eastAsia" w:ascii="仿宋_GB2312" w:hAnsi="仿宋_GB2312" w:eastAsia="仿宋_GB2312" w:cs="仿宋_GB2312"/>
          <w:b/>
          <w:bCs/>
          <w:color w:val="auto"/>
          <w:sz w:val="32"/>
          <w:szCs w:val="32"/>
          <w:highlight w:val="none"/>
        </w:rPr>
        <w:t>服务</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16"/>
        <w:gridCol w:w="1563"/>
        <w:gridCol w:w="1865"/>
        <w:gridCol w:w="848"/>
        <w:gridCol w:w="936"/>
        <w:gridCol w:w="3864"/>
      </w:tblGrid>
      <w:tr w14:paraId="6AF1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A8B55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CE2918">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项目名称</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CC421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内容说明</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D108A5">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419786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F253F2">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264A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496E8A">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EF184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火灾报警系统整体调试</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8A0ACB">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报警系统、广播电话等全系统联动测试、参数配置、功能校验，确保符合消防规范</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C13881">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EC7291">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823E00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含调试人工及耗材</w:t>
            </w:r>
          </w:p>
        </w:tc>
      </w:tr>
      <w:tr w14:paraId="18CD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F7B8F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042602">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维护</w:t>
            </w:r>
            <w:r>
              <w:rPr>
                <w:rFonts w:hint="eastAsia" w:ascii="仿宋_GB2312" w:hAnsi="仿宋_GB2312" w:eastAsia="仿宋_GB2312" w:cs="仿宋_GB2312"/>
                <w:color w:val="auto"/>
                <w:kern w:val="2"/>
                <w:sz w:val="32"/>
                <w:szCs w:val="32"/>
                <w:highlight w:val="none"/>
                <w:lang w:val="en-US" w:eastAsia="zh-CN" w:bidi="ar-SA"/>
              </w:rPr>
              <w:t>服务</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93548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新换硬件设备提供 2 年免费保修；所有施工整改类内容提供不少于 6 个月系统维护期</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2D7A5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628C2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16EF4E">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质保期内同一部位、同一故障免费上门返修</w:t>
            </w:r>
          </w:p>
        </w:tc>
      </w:tr>
    </w:tbl>
    <w:p w14:paraId="3400B6FA">
      <w:pPr>
        <w:pStyle w:val="10"/>
        <w:numPr>
          <w:ilvl w:val="-1"/>
          <w:numId w:val="0"/>
        </w:numPr>
        <w:rPr>
          <w:rFonts w:hint="eastAsia" w:ascii="仿宋_GB2312" w:hAnsi="仿宋_GB2312" w:eastAsia="仿宋_GB2312" w:cs="仿宋_GB2312"/>
          <w:color w:val="auto"/>
          <w:sz w:val="32"/>
          <w:szCs w:val="32"/>
          <w:highlight w:val="none"/>
          <w:lang w:val="en-US" w:eastAsia="zh-CN"/>
        </w:rPr>
      </w:pPr>
    </w:p>
    <w:sectPr>
      <w:footerReference r:id="rId3" w:type="default"/>
      <w:pgSz w:w="11906" w:h="16838"/>
      <w:pgMar w:top="1304" w:right="1077" w:bottom="1304" w:left="1077"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F0A7">
    <w:pPr>
      <w:pStyle w:val="12"/>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31192">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31192">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8A759"/>
    <w:multiLevelType w:val="singleLevel"/>
    <w:tmpl w:val="E818A759"/>
    <w:lvl w:ilvl="0" w:tentative="0">
      <w:start w:val="6"/>
      <w:numFmt w:val="chineseCounting"/>
      <w:suff w:val="nothing"/>
      <w:lvlText w:val="（%1）"/>
      <w:lvlJc w:val="left"/>
      <w:rPr>
        <w:rFonts w:hint="eastAsia"/>
      </w:rPr>
    </w:lvl>
  </w:abstractNum>
  <w:abstractNum w:abstractNumId="1">
    <w:nsid w:val="1359D334"/>
    <w:multiLevelType w:val="singleLevel"/>
    <w:tmpl w:val="1359D334"/>
    <w:lvl w:ilvl="0" w:tentative="0">
      <w:start w:val="1"/>
      <w:numFmt w:val="chineseCounting"/>
      <w:suff w:val="nothing"/>
      <w:lvlText w:val="%1、"/>
      <w:lvlJc w:val="left"/>
      <w:rPr>
        <w:rFonts w:hint="eastAsia"/>
      </w:rPr>
    </w:lvl>
  </w:abstractNum>
  <w:abstractNum w:abstractNumId="2">
    <w:nsid w:val="5EFD0ACB"/>
    <w:multiLevelType w:val="singleLevel"/>
    <w:tmpl w:val="5EFD0ACB"/>
    <w:lvl w:ilvl="0" w:tentative="0">
      <w:start w:val="7"/>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ZjBmODQ1MjhiMTExYmUxNTdmMGQ3NmQzZmNhNTE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92EA5"/>
    <w:rsid w:val="002A4499"/>
    <w:rsid w:val="002B4DBF"/>
    <w:rsid w:val="002B5669"/>
    <w:rsid w:val="002D6A4A"/>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730E"/>
    <w:rsid w:val="00682FA7"/>
    <w:rsid w:val="006838C7"/>
    <w:rsid w:val="006B1596"/>
    <w:rsid w:val="006B5E53"/>
    <w:rsid w:val="006D6995"/>
    <w:rsid w:val="00712A1C"/>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52A15"/>
    <w:rsid w:val="009534D4"/>
    <w:rsid w:val="0097276E"/>
    <w:rsid w:val="009847CC"/>
    <w:rsid w:val="0099694E"/>
    <w:rsid w:val="009A083A"/>
    <w:rsid w:val="009B203A"/>
    <w:rsid w:val="009B34FF"/>
    <w:rsid w:val="009B45D3"/>
    <w:rsid w:val="009C5E8D"/>
    <w:rsid w:val="009E2B12"/>
    <w:rsid w:val="00A061E2"/>
    <w:rsid w:val="00A3197A"/>
    <w:rsid w:val="00A33C14"/>
    <w:rsid w:val="00A44E4F"/>
    <w:rsid w:val="00A671CF"/>
    <w:rsid w:val="00A73314"/>
    <w:rsid w:val="00A843F1"/>
    <w:rsid w:val="00A962E2"/>
    <w:rsid w:val="00AD1432"/>
    <w:rsid w:val="00B032C1"/>
    <w:rsid w:val="00B044B2"/>
    <w:rsid w:val="00B12419"/>
    <w:rsid w:val="00B136D8"/>
    <w:rsid w:val="00B22BA8"/>
    <w:rsid w:val="00B433F2"/>
    <w:rsid w:val="00B46F33"/>
    <w:rsid w:val="00B5027B"/>
    <w:rsid w:val="00B5292F"/>
    <w:rsid w:val="00B667C1"/>
    <w:rsid w:val="00B91B2C"/>
    <w:rsid w:val="00B953F7"/>
    <w:rsid w:val="00BB66C7"/>
    <w:rsid w:val="00BB6FEB"/>
    <w:rsid w:val="00BC7439"/>
    <w:rsid w:val="00BF1D42"/>
    <w:rsid w:val="00BF2FD8"/>
    <w:rsid w:val="00BF50BC"/>
    <w:rsid w:val="00BF7423"/>
    <w:rsid w:val="00BF7865"/>
    <w:rsid w:val="00BF7F61"/>
    <w:rsid w:val="00C0663F"/>
    <w:rsid w:val="00C2742D"/>
    <w:rsid w:val="00C304C1"/>
    <w:rsid w:val="00C37FE2"/>
    <w:rsid w:val="00C42E12"/>
    <w:rsid w:val="00C9032A"/>
    <w:rsid w:val="00CC0410"/>
    <w:rsid w:val="00CC2DC5"/>
    <w:rsid w:val="00CC6110"/>
    <w:rsid w:val="00CE144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6A05"/>
    <w:rsid w:val="00F62647"/>
    <w:rsid w:val="00F90BB4"/>
    <w:rsid w:val="00FA0A40"/>
    <w:rsid w:val="00FA4EAA"/>
    <w:rsid w:val="00FB2300"/>
    <w:rsid w:val="00FD2C98"/>
    <w:rsid w:val="00FD4D85"/>
    <w:rsid w:val="00FD68B5"/>
    <w:rsid w:val="00FD6BC7"/>
    <w:rsid w:val="00FD72A0"/>
    <w:rsid w:val="00FE787E"/>
    <w:rsid w:val="00FF6914"/>
    <w:rsid w:val="01D50DF3"/>
    <w:rsid w:val="031549BF"/>
    <w:rsid w:val="033620A3"/>
    <w:rsid w:val="048767D9"/>
    <w:rsid w:val="05553A5A"/>
    <w:rsid w:val="06696291"/>
    <w:rsid w:val="06C91876"/>
    <w:rsid w:val="07276C20"/>
    <w:rsid w:val="087376BF"/>
    <w:rsid w:val="08B01862"/>
    <w:rsid w:val="08E60F4F"/>
    <w:rsid w:val="0B0A7334"/>
    <w:rsid w:val="0DBA21C7"/>
    <w:rsid w:val="0E2A1FC8"/>
    <w:rsid w:val="0EF51C93"/>
    <w:rsid w:val="0F947355"/>
    <w:rsid w:val="11244CC1"/>
    <w:rsid w:val="116E59CF"/>
    <w:rsid w:val="11B91D09"/>
    <w:rsid w:val="11F02A21"/>
    <w:rsid w:val="120E4A90"/>
    <w:rsid w:val="13046E70"/>
    <w:rsid w:val="14F51F23"/>
    <w:rsid w:val="14F762BF"/>
    <w:rsid w:val="169F147C"/>
    <w:rsid w:val="16DD6871"/>
    <w:rsid w:val="17E9C556"/>
    <w:rsid w:val="18AB1F57"/>
    <w:rsid w:val="1B3F0488"/>
    <w:rsid w:val="1D0E18D2"/>
    <w:rsid w:val="1DAB12B5"/>
    <w:rsid w:val="1E7E12C1"/>
    <w:rsid w:val="1E9C51C9"/>
    <w:rsid w:val="1F3C5CAC"/>
    <w:rsid w:val="1F556970"/>
    <w:rsid w:val="1F9A4A89"/>
    <w:rsid w:val="1FE65D75"/>
    <w:rsid w:val="20FF12EB"/>
    <w:rsid w:val="219F692A"/>
    <w:rsid w:val="21E9779A"/>
    <w:rsid w:val="220B4EE8"/>
    <w:rsid w:val="222A2B00"/>
    <w:rsid w:val="23162F17"/>
    <w:rsid w:val="23D45AD0"/>
    <w:rsid w:val="23E4762E"/>
    <w:rsid w:val="241D7001"/>
    <w:rsid w:val="257B23B2"/>
    <w:rsid w:val="263816EF"/>
    <w:rsid w:val="267B55A6"/>
    <w:rsid w:val="270E1C5A"/>
    <w:rsid w:val="2768295E"/>
    <w:rsid w:val="27BE1684"/>
    <w:rsid w:val="28102202"/>
    <w:rsid w:val="285643F5"/>
    <w:rsid w:val="28720989"/>
    <w:rsid w:val="28B854E4"/>
    <w:rsid w:val="28F22A4B"/>
    <w:rsid w:val="291C5251"/>
    <w:rsid w:val="293C1356"/>
    <w:rsid w:val="29744E22"/>
    <w:rsid w:val="2A9C37B4"/>
    <w:rsid w:val="2B370188"/>
    <w:rsid w:val="2C53284A"/>
    <w:rsid w:val="2DBA14D6"/>
    <w:rsid w:val="2DF6702A"/>
    <w:rsid w:val="2E74681D"/>
    <w:rsid w:val="303E7D93"/>
    <w:rsid w:val="305F3E4B"/>
    <w:rsid w:val="30F54302"/>
    <w:rsid w:val="32694E70"/>
    <w:rsid w:val="32E423F5"/>
    <w:rsid w:val="33A372F7"/>
    <w:rsid w:val="33DB715C"/>
    <w:rsid w:val="33DFA17B"/>
    <w:rsid w:val="34DC7B6D"/>
    <w:rsid w:val="359A7496"/>
    <w:rsid w:val="36B87A13"/>
    <w:rsid w:val="391A23F1"/>
    <w:rsid w:val="3AA945C2"/>
    <w:rsid w:val="3AB21C19"/>
    <w:rsid w:val="3BB00A18"/>
    <w:rsid w:val="3D19475F"/>
    <w:rsid w:val="3D714C6E"/>
    <w:rsid w:val="3D9339FB"/>
    <w:rsid w:val="3EB54FFA"/>
    <w:rsid w:val="3EC60AB0"/>
    <w:rsid w:val="3F155525"/>
    <w:rsid w:val="40353A02"/>
    <w:rsid w:val="415E2E37"/>
    <w:rsid w:val="42B52964"/>
    <w:rsid w:val="43E07BAD"/>
    <w:rsid w:val="44C27F5C"/>
    <w:rsid w:val="47565C10"/>
    <w:rsid w:val="483819AD"/>
    <w:rsid w:val="49007959"/>
    <w:rsid w:val="49D74120"/>
    <w:rsid w:val="49E22229"/>
    <w:rsid w:val="4AB760FC"/>
    <w:rsid w:val="4ADD5ED0"/>
    <w:rsid w:val="4B0B2762"/>
    <w:rsid w:val="4B5A4ED7"/>
    <w:rsid w:val="4D212753"/>
    <w:rsid w:val="4E75016C"/>
    <w:rsid w:val="4EB42C0C"/>
    <w:rsid w:val="4FF655FE"/>
    <w:rsid w:val="4FFECD7B"/>
    <w:rsid w:val="51611D91"/>
    <w:rsid w:val="521173A7"/>
    <w:rsid w:val="524B225C"/>
    <w:rsid w:val="525056A8"/>
    <w:rsid w:val="54470F13"/>
    <w:rsid w:val="556416B9"/>
    <w:rsid w:val="55935F0E"/>
    <w:rsid w:val="56652EA1"/>
    <w:rsid w:val="57376F48"/>
    <w:rsid w:val="57776ECD"/>
    <w:rsid w:val="57944254"/>
    <w:rsid w:val="584403AC"/>
    <w:rsid w:val="589708AA"/>
    <w:rsid w:val="58F11526"/>
    <w:rsid w:val="59DB2F2A"/>
    <w:rsid w:val="5A7FCB23"/>
    <w:rsid w:val="5B6FFC13"/>
    <w:rsid w:val="5BFA4DE6"/>
    <w:rsid w:val="5D1B57A8"/>
    <w:rsid w:val="5E2A3A37"/>
    <w:rsid w:val="5E2F0EAF"/>
    <w:rsid w:val="5E571C58"/>
    <w:rsid w:val="5EF818FC"/>
    <w:rsid w:val="5F1C1075"/>
    <w:rsid w:val="5F3B2EF2"/>
    <w:rsid w:val="5FFB5910"/>
    <w:rsid w:val="611C7A48"/>
    <w:rsid w:val="63593C67"/>
    <w:rsid w:val="643F1CC1"/>
    <w:rsid w:val="64DB2183"/>
    <w:rsid w:val="654C3747"/>
    <w:rsid w:val="654F5669"/>
    <w:rsid w:val="655B5EDE"/>
    <w:rsid w:val="66297FC9"/>
    <w:rsid w:val="66505CD6"/>
    <w:rsid w:val="67834904"/>
    <w:rsid w:val="67B16712"/>
    <w:rsid w:val="68766C8C"/>
    <w:rsid w:val="68E600FD"/>
    <w:rsid w:val="6A1B68A2"/>
    <w:rsid w:val="6BAD7F15"/>
    <w:rsid w:val="6C327292"/>
    <w:rsid w:val="6D15507B"/>
    <w:rsid w:val="6D6C5A36"/>
    <w:rsid w:val="6DA4688F"/>
    <w:rsid w:val="6DCA5B51"/>
    <w:rsid w:val="6E911B5D"/>
    <w:rsid w:val="6E9D5FB0"/>
    <w:rsid w:val="6EAE5E16"/>
    <w:rsid w:val="6F779981"/>
    <w:rsid w:val="6F8A747E"/>
    <w:rsid w:val="6FDD9540"/>
    <w:rsid w:val="7111450C"/>
    <w:rsid w:val="719212EA"/>
    <w:rsid w:val="71B27028"/>
    <w:rsid w:val="724E4FA2"/>
    <w:rsid w:val="724F2181"/>
    <w:rsid w:val="73306456"/>
    <w:rsid w:val="733A3B3F"/>
    <w:rsid w:val="73E0329D"/>
    <w:rsid w:val="742F0B83"/>
    <w:rsid w:val="761B51E4"/>
    <w:rsid w:val="763243C5"/>
    <w:rsid w:val="77486B7A"/>
    <w:rsid w:val="776C441C"/>
    <w:rsid w:val="785030F6"/>
    <w:rsid w:val="78DD2BDC"/>
    <w:rsid w:val="7A453868"/>
    <w:rsid w:val="7A6B3573"/>
    <w:rsid w:val="7A733BF4"/>
    <w:rsid w:val="7ADB489D"/>
    <w:rsid w:val="7B8C08E9"/>
    <w:rsid w:val="7B924C94"/>
    <w:rsid w:val="7C005DAB"/>
    <w:rsid w:val="7C5C3815"/>
    <w:rsid w:val="7C83440F"/>
    <w:rsid w:val="7D5D1304"/>
    <w:rsid w:val="7DEB2E38"/>
    <w:rsid w:val="7DEE45D9"/>
    <w:rsid w:val="7F1D5FF4"/>
    <w:rsid w:val="7F9F3507"/>
    <w:rsid w:val="7FB25100"/>
    <w:rsid w:val="7FD3274C"/>
    <w:rsid w:val="7FDD01C8"/>
    <w:rsid w:val="7FF7E764"/>
    <w:rsid w:val="7FFED8EA"/>
    <w:rsid w:val="A35D7268"/>
    <w:rsid w:val="ABFDB2DD"/>
    <w:rsid w:val="AF3F88D9"/>
    <w:rsid w:val="C37C7144"/>
    <w:rsid w:val="DB2B7FCB"/>
    <w:rsid w:val="DBEC2491"/>
    <w:rsid w:val="DDCDD4B5"/>
    <w:rsid w:val="EE61593B"/>
    <w:rsid w:val="F1FF665D"/>
    <w:rsid w:val="F7F94560"/>
    <w:rsid w:val="FCBE9180"/>
    <w:rsid w:val="FDEB6C44"/>
    <w:rsid w:val="FEBFCBFE"/>
    <w:rsid w:val="FECFC37A"/>
    <w:rsid w:val="FF3F34B6"/>
    <w:rsid w:val="FFF72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3"/>
    <w:qFormat/>
    <w:uiPriority w:val="99"/>
    <w:pPr>
      <w:keepNext/>
      <w:keepLines/>
      <w:spacing w:before="260" w:after="260" w:line="413" w:lineRule="auto"/>
      <w:jc w:val="center"/>
      <w:outlineLvl w:val="1"/>
    </w:pPr>
    <w:rPr>
      <w:rFonts w:ascii="Arial" w:hAnsi="Arial" w:eastAsia="黑体" w:cs="Arial"/>
      <w:b/>
      <w:bCs/>
      <w:color w:val="000080"/>
      <w:sz w:val="84"/>
      <w:szCs w:val="84"/>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paragraph" w:styleId="6">
    <w:name w:val="heading 4"/>
    <w:basedOn w:val="1"/>
    <w:next w:val="1"/>
    <w:link w:val="25"/>
    <w:qFormat/>
    <w:uiPriority w:val="99"/>
    <w:pPr>
      <w:keepNext/>
      <w:keepLines/>
      <w:spacing w:before="280" w:after="290" w:line="376" w:lineRule="auto"/>
      <w:outlineLvl w:val="3"/>
    </w:pPr>
    <w:rPr>
      <w:rFonts w:ascii="Cambria" w:hAnsi="Cambria" w:cs="Cambria"/>
      <w:b/>
      <w:bCs/>
      <w:sz w:val="28"/>
      <w:szCs w:val="28"/>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7">
    <w:name w:val="Salutation"/>
    <w:basedOn w:val="1"/>
    <w:next w:val="1"/>
    <w:link w:val="26"/>
    <w:qFormat/>
    <w:uiPriority w:val="99"/>
    <w:pPr>
      <w:spacing w:afterLines="50" w:line="420" w:lineRule="exact"/>
    </w:pPr>
    <w:rPr>
      <w:rFonts w:ascii="Times New Roman" w:hAnsi="Times New Roman" w:eastAsia="仿宋_GB2312" w:cs="Times New Roman"/>
      <w:sz w:val="28"/>
      <w:szCs w:val="28"/>
    </w:rPr>
  </w:style>
  <w:style w:type="paragraph" w:styleId="8">
    <w:name w:val="Body Text"/>
    <w:basedOn w:val="1"/>
    <w:unhideWhenUsed/>
    <w:qFormat/>
    <w:uiPriority w:val="99"/>
    <w:pPr>
      <w:spacing w:after="120"/>
    </w:pPr>
  </w:style>
  <w:style w:type="paragraph" w:styleId="9">
    <w:name w:val="toc 3"/>
    <w:basedOn w:val="1"/>
    <w:next w:val="1"/>
    <w:semiHidden/>
    <w:qFormat/>
    <w:uiPriority w:val="99"/>
    <w:pPr>
      <w:spacing w:line="320" w:lineRule="exact"/>
      <w:ind w:left="600" w:leftChars="200" w:firstLine="720" w:firstLineChars="200"/>
    </w:pPr>
    <w:rPr>
      <w:rFonts w:eastAsia="隶书"/>
      <w:sz w:val="28"/>
      <w:szCs w:val="28"/>
    </w:rPr>
  </w:style>
  <w:style w:type="paragraph" w:styleId="10">
    <w:name w:val="Balloon Text"/>
    <w:basedOn w:val="1"/>
    <w:next w:val="11"/>
    <w:unhideWhenUsed/>
    <w:qFormat/>
    <w:uiPriority w:val="99"/>
    <w:pPr>
      <w:spacing w:line="240" w:lineRule="auto"/>
    </w:pPr>
    <w:rPr>
      <w:sz w:val="18"/>
      <w:szCs w:val="18"/>
    </w:rPr>
  </w:style>
  <w:style w:type="paragraph" w:customStyle="1" w:styleId="11">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link w:val="28"/>
    <w:semiHidden/>
    <w:qFormat/>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5">
    <w:name w:val="toc 2"/>
    <w:basedOn w:val="1"/>
    <w:next w:val="1"/>
    <w:semiHidden/>
    <w:qFormat/>
    <w:uiPriority w:val="99"/>
    <w:pPr>
      <w:spacing w:line="220" w:lineRule="exact"/>
      <w:ind w:firstLine="720" w:firstLineChars="200"/>
    </w:pPr>
    <w:rPr>
      <w:rFonts w:eastAsia="隶书"/>
      <w:sz w:val="24"/>
      <w:szCs w:val="24"/>
    </w:rPr>
  </w:style>
  <w:style w:type="paragraph" w:styleId="16">
    <w:name w:val="Normal (Web)"/>
    <w:basedOn w:val="1"/>
    <w:qFormat/>
    <w:uiPriority w:val="0"/>
    <w:pPr>
      <w:widowControl/>
      <w:jc w:val="left"/>
    </w:pPr>
    <w:rPr>
      <w:rFonts w:ascii="宋体" w:hAnsi="宋体" w:cs="宋体"/>
      <w:kern w:val="0"/>
      <w:sz w:val="24"/>
    </w:rPr>
  </w:style>
  <w:style w:type="table" w:styleId="18">
    <w:name w:val="Table Grid"/>
    <w:basedOn w:val="17"/>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locked/>
    <w:uiPriority w:val="0"/>
    <w:rPr>
      <w:b/>
    </w:rPr>
  </w:style>
  <w:style w:type="character" w:styleId="21">
    <w:name w:val="FollowedHyperlink"/>
    <w:basedOn w:val="19"/>
    <w:semiHidden/>
    <w:qFormat/>
    <w:uiPriority w:val="99"/>
    <w:rPr>
      <w:color w:val="800080"/>
      <w:u w:val="single"/>
    </w:rPr>
  </w:style>
  <w:style w:type="character" w:styleId="22">
    <w:name w:val="Hyperlink"/>
    <w:basedOn w:val="19"/>
    <w:qFormat/>
    <w:uiPriority w:val="99"/>
    <w:rPr>
      <w:color w:val="0000FF"/>
      <w:u w:val="single"/>
    </w:rPr>
  </w:style>
  <w:style w:type="character" w:customStyle="1" w:styleId="23">
    <w:name w:val="标题 2 Char"/>
    <w:basedOn w:val="19"/>
    <w:link w:val="4"/>
    <w:qFormat/>
    <w:locked/>
    <w:uiPriority w:val="99"/>
    <w:rPr>
      <w:rFonts w:ascii="Arial" w:hAnsi="Arial" w:eastAsia="黑体" w:cs="Arial"/>
      <w:b/>
      <w:bCs/>
      <w:color w:val="000080"/>
      <w:sz w:val="24"/>
      <w:szCs w:val="24"/>
    </w:rPr>
  </w:style>
  <w:style w:type="character" w:customStyle="1" w:styleId="24">
    <w:name w:val="标题 3 Char"/>
    <w:basedOn w:val="19"/>
    <w:link w:val="5"/>
    <w:qFormat/>
    <w:locked/>
    <w:uiPriority w:val="99"/>
    <w:rPr>
      <w:b/>
      <w:bCs/>
      <w:sz w:val="32"/>
      <w:szCs w:val="32"/>
    </w:rPr>
  </w:style>
  <w:style w:type="character" w:customStyle="1" w:styleId="25">
    <w:name w:val="标题 4 Char"/>
    <w:basedOn w:val="19"/>
    <w:link w:val="6"/>
    <w:qFormat/>
    <w:locked/>
    <w:uiPriority w:val="99"/>
    <w:rPr>
      <w:rFonts w:ascii="Cambria" w:hAnsi="Cambria" w:eastAsia="宋体" w:cs="Cambria"/>
      <w:b/>
      <w:bCs/>
      <w:sz w:val="28"/>
      <w:szCs w:val="28"/>
    </w:rPr>
  </w:style>
  <w:style w:type="character" w:customStyle="1" w:styleId="26">
    <w:name w:val="称呼 Char"/>
    <w:basedOn w:val="19"/>
    <w:link w:val="7"/>
    <w:qFormat/>
    <w:locked/>
    <w:uiPriority w:val="99"/>
    <w:rPr>
      <w:rFonts w:ascii="Times New Roman" w:hAnsi="Times New Roman" w:eastAsia="仿宋_GB2312" w:cs="Times New Roman"/>
      <w:sz w:val="24"/>
      <w:szCs w:val="24"/>
    </w:rPr>
  </w:style>
  <w:style w:type="character" w:customStyle="1" w:styleId="27">
    <w:name w:val="页脚 Char"/>
    <w:basedOn w:val="19"/>
    <w:link w:val="12"/>
    <w:qFormat/>
    <w:locked/>
    <w:uiPriority w:val="99"/>
    <w:rPr>
      <w:sz w:val="18"/>
      <w:szCs w:val="18"/>
    </w:rPr>
  </w:style>
  <w:style w:type="character" w:customStyle="1" w:styleId="28">
    <w:name w:val="页眉 Char"/>
    <w:basedOn w:val="19"/>
    <w:link w:val="13"/>
    <w:semiHidden/>
    <w:qFormat/>
    <w:locked/>
    <w:uiPriority w:val="99"/>
    <w:rPr>
      <w:sz w:val="18"/>
      <w:szCs w:val="18"/>
    </w:rPr>
  </w:style>
  <w:style w:type="paragraph" w:styleId="29">
    <w:name w:val="List Paragraph"/>
    <w:basedOn w:val="1"/>
    <w:next w:val="1"/>
    <w:qFormat/>
    <w:uiPriority w:val="99"/>
    <w:pPr>
      <w:ind w:firstLine="420" w:firstLineChars="200"/>
    </w:pPr>
  </w:style>
  <w:style w:type="paragraph" w:customStyle="1" w:styleId="3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4">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5">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6">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7">
    <w:name w:val="xl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8">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9">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0">
    <w:name w:val="xl70"/>
    <w:basedOn w:val="1"/>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41">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42">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3">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5">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6">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7">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8">
    <w:name w:val="xl78"/>
    <w:basedOn w:val="1"/>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9">
    <w:name w:val="xl7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50">
    <w:name w:val="xl8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1">
    <w:name w:val="xl81"/>
    <w:basedOn w:val="1"/>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2">
    <w:name w:val="xl82"/>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3">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3493</Words>
  <Characters>3717</Characters>
  <Lines>5</Lines>
  <Paragraphs>4</Paragraphs>
  <TotalTime>10</TotalTime>
  <ScaleCrop>false</ScaleCrop>
  <LinksUpToDate>false</LinksUpToDate>
  <CharactersWithSpaces>3804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2020-07-17T07:21:00Z</dcterms:created>
  <dc:creator>lenovo</dc:creator>
  <cp:lastModifiedBy>彩虹</cp:lastModifiedBy>
  <cp:lastPrinted>2026-03-16T09:36:00Z</cp:lastPrinted>
  <dcterms:modified xsi:type="dcterms:W3CDTF">2026-08-11T03:38:52Z</dcterms:modified>
  <dc:title>采购年度实验室试剂</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D7F0A664E3964A47837552467928D1EF_13</vt:lpwstr>
  </property>
  <property fmtid="{D5CDD505-2E9C-101B-9397-08002B2CF9AE}" pid="4" name="KSOTemplateDocerSaveRecord">
    <vt:lpwstr>eyJoZGlkIjoiMmI4NGEwYTIzNDYwZDhkNjY2MmU1ZWRjZWJjMjhlMjYiLCJ1c2VySWQiOiIzNjUzODI4MTYifQ==</vt:lpwstr>
  </property>
</Properties>
</file>