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eg" ContentType="image/jpeg"/>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spacing w:line="600" w:lineRule="auto"/>
        <w:ind w:firstLineChars="0" w:firstLine="0"/>
        <w:rPr>
          <w:rFonts w:ascii="黑体" w:eastAsia="黑体" w:hint="eastAsia"/>
          <w:sz w:val="32"/>
          <w:szCs w:val="32"/>
        </w:rPr>
      </w:pPr>
    </w:p>
    <w:p>
      <w:pPr>
        <w:spacing w:line="600" w:lineRule="auto"/>
        <w:ind w:firstLineChars="0" w:firstLine="0"/>
        <w:jc w:val="center"/>
        <w:rPr>
          <w:rFonts w:eastAsia="黑体"/>
          <w:sz w:val="48"/>
          <w:szCs w:val="48"/>
        </w:rPr>
      </w:pPr>
    </w:p>
    <w:p>
      <w:pPr>
        <w:pStyle w:val="16"/>
      </w:pPr>
    </w:p>
    <w:p>
      <w:pPr>
        <w:spacing w:line="600" w:lineRule="auto"/>
        <w:ind w:firstLineChars="0" w:firstLine="0"/>
        <w:jc w:val="center"/>
        <w:rPr>
          <w:rFonts w:eastAsia="黑体"/>
          <w:sz w:val="48"/>
          <w:szCs w:val="48"/>
        </w:rPr>
      </w:pPr>
    </w:p>
    <w:p>
      <w:pPr>
        <w:pStyle w:val="77"/>
        <w:widowControl/>
        <w:overflowPunct w:val="0"/>
        <w:adjustRightInd w:val="0"/>
        <w:snapToGrid w:val="0"/>
        <w:spacing w:before="0" w:after="0" w:line="300" w:lineRule="auto"/>
        <w:ind w:firstLineChars="0" w:firstLine="0"/>
        <w:outlineLvl w:val="9"/>
        <w:rPr>
          <w:rFonts w:ascii="方正小标宋简体" w:eastAsia="方正小标宋简体" w:cs="华文中宋" w:hint="eastAsia"/>
          <w:b w:val="0"/>
          <w:bCs w:val="0"/>
          <w:kern w:val="0"/>
          <w:sz w:val="44"/>
          <w:szCs w:val="44"/>
        </w:rPr>
      </w:pPr>
      <w:bookmarkStart w:id="0" w:name="_Toc13968"/>
      <w:bookmarkStart w:id="1" w:name="_Toc10950"/>
      <w:bookmarkStart w:id="2" w:name="_Toc12211"/>
      <w:bookmarkStart w:id="3" w:name="_Toc240"/>
      <w:bookmarkStart w:id="4" w:name="_Toc19150"/>
      <w:bookmarkStart w:id="5" w:name="_Toc3798"/>
      <w:bookmarkStart w:id="6" w:name="_Toc23368"/>
      <w:bookmarkStart w:id="7" w:name="_Toc31350"/>
      <w:bookmarkStart w:id="8" w:name="_Toc31198"/>
      <w:bookmarkStart w:id="9" w:name="_Toc14601"/>
      <w:bookmarkStart w:id="10" w:name="_Toc22902"/>
      <w:bookmarkStart w:id="11" w:name="_Toc14667"/>
      <w:bookmarkStart w:id="12" w:name="_Toc256116698"/>
      <w:bookmarkStart w:id="13" w:name="_Toc256117789"/>
      <w:bookmarkStart w:id="14" w:name="_Toc255081775"/>
      <w:bookmarkStart w:id="15" w:name="_Toc256109775"/>
      <w:r>
        <w:rPr>
          <w:rFonts w:ascii="方正小标宋简体" w:eastAsia="方正小标宋简体" w:cs="华文中宋" w:hint="eastAsia"/>
          <w:b w:val="0"/>
          <w:bCs w:val="0"/>
          <w:kern w:val="0"/>
          <w:sz w:val="44"/>
          <w:szCs w:val="44"/>
        </w:rPr>
        <w:t>福建省“十四五”海洋生态环境</w:t>
      </w:r>
      <w:bookmarkEnd w:id="0"/>
      <w:bookmarkEnd w:id="1"/>
      <w:bookmarkEnd w:id="2"/>
      <w:bookmarkEnd w:id="3"/>
      <w:bookmarkEnd w:id="4"/>
    </w:p>
    <w:p>
      <w:pPr>
        <w:pStyle w:val="77"/>
        <w:widowControl/>
        <w:overflowPunct w:val="0"/>
        <w:adjustRightInd w:val="0"/>
        <w:snapToGrid w:val="0"/>
        <w:spacing w:before="0" w:after="0" w:line="300" w:lineRule="auto"/>
        <w:ind w:firstLineChars="0" w:firstLine="0"/>
        <w:outlineLvl w:val="9"/>
        <w:rPr>
          <w:rFonts w:ascii="方正小标宋简体" w:eastAsia="方正小标宋简体" w:cs="华文中宋" w:hint="eastAsia"/>
          <w:b w:val="0"/>
          <w:bCs w:val="0"/>
          <w:kern w:val="0"/>
          <w:sz w:val="44"/>
          <w:szCs w:val="44"/>
        </w:rPr>
      </w:pPr>
      <w:bookmarkStart w:id="16" w:name="_Toc10210"/>
      <w:bookmarkStart w:id="17" w:name="_Toc7973"/>
      <w:bookmarkStart w:id="18" w:name="_Toc28602"/>
      <w:bookmarkStart w:id="19" w:name="_Toc19319"/>
      <w:bookmarkStart w:id="20" w:name="_Toc13866"/>
      <w:r>
        <w:rPr>
          <w:rFonts w:ascii="方正小标宋简体" w:eastAsia="方正小标宋简体" w:cs="华文中宋" w:hint="eastAsia"/>
          <w:b w:val="0"/>
          <w:bCs w:val="0"/>
          <w:kern w:val="0"/>
          <w:sz w:val="44"/>
          <w:szCs w:val="44"/>
        </w:rPr>
        <w:t>保护</w:t>
      </w:r>
      <w:bookmarkStart w:id="21" w:name="_Toc13769"/>
      <w:bookmarkStart w:id="22" w:name="_Toc27422"/>
      <w:bookmarkStart w:id="23" w:name="_Toc21908"/>
      <w:bookmarkStart w:id="24" w:name="_Toc31066"/>
      <w:bookmarkStart w:id="25" w:name="_Toc30462"/>
      <w:bookmarkStart w:id="26" w:name="_Toc14881"/>
      <w:bookmarkStart w:id="27" w:name="_Toc28951"/>
      <w:bookmarkEnd w:id="5"/>
      <w:bookmarkEnd w:id="6"/>
      <w:bookmarkEnd w:id="7"/>
      <w:bookmarkEnd w:id="8"/>
      <w:bookmarkEnd w:id="9"/>
      <w:bookmarkEnd w:id="10"/>
      <w:bookmarkEnd w:id="11"/>
      <w:r>
        <w:rPr>
          <w:rFonts w:ascii="方正小标宋简体" w:eastAsia="方正小标宋简体" w:cs="华文中宋" w:hint="eastAsia"/>
          <w:b w:val="0"/>
          <w:bCs w:val="0"/>
          <w:kern w:val="0"/>
          <w:sz w:val="44"/>
          <w:szCs w:val="44"/>
        </w:rPr>
        <w:t>规划</w:t>
      </w:r>
      <w:bookmarkEnd w:id="16"/>
      <w:bookmarkEnd w:id="17"/>
      <w:bookmarkEnd w:id="18"/>
      <w:bookmarkEnd w:id="19"/>
      <w:bookmarkEnd w:id="20"/>
      <w:bookmarkEnd w:id="21"/>
      <w:bookmarkEnd w:id="22"/>
      <w:bookmarkEnd w:id="23"/>
      <w:bookmarkEnd w:id="24"/>
      <w:bookmarkEnd w:id="25"/>
      <w:bookmarkEnd w:id="26"/>
      <w:bookmarkEnd w:id="27"/>
    </w:p>
    <w:p>
      <w:pPr>
        <w:pStyle w:val="77"/>
        <w:widowControl/>
        <w:overflowPunct w:val="0"/>
        <w:adjustRightInd w:val="0"/>
        <w:snapToGrid w:val="0"/>
        <w:spacing w:before="0" w:after="0" w:line="560" w:lineRule="exact"/>
        <w:ind w:firstLineChars="0" w:firstLine="0"/>
        <w:outlineLvl w:val="9"/>
        <w:rPr>
          <w:rFonts w:ascii="楷体_GB2312" w:eastAsia="楷体_GB2312" w:cs="楷体_GB2312" w:hint="eastAsia"/>
          <w:bCs w:val="0"/>
          <w:kern w:val="0"/>
        </w:rPr>
      </w:pPr>
    </w:p>
    <w:p>
      <w:pPr>
        <w:spacing w:line="600" w:lineRule="auto"/>
        <w:ind w:firstLineChars="0" w:firstLine="181"/>
        <w:jc w:val="center"/>
        <w:outlineLvl w:val="0"/>
        <w:rPr>
          <w:rFonts w:eastAsia="黑体" w:hint="eastAsia"/>
          <w:sz w:val="36"/>
          <w:szCs w:val="36"/>
        </w:rPr>
      </w:pPr>
      <w:bookmarkEnd w:id="12"/>
      <w:bookmarkEnd w:id="13"/>
      <w:bookmarkEnd w:id="14"/>
      <w:bookmarkEnd w:id="15"/>
    </w:p>
    <w:p>
      <w:pPr>
        <w:spacing w:line="600" w:lineRule="auto"/>
        <w:ind w:firstLineChars="0" w:firstLine="181"/>
        <w:jc w:val="center"/>
        <w:outlineLvl w:val="0"/>
        <w:rPr>
          <w:rFonts w:eastAsia="黑体"/>
          <w:sz w:val="36"/>
          <w:szCs w:val="36"/>
        </w:rPr>
      </w:pPr>
    </w:p>
    <w:p>
      <w:pPr>
        <w:spacing w:line="480" w:lineRule="auto"/>
        <w:ind w:firstLineChars="0" w:firstLine="0"/>
        <w:jc w:val="center"/>
        <w:rPr>
          <w:rFonts w:eastAsia="黑体"/>
          <w:sz w:val="44"/>
          <w:szCs w:val="44"/>
        </w:rPr>
      </w:pPr>
    </w:p>
    <w:p>
      <w:pPr>
        <w:spacing w:line="480" w:lineRule="auto"/>
        <w:ind w:firstLineChars="0" w:firstLine="0"/>
        <w:jc w:val="center"/>
        <w:rPr>
          <w:rFonts w:eastAsia="黑体"/>
          <w:sz w:val="44"/>
          <w:szCs w:val="44"/>
        </w:rPr>
      </w:pPr>
    </w:p>
    <w:p>
      <w:pPr>
        <w:spacing w:line="480" w:lineRule="auto"/>
        <w:ind w:firstLineChars="0" w:firstLine="0"/>
        <w:jc w:val="center"/>
        <w:rPr>
          <w:rFonts w:eastAsia="黑体"/>
          <w:sz w:val="44"/>
          <w:szCs w:val="44"/>
        </w:rPr>
      </w:pPr>
    </w:p>
    <w:p>
      <w:pPr>
        <w:spacing w:line="480" w:lineRule="auto"/>
        <w:ind w:firstLineChars="0" w:firstLine="0"/>
        <w:jc w:val="center"/>
        <w:rPr>
          <w:rFonts w:eastAsia="黑体"/>
          <w:sz w:val="44"/>
          <w:szCs w:val="44"/>
        </w:rPr>
      </w:pPr>
    </w:p>
    <w:p>
      <w:pPr>
        <w:spacing w:line="480" w:lineRule="auto"/>
        <w:ind w:firstLineChars="0" w:firstLine="0"/>
        <w:jc w:val="center"/>
        <w:rPr>
          <w:rFonts w:eastAsia="黑体"/>
          <w:sz w:val="44"/>
          <w:szCs w:val="44"/>
        </w:rPr>
      </w:pPr>
    </w:p>
    <w:p>
      <w:pPr>
        <w:spacing w:line="480" w:lineRule="auto"/>
        <w:ind w:firstLineChars="0" w:firstLine="0"/>
        <w:jc w:val="center"/>
        <w:rPr>
          <w:rFonts w:eastAsia="黑体"/>
          <w:sz w:val="44"/>
          <w:szCs w:val="44"/>
        </w:rPr>
      </w:pPr>
    </w:p>
    <w:p>
      <w:pPr>
        <w:pStyle w:val="16"/>
        <w:ind w:firstLineChars="0" w:firstLine="880"/>
        <w:rPr>
          <w:rFonts w:eastAsia="黑体"/>
          <w:sz w:val="44"/>
          <w:szCs w:val="44"/>
        </w:rPr>
      </w:pPr>
    </w:p>
    <w:p>
      <w:pPr>
        <w:spacing w:line="480" w:lineRule="auto"/>
        <w:ind w:left="0" w:firstLineChars="0" w:firstLine="0"/>
        <w:jc w:val="center"/>
        <w:rPr>
          <w:rFonts w:ascii="黑体" w:eastAsia="黑体" w:hint="eastAsia"/>
          <w:sz w:val="32"/>
          <w:szCs w:val="32"/>
        </w:rPr>
      </w:pPr>
      <w:r>
        <w:rPr>
          <w:rFonts w:ascii="黑体" w:eastAsia="黑体" w:hint="eastAsia"/>
          <w:b/>
          <w:bCs/>
          <w:sz w:val="32"/>
          <w:szCs w:val="32"/>
        </w:rPr>
        <w:t>二〇二二年</w:t>
      </w:r>
      <w:r>
        <w:rPr>
          <w:rFonts w:ascii="黑体" w:eastAsia="黑体" w:hint="eastAsia"/>
          <w:b/>
          <w:bCs/>
          <w:sz w:val="32"/>
          <w:szCs w:val="32"/>
          <w:lang w:val="en-US" w:eastAsia="zh-CN"/>
        </w:rPr>
        <w:t>二</w:t>
      </w:r>
      <w:r>
        <w:rPr>
          <w:rFonts w:ascii="黑体" w:eastAsia="黑体" w:hint="eastAsia"/>
          <w:b/>
          <w:bCs/>
          <w:sz w:val="32"/>
          <w:szCs w:val="32"/>
        </w:rPr>
        <w:t>月</w:t>
      </w:r>
    </w:p>
    <w:p>
      <w:pPr>
        <w:ind w:left="1120"/>
        <w:sectPr>
          <w:headerReference w:type="default" r:id="rId2"/>
          <w:headerReference w:type="even" r:id="rId3"/>
          <w:footerReference w:type="default" r:id="rId4"/>
          <w:footerReference w:type="even" r:id="rId5"/>
          <w:pgSz w:w="11906" w:h="16838"/>
          <w:pgMar w:top="2098" w:right="1587" w:bottom="2098" w:left="1587" w:header="851" w:footer="992" w:gutter="0"/>
          <w:pgNumType w:start="1"/>
          <w:docGrid w:type="lines" w:linePitch="312" w:charSpace="0"/>
        </w:sectPr>
      </w:pPr>
    </w:p>
    <w:p>
      <w:pPr>
        <w:ind w:firstLineChars="0" w:firstLine="0"/>
        <w:jc w:val="center"/>
        <w:rPr>
          <w:rFonts w:eastAsia="黑体"/>
          <w:sz w:val="36"/>
          <w:szCs w:val="36"/>
        </w:rPr>
      </w:pPr>
      <w:bookmarkStart w:id="28" w:name="_Toc256117792"/>
      <w:bookmarkStart w:id="29" w:name="_Toc255081778"/>
      <w:bookmarkStart w:id="30" w:name="_Toc256109778"/>
      <w:bookmarkStart w:id="31" w:name="_Toc256116701"/>
      <w:r>
        <w:rPr>
          <w:rFonts w:eastAsia="黑体"/>
          <w:sz w:val="36"/>
          <w:szCs w:val="36"/>
        </w:rPr>
        <w:t>前   言</w:t>
      </w:r>
    </w:p>
    <w:p>
      <w:pPr>
        <w:pStyle w:val="379"/>
        <w:overflowPunct w:val="0"/>
        <w:spacing w:line="596" w:lineRule="exact"/>
        <w:rPr>
          <w:rFonts w:ascii="Times New Roman" w:cs="Times New Roman" w:hAnsi="Times New Roman"/>
        </w:rPr>
      </w:pPr>
    </w:p>
    <w:p>
      <w:pPr>
        <w:pStyle w:val="379"/>
        <w:overflowPunct w:val="0"/>
        <w:rPr>
          <w:rFonts w:ascii="仿宋_GB2312" w:cs="Times New Roman" w:hint="eastAsia"/>
        </w:rPr>
      </w:pPr>
      <w:r>
        <w:rPr>
          <w:rFonts w:ascii="仿宋_GB2312" w:cs="Times New Roman" w:hint="eastAsia"/>
        </w:rPr>
        <w:t>海洋是高质量发展的战略要地。福建省是海洋大省，海域面积13.6万平方千米，大陆海岸线长3752千米，大小海岛2214个，面积大于500平方米以上的海岛1321个，海岛总面积约1156平方千米，海岛岸线总长约2458千米。</w:t>
      </w:r>
    </w:p>
    <w:p>
      <w:pPr>
        <w:pStyle w:val="379"/>
        <w:overflowPunct w:val="0"/>
        <w:rPr>
          <w:rFonts w:ascii="仿宋_GB2312" w:cs="Times New Roman" w:hint="eastAsia"/>
        </w:rPr>
      </w:pPr>
      <w:r>
        <w:rPr>
          <w:rFonts w:ascii="仿宋_GB2312" w:cs="Times New Roman" w:hint="eastAsia"/>
        </w:rPr>
        <w:t>“十三五”期间，福建省加快实施海洋经济强省战略，全省海洋生产总值年均增长8.2%，2020年总规模达1.05万亿元，居全国第三位，占全省地区生产总值的23.9%，成为拉动国民经济增长的重要引擎，海洋的优势和潜力日益凸显。</w:t>
      </w:r>
    </w:p>
    <w:p>
      <w:pPr>
        <w:pStyle w:val="379"/>
        <w:overflowPunct w:val="0"/>
        <w:rPr>
          <w:rFonts w:ascii="仿宋_GB2312" w:cs="Times New Roman" w:hint="eastAsia"/>
        </w:rPr>
      </w:pPr>
      <w:r>
        <w:rPr>
          <w:rFonts w:ascii="仿宋_GB2312" w:cs="Times New Roman" w:hint="eastAsia"/>
          <w:color w:val="000000"/>
        </w:rPr>
        <w:t>“十四五”时期，是开启全面建设社会主义现代化国家新征程、谱写美丽中国建设新篇章、向第二个百年奋斗目标进军的开局起步时期。新时期的</w:t>
      </w:r>
      <w:r>
        <w:rPr>
          <w:rFonts w:ascii="仿宋_GB2312" w:cs="Times New Roman" w:hint="eastAsia"/>
        </w:rPr>
        <w:t>海洋生态环境保护工作必须直面问题挑战、保持战略定力，福建省将深入贯彻习近平生态文明思想，以海洋生态环境突出问题为导向，以海洋生态环境质量持续改善为核心，奋力</w:t>
      </w:r>
      <w:r>
        <w:rPr>
          <w:rFonts w:ascii="仿宋_GB2312" w:hint="eastAsia"/>
          <w:szCs w:val="24"/>
        </w:rPr>
        <w:t>建设</w:t>
      </w:r>
      <w:r>
        <w:rPr>
          <w:rFonts w:ascii="仿宋_GB2312" w:cs="仿宋_GB2312" w:hint="eastAsia"/>
          <w:szCs w:val="24"/>
        </w:rPr>
        <w:t>“水清滩净、鱼鸥翔集、人海和谐”的美丽海</w:t>
      </w:r>
      <w:r>
        <w:rPr>
          <w:rFonts w:ascii="仿宋_GB2312" w:hint="eastAsia"/>
          <w:szCs w:val="24"/>
        </w:rPr>
        <w:t>湾，“让人民群众吃上绿色、安全、放心的海产品，享受到碧海蓝天、洁净沙滩”。为统筹谋划“十四五”福建海洋生态环境保护目标指标、重点任务、重大工程与政策措施等，服务支撑“海上福建”建设，制定本规划。</w:t>
      </w:r>
      <w:r>
        <w:rPr>
          <w:rFonts w:ascii="仿宋_GB2312" w:cs="Times New Roman" w:hint="eastAsia"/>
        </w:rPr>
        <w:t>本规划期限为2021－2025年，展望至2035年。</w:t>
      </w:r>
    </w:p>
    <w:p>
      <w:pPr>
        <w:pStyle w:val="379"/>
        <w:overflowPunct w:val="0"/>
        <w:spacing w:line="240" w:lineRule="auto"/>
        <w:ind w:firstLineChars="0" w:firstLine="0"/>
        <w:jc w:val="center"/>
        <w:rPr>
          <w:rFonts w:eastAsia="黑体"/>
          <w:sz w:val="36"/>
          <w:szCs w:val="36"/>
        </w:rPr>
      </w:pPr>
      <w:r>
        <w:rPr>
          <w:rFonts w:ascii="Times New Roman" w:cs="Times New Roman" w:hAnsi="Times New Roman"/>
        </w:rPr>
        <w:br w:type="page"/>
      </w:r>
      <w:r>
        <w:rPr>
          <w:rFonts w:eastAsia="黑体"/>
          <w:sz w:val="36"/>
          <w:szCs w:val="36"/>
        </w:rPr>
        <w:t>目   录</w:t>
      </w:r>
      <w:bookmarkEnd w:id="28"/>
      <w:bookmarkEnd w:id="29"/>
      <w:bookmarkEnd w:id="30"/>
      <w:bookmarkEnd w:id="31"/>
    </w:p>
    <w:p>
      <w:pPr>
        <w:pStyle w:val="57"/>
        <w:tabs>
          <w:tab w:val="clear" w:pos="0"/>
          <w:tab w:val="clear" w:pos="8302"/>
          <w:tab w:val="right" w:leader="dot" w:pos="8732"/>
        </w:tabs>
      </w:pPr>
      <w:r>
        <w:rPr>
          <w:rStyle w:val="91"/>
          <w:rFonts w:ascii="Times New Roman" w:hAnsi="Times New Roman"/>
          <w:b w:val="0"/>
          <w:color w:val="auto"/>
          <w:sz w:val="21"/>
          <w:szCs w:val="21"/>
        </w:rPr>
        <w:fldChar w:fldCharType="begin"/>
      </w:r>
      <w:r>
        <w:rPr>
          <w:rStyle w:val="91"/>
          <w:rFonts w:ascii="Times New Roman" w:hAnsi="Times New Roman"/>
          <w:b w:val="0"/>
          <w:color w:val="auto"/>
          <w:sz w:val="21"/>
          <w:szCs w:val="21"/>
        </w:rPr>
        <w:instrText xml:space="preserve"> TOC \o "1-4" \h \z \u </w:instrText>
      </w:r>
      <w:r>
        <w:rPr>
          <w:rFonts w:ascii="Times New Roman" w:hAnsi="Times New Roman"/>
          <w:b w:val="0"/>
          <w:sz w:val="21"/>
          <w:szCs w:val="21"/>
        </w:rPr>
        <w:fldChar w:fldCharType="separate"/>
      </w:r>
      <w:r>
        <w:rPr>
          <w:szCs w:val="21"/>
        </w:rPr>
        <w:fldChar w:fldCharType="begin"/>
      </w:r>
      <w:r>
        <w:rPr>
          <w:szCs w:val="21"/>
        </w:rPr>
        <w:instrText xml:space="preserve"> HYPERLINK \l _Toc25065 </w:instrText>
      </w:r>
      <w:r>
        <w:rPr>
          <w:szCs w:val="21"/>
        </w:rPr>
        <w:fldChar w:fldCharType="separate"/>
      </w:r>
      <w:r>
        <w:rPr>
          <w:rFonts w:hint="eastAsia"/>
          <w:szCs w:val="31"/>
        </w:rPr>
        <w:t>第一章 规划背景</w:t>
      </w:r>
      <w:r>
        <w:tab/>
      </w:r>
      <w:r>
        <w:fldChar w:fldCharType="begin"/>
      </w:r>
      <w:r>
        <w:instrText xml:space="preserve"> PAGEREF _Toc25065 \h </w:instrText>
      </w:r>
      <w:r>
        <w:fldChar w:fldCharType="separate"/>
      </w:r>
      <w:r>
        <w:t>1</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_Toc9968 </w:instrText>
      </w:r>
      <w:r>
        <w:rPr>
          <w:szCs w:val="21"/>
        </w:rPr>
        <w:fldChar w:fldCharType="separate"/>
      </w:r>
      <w:r>
        <w:rPr>
          <w:rFonts w:ascii="Times New Roman" w:cs="Times New Roman" w:hAnsi="Times New Roman"/>
          <w:bCs/>
          <w:szCs w:val="31"/>
        </w:rPr>
        <w:t>第</w:t>
      </w:r>
      <w:r>
        <w:rPr>
          <w:rFonts w:ascii="Times New Roman" w:cs="Times New Roman" w:hAnsi="Times New Roman" w:hint="eastAsia"/>
          <w:bCs/>
          <w:szCs w:val="31"/>
        </w:rPr>
        <w:t>一</w:t>
      </w:r>
      <w:r>
        <w:rPr>
          <w:rFonts w:ascii="Times New Roman" w:cs="Times New Roman" w:hAnsi="Times New Roman"/>
          <w:bCs/>
          <w:szCs w:val="31"/>
        </w:rPr>
        <w:t>节</w:t>
      </w:r>
      <w:r>
        <w:rPr>
          <w:rFonts w:ascii="Times New Roman" w:cs="Times New Roman" w:hAnsi="Times New Roman" w:hint="eastAsia"/>
          <w:bCs/>
          <w:szCs w:val="31"/>
        </w:rPr>
        <w:t xml:space="preserve"> 工作成效</w:t>
      </w:r>
      <w:r>
        <w:tab/>
      </w:r>
      <w:r>
        <w:fldChar w:fldCharType="begin"/>
      </w:r>
      <w:r>
        <w:instrText xml:space="preserve"> PAGEREF _Toc9968 \h </w:instrText>
      </w:r>
      <w:r>
        <w:fldChar w:fldCharType="separate"/>
      </w:r>
      <w:r>
        <w:t>1</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_Toc16248 </w:instrText>
      </w:r>
      <w:r>
        <w:rPr>
          <w:szCs w:val="21"/>
        </w:rPr>
        <w:fldChar w:fldCharType="separate"/>
      </w:r>
      <w:r>
        <w:rPr>
          <w:rFonts w:ascii="Times New Roman" w:cs="Times New Roman" w:hAnsi="Times New Roman" w:hint="eastAsia"/>
          <w:bCs/>
          <w:szCs w:val="31"/>
        </w:rPr>
        <w:t>第二节 主要问题</w:t>
      </w:r>
      <w:r>
        <w:tab/>
      </w:r>
      <w:r>
        <w:fldChar w:fldCharType="begin"/>
      </w:r>
      <w:r>
        <w:instrText xml:space="preserve"> PAGEREF _Toc16248 \h </w:instrText>
      </w:r>
      <w:r>
        <w:fldChar w:fldCharType="separate"/>
      </w:r>
      <w:r>
        <w:t>3</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_Toc15416 </w:instrText>
      </w:r>
      <w:r>
        <w:rPr>
          <w:szCs w:val="21"/>
        </w:rPr>
        <w:fldChar w:fldCharType="separate"/>
      </w:r>
      <w:r>
        <w:rPr>
          <w:rFonts w:ascii="Times New Roman" w:cs="Times New Roman" w:hAnsi="Times New Roman" w:hint="eastAsia"/>
          <w:bCs/>
          <w:szCs w:val="31"/>
        </w:rPr>
        <w:t>第三节 面临的形势</w:t>
      </w:r>
      <w:r>
        <w:tab/>
      </w:r>
      <w:r>
        <w:fldChar w:fldCharType="begin"/>
      </w:r>
      <w:r>
        <w:instrText xml:space="preserve"> PAGEREF _Toc15416 \h </w:instrText>
      </w:r>
      <w:r>
        <w:fldChar w:fldCharType="separate"/>
      </w:r>
      <w:r>
        <w:t>5</w:t>
      </w:r>
      <w:r>
        <w:fldChar w:fldCharType="end"/>
      </w:r>
      <w:r>
        <w:rPr>
          <w:szCs w:val="21"/>
        </w:rPr>
        <w:fldChar w:fldCharType="end"/>
      </w:r>
    </w:p>
    <w:p>
      <w:pPr>
        <w:pStyle w:val="57"/>
        <w:tabs>
          <w:tab w:val="clear" w:pos="0"/>
          <w:tab w:val="clear" w:pos="8302"/>
          <w:tab w:val="right" w:leader="dot" w:pos="8732"/>
        </w:tabs>
      </w:pPr>
      <w:r>
        <w:rPr>
          <w:szCs w:val="21"/>
        </w:rPr>
        <w:fldChar w:fldCharType="begin"/>
      </w:r>
      <w:r>
        <w:rPr>
          <w:szCs w:val="21"/>
        </w:rPr>
        <w:instrText xml:space="preserve"> HYPERLINK \l _Toc15200 </w:instrText>
      </w:r>
      <w:r>
        <w:rPr>
          <w:szCs w:val="21"/>
        </w:rPr>
        <w:fldChar w:fldCharType="separate"/>
      </w:r>
      <w:r>
        <w:rPr>
          <w:szCs w:val="31"/>
        </w:rPr>
        <w:t>第二章</w:t>
      </w:r>
      <w:r>
        <w:rPr>
          <w:rFonts w:hint="eastAsia"/>
          <w:szCs w:val="31"/>
        </w:rPr>
        <w:t xml:space="preserve"> </w:t>
      </w:r>
      <w:r>
        <w:rPr>
          <w:szCs w:val="31"/>
        </w:rPr>
        <w:t>总体要求</w:t>
      </w:r>
      <w:r>
        <w:tab/>
      </w:r>
      <w:r>
        <w:fldChar w:fldCharType="begin"/>
      </w:r>
      <w:r>
        <w:instrText xml:space="preserve"> PAGEREF _Toc15200 \h </w:instrText>
      </w:r>
      <w:r>
        <w:fldChar w:fldCharType="separate"/>
      </w:r>
      <w:r>
        <w:t>7</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_Toc17498 </w:instrText>
      </w:r>
      <w:r>
        <w:rPr>
          <w:szCs w:val="21"/>
        </w:rPr>
        <w:fldChar w:fldCharType="separate"/>
      </w:r>
      <w:r>
        <w:rPr>
          <w:rFonts w:ascii="Times New Roman" w:cs="Times New Roman" w:hAnsi="Times New Roman"/>
          <w:bCs/>
          <w:szCs w:val="31"/>
        </w:rPr>
        <w:t>第一节 指导思想</w:t>
      </w:r>
      <w:r>
        <w:tab/>
      </w:r>
      <w:r>
        <w:fldChar w:fldCharType="begin"/>
      </w:r>
      <w:r>
        <w:instrText xml:space="preserve"> PAGEREF _Toc17498 \h </w:instrText>
      </w:r>
      <w:r>
        <w:fldChar w:fldCharType="separate"/>
      </w:r>
      <w:r>
        <w:t>7</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_Toc8710 </w:instrText>
      </w:r>
      <w:r>
        <w:rPr>
          <w:szCs w:val="21"/>
        </w:rPr>
        <w:fldChar w:fldCharType="separate"/>
      </w:r>
      <w:r>
        <w:rPr>
          <w:rFonts w:eastAsia="楷体_GB2312"/>
          <w:bCs/>
          <w:szCs w:val="31"/>
        </w:rPr>
        <w:t>第二节 基本原则</w:t>
      </w:r>
      <w:r>
        <w:tab/>
      </w:r>
      <w:r>
        <w:fldChar w:fldCharType="begin"/>
      </w:r>
      <w:r>
        <w:instrText xml:space="preserve"> PAGEREF _Toc8710 \h </w:instrText>
      </w:r>
      <w:r>
        <w:fldChar w:fldCharType="separate"/>
      </w:r>
      <w:r>
        <w:t>7</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_Toc15207 </w:instrText>
      </w:r>
      <w:r>
        <w:rPr>
          <w:szCs w:val="21"/>
        </w:rPr>
        <w:fldChar w:fldCharType="separate"/>
      </w:r>
      <w:r>
        <w:rPr>
          <w:rFonts w:eastAsia="楷体_GB2312" w:hint="eastAsia"/>
          <w:bCs/>
          <w:szCs w:val="31"/>
        </w:rPr>
        <w:t>第三节 目标与指标</w:t>
      </w:r>
      <w:r>
        <w:tab/>
      </w:r>
      <w:r>
        <w:fldChar w:fldCharType="begin"/>
      </w:r>
      <w:r>
        <w:instrText xml:space="preserve"> PAGEREF _Toc15207 \h </w:instrText>
      </w:r>
      <w:r>
        <w:fldChar w:fldCharType="separate"/>
      </w:r>
      <w:r>
        <w:t>9</w:t>
      </w:r>
      <w:r>
        <w:fldChar w:fldCharType="end"/>
      </w:r>
      <w:r>
        <w:rPr>
          <w:szCs w:val="21"/>
        </w:rPr>
        <w:fldChar w:fldCharType="end"/>
      </w:r>
    </w:p>
    <w:p>
      <w:pPr>
        <w:pStyle w:val="57"/>
        <w:tabs>
          <w:tab w:val="clear" w:pos="0"/>
          <w:tab w:val="clear" w:pos="8302"/>
          <w:tab w:val="right" w:leader="dot" w:pos="8732"/>
        </w:tabs>
      </w:pPr>
      <w:r>
        <w:rPr>
          <w:szCs w:val="21"/>
        </w:rPr>
        <w:fldChar w:fldCharType="begin"/>
      </w:r>
      <w:r>
        <w:rPr>
          <w:szCs w:val="21"/>
        </w:rPr>
        <w:instrText xml:space="preserve"> HYPERLINK \l _Toc17288 </w:instrText>
      </w:r>
      <w:r>
        <w:rPr>
          <w:szCs w:val="21"/>
        </w:rPr>
        <w:fldChar w:fldCharType="separate"/>
      </w:r>
      <w:r>
        <w:rPr>
          <w:rFonts w:hint="eastAsia"/>
          <w:szCs w:val="31"/>
        </w:rPr>
        <w:t>第三章 坚持系统治理，</w:t>
      </w:r>
      <w:r>
        <w:rPr>
          <w:rFonts w:hint="eastAsia"/>
          <w:szCs w:val="31"/>
          <w:lang w:eastAsia="zh-CN"/>
        </w:rPr>
        <w:t>打造水清滩净</w:t>
      </w:r>
      <w:r>
        <w:rPr>
          <w:rFonts w:hint="eastAsia"/>
          <w:szCs w:val="31"/>
        </w:rPr>
        <w:t>美丽海湾</w:t>
      </w:r>
      <w:r>
        <w:tab/>
      </w:r>
      <w:r>
        <w:fldChar w:fldCharType="begin"/>
      </w:r>
      <w:r>
        <w:instrText xml:space="preserve"> PAGEREF _Toc17288 \h </w:instrText>
      </w:r>
      <w:r>
        <w:fldChar w:fldCharType="separate"/>
      </w:r>
      <w:r>
        <w:t>11</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_Toc11275 </w:instrText>
      </w:r>
      <w:r>
        <w:rPr>
          <w:szCs w:val="21"/>
        </w:rPr>
        <w:fldChar w:fldCharType="separate"/>
      </w:r>
      <w:r>
        <w:rPr>
          <w:rFonts w:ascii="Times New Roman" w:cs="Times New Roman" w:hAnsi="Times New Roman" w:hint="eastAsia"/>
          <w:bCs/>
          <w:szCs w:val="31"/>
        </w:rPr>
        <w:t>第一节 构建海湾整体保护和系统治理格局</w:t>
      </w:r>
      <w:r>
        <w:tab/>
      </w:r>
      <w:r>
        <w:fldChar w:fldCharType="begin"/>
      </w:r>
      <w:r>
        <w:instrText xml:space="preserve"> PAGEREF _Toc11275 \h </w:instrText>
      </w:r>
      <w:r>
        <w:fldChar w:fldCharType="separate"/>
      </w:r>
      <w:r>
        <w:t>11</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_Toc14018 </w:instrText>
      </w:r>
      <w:r>
        <w:rPr>
          <w:szCs w:val="21"/>
        </w:rPr>
        <w:fldChar w:fldCharType="separate"/>
      </w:r>
      <w:r>
        <w:rPr>
          <w:rFonts w:ascii="Times New Roman" w:cs="Times New Roman" w:hAnsi="Times New Roman" w:hint="eastAsia"/>
          <w:bCs/>
          <w:szCs w:val="31"/>
        </w:rPr>
        <w:t>第二节 分批梯次推进美丽海湾保护与建设</w:t>
      </w:r>
      <w:r>
        <w:tab/>
      </w:r>
      <w:r>
        <w:fldChar w:fldCharType="begin"/>
      </w:r>
      <w:r>
        <w:instrText xml:space="preserve"> PAGEREF _Toc14018 \h </w:instrText>
      </w:r>
      <w:r>
        <w:fldChar w:fldCharType="separate"/>
      </w:r>
      <w:r>
        <w:t>12</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_Toc13576 </w:instrText>
      </w:r>
      <w:r>
        <w:rPr>
          <w:szCs w:val="21"/>
        </w:rPr>
        <w:fldChar w:fldCharType="separate"/>
      </w:r>
      <w:r>
        <w:rPr>
          <w:rFonts w:ascii="Times New Roman" w:cs="Times New Roman" w:hAnsi="Times New Roman" w:hint="eastAsia"/>
          <w:bCs/>
          <w:szCs w:val="31"/>
        </w:rPr>
        <w:t>第三节 健全美丽海湾保护与建设长效机制</w:t>
      </w:r>
      <w:r>
        <w:tab/>
      </w:r>
      <w:r>
        <w:fldChar w:fldCharType="begin"/>
      </w:r>
      <w:r>
        <w:instrText xml:space="preserve"> PAGEREF _Toc13576 \h </w:instrText>
      </w:r>
      <w:r>
        <w:fldChar w:fldCharType="separate"/>
      </w:r>
      <w:r>
        <w:t>13</w:t>
      </w:r>
      <w:r>
        <w:fldChar w:fldCharType="end"/>
      </w:r>
      <w:r>
        <w:rPr>
          <w:szCs w:val="21"/>
        </w:rPr>
        <w:fldChar w:fldCharType="end"/>
      </w:r>
    </w:p>
    <w:p>
      <w:pPr>
        <w:pStyle w:val="57"/>
        <w:tabs>
          <w:tab w:val="clear" w:pos="0"/>
          <w:tab w:val="clear" w:pos="8302"/>
          <w:tab w:val="right" w:leader="dot" w:pos="8732"/>
        </w:tabs>
      </w:pPr>
      <w:r>
        <w:rPr>
          <w:szCs w:val="21"/>
        </w:rPr>
        <w:fldChar w:fldCharType="begin"/>
      </w:r>
      <w:r>
        <w:rPr>
          <w:szCs w:val="21"/>
        </w:rPr>
        <w:instrText xml:space="preserve"> HYPERLINK \l _Toc23904 </w:instrText>
      </w:r>
      <w:r>
        <w:rPr>
          <w:szCs w:val="21"/>
        </w:rPr>
        <w:fldChar w:fldCharType="separate"/>
      </w:r>
      <w:r>
        <w:rPr>
          <w:rFonts w:hint="eastAsia"/>
          <w:szCs w:val="31"/>
        </w:rPr>
        <w:t>第四章 强化精准治污，持续改善近岸海域环境质量</w:t>
      </w:r>
      <w:r>
        <w:tab/>
      </w:r>
      <w:r>
        <w:fldChar w:fldCharType="begin"/>
      </w:r>
      <w:r>
        <w:instrText xml:space="preserve"> PAGEREF _Toc23904 \h </w:instrText>
      </w:r>
      <w:r>
        <w:fldChar w:fldCharType="separate"/>
      </w:r>
      <w:r>
        <w:t>14</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_Toc16269 </w:instrText>
      </w:r>
      <w:r>
        <w:rPr>
          <w:szCs w:val="21"/>
        </w:rPr>
        <w:fldChar w:fldCharType="separate"/>
      </w:r>
      <w:r>
        <w:rPr>
          <w:rFonts w:ascii="Times New Roman" w:cs="Times New Roman" w:hAnsi="Times New Roman" w:hint="eastAsia"/>
          <w:bCs w:val="0"/>
          <w:szCs w:val="31"/>
        </w:rPr>
        <w:t>第一节 开展入海河流氮磷减排</w:t>
      </w:r>
      <w:r>
        <w:tab/>
      </w:r>
      <w:r>
        <w:fldChar w:fldCharType="begin"/>
      </w:r>
      <w:r>
        <w:instrText xml:space="preserve"> PAGEREF _Toc16269 \h </w:instrText>
      </w:r>
      <w:r>
        <w:fldChar w:fldCharType="separate"/>
      </w:r>
      <w:r>
        <w:t>14</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_Toc31065 </w:instrText>
      </w:r>
      <w:r>
        <w:rPr>
          <w:szCs w:val="21"/>
        </w:rPr>
        <w:fldChar w:fldCharType="separate"/>
      </w:r>
      <w:r>
        <w:rPr>
          <w:rFonts w:ascii="Times New Roman" w:cs="Times New Roman" w:hAnsi="Times New Roman" w:hint="eastAsia"/>
          <w:bCs w:val="0"/>
          <w:szCs w:val="31"/>
        </w:rPr>
        <w:t>第二节 深化入海排污口排查整治</w:t>
      </w:r>
      <w:r>
        <w:tab/>
      </w:r>
      <w:r>
        <w:fldChar w:fldCharType="begin"/>
      </w:r>
      <w:r>
        <w:instrText xml:space="preserve"> PAGEREF _Toc31065 \h </w:instrText>
      </w:r>
      <w:r>
        <w:fldChar w:fldCharType="separate"/>
      </w:r>
      <w:r>
        <w:t>15</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_Toc5415 </w:instrText>
      </w:r>
      <w:r>
        <w:rPr>
          <w:szCs w:val="21"/>
        </w:rPr>
        <w:fldChar w:fldCharType="separate"/>
      </w:r>
      <w:r>
        <w:rPr>
          <w:rFonts w:ascii="Times New Roman" w:cs="Times New Roman" w:hAnsi="Times New Roman" w:hint="eastAsia"/>
          <w:bCs w:val="0"/>
          <w:szCs w:val="31"/>
        </w:rPr>
        <w:t>第三节 加强海上污染分类整治</w:t>
      </w:r>
      <w:r>
        <w:tab/>
      </w:r>
      <w:r>
        <w:fldChar w:fldCharType="begin"/>
      </w:r>
      <w:r>
        <w:instrText xml:space="preserve"> PAGEREF _Toc5415 \h </w:instrText>
      </w:r>
      <w:r>
        <w:fldChar w:fldCharType="separate"/>
      </w:r>
      <w:r>
        <w:t>17</w:t>
      </w:r>
      <w:r>
        <w:fldChar w:fldCharType="end"/>
      </w:r>
      <w:r>
        <w:rPr>
          <w:szCs w:val="21"/>
        </w:rPr>
        <w:fldChar w:fldCharType="end"/>
      </w:r>
    </w:p>
    <w:p>
      <w:pPr>
        <w:pStyle w:val="57"/>
        <w:tabs>
          <w:tab w:val="clear" w:pos="0"/>
          <w:tab w:val="clear" w:pos="8302"/>
          <w:tab w:val="right" w:leader="dot" w:pos="8732"/>
        </w:tabs>
      </w:pPr>
      <w:r>
        <w:rPr>
          <w:szCs w:val="21"/>
        </w:rPr>
        <w:fldChar w:fldCharType="begin"/>
      </w:r>
      <w:r>
        <w:rPr>
          <w:szCs w:val="21"/>
        </w:rPr>
        <w:instrText xml:space="preserve"> HYPERLINK \l _Toc26522 </w:instrText>
      </w:r>
      <w:r>
        <w:rPr>
          <w:szCs w:val="21"/>
        </w:rPr>
        <w:fldChar w:fldCharType="separate"/>
      </w:r>
      <w:r>
        <w:rPr>
          <w:rFonts w:hint="eastAsia"/>
          <w:szCs w:val="31"/>
        </w:rPr>
        <w:t>第五章 保护修复并举，提升海洋生态系统质量和稳定性</w:t>
      </w:r>
      <w:r>
        <w:tab/>
      </w:r>
      <w:r>
        <w:fldChar w:fldCharType="begin"/>
      </w:r>
      <w:r>
        <w:instrText xml:space="preserve"> PAGEREF _Toc26522 \h </w:instrText>
      </w:r>
      <w:r>
        <w:fldChar w:fldCharType="separate"/>
      </w:r>
      <w:r>
        <w:t>20</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_Toc14944 </w:instrText>
      </w:r>
      <w:r>
        <w:rPr>
          <w:szCs w:val="21"/>
        </w:rPr>
        <w:fldChar w:fldCharType="separate"/>
      </w:r>
      <w:r>
        <w:rPr>
          <w:rFonts w:ascii="Times New Roman" w:cs="Times New Roman" w:hAnsi="Times New Roman" w:hint="eastAsia"/>
          <w:szCs w:val="31"/>
        </w:rPr>
        <w:t>第一节 加强海洋生态系统保护</w:t>
      </w:r>
      <w:r>
        <w:tab/>
      </w:r>
      <w:r>
        <w:fldChar w:fldCharType="begin"/>
      </w:r>
      <w:r>
        <w:instrText xml:space="preserve"> PAGEREF _Toc14944 \h </w:instrText>
      </w:r>
      <w:r>
        <w:fldChar w:fldCharType="separate"/>
      </w:r>
      <w:r>
        <w:t>20</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_Toc28833 </w:instrText>
      </w:r>
      <w:r>
        <w:rPr>
          <w:szCs w:val="21"/>
        </w:rPr>
        <w:fldChar w:fldCharType="separate"/>
      </w:r>
      <w:r>
        <w:rPr>
          <w:rFonts w:ascii="Times New Roman" w:cs="Times New Roman" w:hAnsi="Times New Roman" w:hint="eastAsia"/>
          <w:szCs w:val="31"/>
        </w:rPr>
        <w:t>第二节 加强海洋生态恢复修复</w:t>
      </w:r>
      <w:r>
        <w:tab/>
      </w:r>
      <w:r>
        <w:fldChar w:fldCharType="begin"/>
      </w:r>
      <w:r>
        <w:instrText xml:space="preserve"> PAGEREF _Toc28833 \h </w:instrText>
      </w:r>
      <w:r>
        <w:fldChar w:fldCharType="separate"/>
      </w:r>
      <w:r>
        <w:t>21</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_Toc23377 </w:instrText>
      </w:r>
      <w:r>
        <w:rPr>
          <w:szCs w:val="21"/>
        </w:rPr>
        <w:fldChar w:fldCharType="separate"/>
      </w:r>
      <w:r>
        <w:rPr>
          <w:rFonts w:ascii="Times New Roman" w:cs="Times New Roman" w:hAnsi="Times New Roman" w:hint="eastAsia"/>
          <w:szCs w:val="31"/>
        </w:rPr>
        <w:t>第三节 加强海洋生物资源养护</w:t>
      </w:r>
      <w:r>
        <w:tab/>
      </w:r>
      <w:r>
        <w:fldChar w:fldCharType="begin"/>
      </w:r>
      <w:r>
        <w:instrText xml:space="preserve"> PAGEREF _Toc23377 \h </w:instrText>
      </w:r>
      <w:r>
        <w:fldChar w:fldCharType="separate"/>
      </w:r>
      <w:r>
        <w:t>23</w:t>
      </w:r>
      <w:r>
        <w:fldChar w:fldCharType="end"/>
      </w:r>
      <w:r>
        <w:rPr>
          <w:szCs w:val="21"/>
        </w:rPr>
        <w:fldChar w:fldCharType="end"/>
      </w:r>
    </w:p>
    <w:p>
      <w:pPr>
        <w:pStyle w:val="57"/>
        <w:tabs>
          <w:tab w:val="clear" w:pos="0"/>
          <w:tab w:val="clear" w:pos="8302"/>
          <w:tab w:val="right" w:leader="dot" w:pos="8732"/>
        </w:tabs>
      </w:pPr>
      <w:r>
        <w:rPr>
          <w:szCs w:val="21"/>
        </w:rPr>
        <w:fldChar w:fldCharType="begin"/>
      </w:r>
      <w:r>
        <w:rPr>
          <w:szCs w:val="21"/>
        </w:rPr>
        <w:instrText xml:space="preserve"> HYPERLINK \l _Toc26457 </w:instrText>
      </w:r>
      <w:r>
        <w:rPr>
          <w:szCs w:val="21"/>
        </w:rPr>
        <w:fldChar w:fldCharType="separate"/>
      </w:r>
      <w:r>
        <w:rPr>
          <w:rFonts w:hint="eastAsia"/>
          <w:szCs w:val="31"/>
        </w:rPr>
        <w:t>第六章 提升亲海品质，满足公众优美海洋生态环境需求</w:t>
      </w:r>
      <w:r>
        <w:tab/>
      </w:r>
      <w:r>
        <w:fldChar w:fldCharType="begin"/>
      </w:r>
      <w:r>
        <w:instrText xml:space="preserve"> PAGEREF _Toc26457 \h </w:instrText>
      </w:r>
      <w:r>
        <w:fldChar w:fldCharType="separate"/>
      </w:r>
      <w:r>
        <w:t>26</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_Toc16807 </w:instrText>
      </w:r>
      <w:r>
        <w:rPr>
          <w:szCs w:val="21"/>
        </w:rPr>
        <w:fldChar w:fldCharType="separate"/>
      </w:r>
      <w:r>
        <w:rPr>
          <w:rFonts w:ascii="Times New Roman" w:cs="Times New Roman" w:hAnsi="Times New Roman" w:hint="eastAsia"/>
          <w:szCs w:val="31"/>
        </w:rPr>
        <w:t>第一节 拓展公众亲海空间</w:t>
      </w:r>
      <w:r>
        <w:tab/>
      </w:r>
      <w:r>
        <w:fldChar w:fldCharType="begin"/>
      </w:r>
      <w:r>
        <w:instrText xml:space="preserve"> PAGEREF _Toc16807 \h </w:instrText>
      </w:r>
      <w:r>
        <w:fldChar w:fldCharType="separate"/>
      </w:r>
      <w:r>
        <w:t>26</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_Toc20348 </w:instrText>
      </w:r>
      <w:r>
        <w:rPr>
          <w:szCs w:val="21"/>
        </w:rPr>
        <w:fldChar w:fldCharType="separate"/>
      </w:r>
      <w:r>
        <w:rPr>
          <w:rFonts w:ascii="Times New Roman" w:cs="Times New Roman" w:hAnsi="Times New Roman" w:hint="eastAsia"/>
          <w:szCs w:val="31"/>
        </w:rPr>
        <w:t>第二节 改善亲海环境质量</w:t>
      </w:r>
      <w:r>
        <w:tab/>
      </w:r>
      <w:r>
        <w:fldChar w:fldCharType="begin"/>
      </w:r>
      <w:r>
        <w:instrText xml:space="preserve"> PAGEREF _Toc20348 \h </w:instrText>
      </w:r>
      <w:r>
        <w:fldChar w:fldCharType="separate"/>
      </w:r>
      <w:r>
        <w:t>27</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_Toc18414 </w:instrText>
      </w:r>
      <w:r>
        <w:rPr>
          <w:szCs w:val="21"/>
        </w:rPr>
        <w:fldChar w:fldCharType="separate"/>
      </w:r>
      <w:r>
        <w:rPr>
          <w:rFonts w:ascii="Times New Roman" w:cs="Times New Roman" w:hAnsi="Times New Roman" w:hint="eastAsia"/>
          <w:szCs w:val="31"/>
        </w:rPr>
        <w:t>第三节 提升公众服务功能</w:t>
      </w:r>
      <w:r>
        <w:tab/>
      </w:r>
      <w:r>
        <w:fldChar w:fldCharType="begin"/>
      </w:r>
      <w:r>
        <w:instrText xml:space="preserve"> PAGEREF _Toc18414 \h </w:instrText>
      </w:r>
      <w:r>
        <w:fldChar w:fldCharType="separate"/>
      </w:r>
      <w:r>
        <w:t>28</w:t>
      </w:r>
      <w:r>
        <w:fldChar w:fldCharType="end"/>
      </w:r>
      <w:r>
        <w:rPr>
          <w:szCs w:val="21"/>
        </w:rPr>
        <w:fldChar w:fldCharType="end"/>
      </w:r>
    </w:p>
    <w:p>
      <w:pPr>
        <w:pStyle w:val="57"/>
        <w:tabs>
          <w:tab w:val="clear" w:pos="0"/>
          <w:tab w:val="clear" w:pos="8302"/>
          <w:tab w:val="right" w:leader="dot" w:pos="8732"/>
        </w:tabs>
      </w:pPr>
      <w:r>
        <w:rPr>
          <w:szCs w:val="21"/>
        </w:rPr>
        <w:fldChar w:fldCharType="begin"/>
      </w:r>
      <w:r>
        <w:rPr>
          <w:szCs w:val="21"/>
        </w:rPr>
        <w:instrText xml:space="preserve"> HYPERLINK \l _Toc20537 </w:instrText>
      </w:r>
      <w:r>
        <w:rPr>
          <w:szCs w:val="21"/>
        </w:rPr>
        <w:fldChar w:fldCharType="separate"/>
      </w:r>
      <w:r>
        <w:rPr>
          <w:rFonts w:hint="eastAsia"/>
          <w:szCs w:val="31"/>
        </w:rPr>
        <w:t>第七章 健全风险防控，提升海洋环境风险应急能力</w:t>
      </w:r>
      <w:r>
        <w:tab/>
      </w:r>
      <w:r>
        <w:fldChar w:fldCharType="begin"/>
      </w:r>
      <w:r>
        <w:instrText xml:space="preserve"> PAGEREF _Toc20537 \h </w:instrText>
      </w:r>
      <w:r>
        <w:fldChar w:fldCharType="separate"/>
      </w:r>
      <w:r>
        <w:t>30</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_Toc7202 </w:instrText>
      </w:r>
      <w:r>
        <w:rPr>
          <w:szCs w:val="21"/>
        </w:rPr>
        <w:fldChar w:fldCharType="separate"/>
      </w:r>
      <w:r>
        <w:rPr>
          <w:rFonts w:ascii="Times New Roman" w:cs="Times New Roman" w:hAnsi="Times New Roman" w:hint="eastAsia"/>
          <w:szCs w:val="31"/>
        </w:rPr>
        <w:t>第一节 加强海洋环境风险源头防范</w:t>
      </w:r>
      <w:r>
        <w:tab/>
      </w:r>
      <w:r>
        <w:fldChar w:fldCharType="begin"/>
      </w:r>
      <w:r>
        <w:instrText xml:space="preserve"> PAGEREF _Toc7202 \h </w:instrText>
      </w:r>
      <w:r>
        <w:fldChar w:fldCharType="separate"/>
      </w:r>
      <w:r>
        <w:t>30</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_Toc7422 </w:instrText>
      </w:r>
      <w:r>
        <w:rPr>
          <w:szCs w:val="21"/>
        </w:rPr>
        <w:fldChar w:fldCharType="separate"/>
      </w:r>
      <w:r>
        <w:rPr>
          <w:rFonts w:ascii="Times New Roman" w:cs="Times New Roman" w:hAnsi="Times New Roman" w:hint="eastAsia"/>
          <w:szCs w:val="31"/>
        </w:rPr>
        <w:t>第二节 强化应急响应协同处置能力建设</w:t>
      </w:r>
      <w:r>
        <w:tab/>
      </w:r>
      <w:r>
        <w:fldChar w:fldCharType="begin"/>
      </w:r>
      <w:r>
        <w:instrText xml:space="preserve"> PAGEREF _Toc7422 \h </w:instrText>
      </w:r>
      <w:r>
        <w:fldChar w:fldCharType="separate"/>
      </w:r>
      <w:r>
        <w:t>31</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_Toc29650 </w:instrText>
      </w:r>
      <w:r>
        <w:rPr>
          <w:szCs w:val="21"/>
        </w:rPr>
        <w:fldChar w:fldCharType="separate"/>
      </w:r>
      <w:r>
        <w:rPr>
          <w:rFonts w:ascii="Times New Roman" w:cs="Times New Roman" w:hAnsi="Times New Roman" w:hint="eastAsia"/>
          <w:szCs w:val="31"/>
        </w:rPr>
        <w:t>第三节 健全海洋生态环境损害赔偿制度</w:t>
      </w:r>
      <w:r>
        <w:tab/>
      </w:r>
      <w:r>
        <w:fldChar w:fldCharType="begin"/>
      </w:r>
      <w:r>
        <w:instrText xml:space="preserve"> PAGEREF _Toc29650 \h </w:instrText>
      </w:r>
      <w:r>
        <w:fldChar w:fldCharType="separate"/>
      </w:r>
      <w:r>
        <w:t>33</w:t>
      </w:r>
      <w:r>
        <w:fldChar w:fldCharType="end"/>
      </w:r>
      <w:r>
        <w:rPr>
          <w:szCs w:val="21"/>
        </w:rPr>
        <w:fldChar w:fldCharType="end"/>
      </w:r>
    </w:p>
    <w:p>
      <w:pPr>
        <w:pStyle w:val="57"/>
        <w:tabs>
          <w:tab w:val="clear" w:pos="0"/>
          <w:tab w:val="clear" w:pos="8302"/>
          <w:tab w:val="right" w:leader="dot" w:pos="8732"/>
        </w:tabs>
      </w:pPr>
      <w:r>
        <w:rPr>
          <w:szCs w:val="21"/>
        </w:rPr>
        <w:fldChar w:fldCharType="begin"/>
      </w:r>
      <w:r>
        <w:rPr>
          <w:szCs w:val="21"/>
        </w:rPr>
        <w:instrText xml:space="preserve"> HYPERLINK \l _Toc3472 </w:instrText>
      </w:r>
      <w:r>
        <w:rPr>
          <w:szCs w:val="21"/>
        </w:rPr>
        <w:fldChar w:fldCharType="separate"/>
      </w:r>
      <w:r>
        <w:rPr>
          <w:rFonts w:hint="eastAsia"/>
          <w:szCs w:val="31"/>
        </w:rPr>
        <w:t>第八章 深化陆海统筹，建立健全海洋生态环境治理体系</w:t>
      </w:r>
      <w:r>
        <w:tab/>
      </w:r>
      <w:r>
        <w:fldChar w:fldCharType="begin"/>
      </w:r>
      <w:r>
        <w:instrText xml:space="preserve"> PAGEREF _Toc3472 \h </w:instrText>
      </w:r>
      <w:r>
        <w:fldChar w:fldCharType="separate"/>
      </w:r>
      <w:r>
        <w:t>34</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_Toc9820 </w:instrText>
      </w:r>
      <w:r>
        <w:rPr>
          <w:szCs w:val="21"/>
        </w:rPr>
        <w:fldChar w:fldCharType="separate"/>
      </w:r>
      <w:r>
        <w:rPr>
          <w:rFonts w:ascii="Times New Roman" w:cs="Times New Roman" w:hAnsi="Times New Roman" w:hint="eastAsia"/>
          <w:szCs w:val="31"/>
        </w:rPr>
        <w:t>第一节 建立陆海统筹生态环境治理制度</w:t>
      </w:r>
      <w:r>
        <w:tab/>
      </w:r>
      <w:r>
        <w:fldChar w:fldCharType="begin"/>
      </w:r>
      <w:r>
        <w:instrText xml:space="preserve"> PAGEREF _Toc9820 \h </w:instrText>
      </w:r>
      <w:r>
        <w:fldChar w:fldCharType="separate"/>
      </w:r>
      <w:r>
        <w:t>35</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_Toc10194 </w:instrText>
      </w:r>
      <w:r>
        <w:rPr>
          <w:szCs w:val="21"/>
        </w:rPr>
        <w:fldChar w:fldCharType="separate"/>
      </w:r>
      <w:r>
        <w:rPr>
          <w:rFonts w:ascii="Times New Roman" w:cs="Times New Roman" w:hAnsi="Times New Roman" w:hint="eastAsia"/>
          <w:szCs w:val="31"/>
        </w:rPr>
        <w:t>第二节 健全海洋生态环境治理体制机制</w:t>
      </w:r>
      <w:r>
        <w:tab/>
      </w:r>
      <w:r>
        <w:fldChar w:fldCharType="begin"/>
      </w:r>
      <w:r>
        <w:instrText xml:space="preserve"> PAGEREF _Toc10194 \h </w:instrText>
      </w:r>
      <w:r>
        <w:fldChar w:fldCharType="separate"/>
      </w:r>
      <w:r>
        <w:t>36</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_Toc1550 </w:instrText>
      </w:r>
      <w:r>
        <w:rPr>
          <w:szCs w:val="21"/>
        </w:rPr>
        <w:fldChar w:fldCharType="separate"/>
      </w:r>
      <w:r>
        <w:rPr>
          <w:rFonts w:ascii="Times New Roman" w:cs="Times New Roman" w:hAnsi="Times New Roman" w:hint="eastAsia"/>
          <w:szCs w:val="31"/>
        </w:rPr>
        <w:t>第三节 提升海洋生态环境监测监管能力</w:t>
      </w:r>
      <w:r>
        <w:tab/>
      </w:r>
      <w:r>
        <w:fldChar w:fldCharType="begin"/>
      </w:r>
      <w:r>
        <w:instrText xml:space="preserve"> PAGEREF _Toc1550 \h </w:instrText>
      </w:r>
      <w:r>
        <w:fldChar w:fldCharType="separate"/>
      </w:r>
      <w:r>
        <w:t>38</w:t>
      </w:r>
      <w:r>
        <w:fldChar w:fldCharType="end"/>
      </w:r>
      <w:r>
        <w:rPr>
          <w:szCs w:val="21"/>
        </w:rPr>
        <w:fldChar w:fldCharType="end"/>
      </w:r>
    </w:p>
    <w:p>
      <w:pPr>
        <w:pStyle w:val="57"/>
        <w:tabs>
          <w:tab w:val="clear" w:pos="0"/>
          <w:tab w:val="clear" w:pos="8302"/>
          <w:tab w:val="right" w:leader="dot" w:pos="8732"/>
        </w:tabs>
      </w:pPr>
      <w:r>
        <w:rPr>
          <w:szCs w:val="21"/>
        </w:rPr>
        <w:fldChar w:fldCharType="begin"/>
      </w:r>
      <w:r>
        <w:rPr>
          <w:szCs w:val="21"/>
        </w:rPr>
        <w:instrText xml:space="preserve"> HYPERLINK \l _Toc12531 </w:instrText>
      </w:r>
      <w:r>
        <w:rPr>
          <w:szCs w:val="21"/>
        </w:rPr>
        <w:fldChar w:fldCharType="separate"/>
      </w:r>
      <w:r>
        <w:rPr>
          <w:rFonts w:ascii="Times New Roman" w:cs="Times New Roman" w:hAnsi="Times New Roman" w:hint="eastAsia"/>
          <w:bCs/>
          <w:kern w:val="44"/>
          <w:szCs w:val="31"/>
        </w:rPr>
        <w:t xml:space="preserve">第九章 </w:t>
      </w:r>
      <w:r>
        <w:rPr>
          <w:rFonts w:ascii="Times New Roman" w:cs="Times New Roman" w:hAnsi="Times New Roman"/>
          <w:bCs/>
          <w:kern w:val="44"/>
          <w:szCs w:val="31"/>
        </w:rPr>
        <w:t>保障措施</w:t>
      </w:r>
      <w:r>
        <w:tab/>
      </w:r>
      <w:r>
        <w:fldChar w:fldCharType="begin"/>
      </w:r>
      <w:r>
        <w:instrText xml:space="preserve"> PAGEREF _Toc12531 \h </w:instrText>
      </w:r>
      <w:r>
        <w:fldChar w:fldCharType="separate"/>
      </w:r>
      <w:r>
        <w:t>41</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_Toc22310 </w:instrText>
      </w:r>
      <w:r>
        <w:rPr>
          <w:szCs w:val="21"/>
        </w:rPr>
        <w:fldChar w:fldCharType="separate"/>
      </w:r>
      <w:r>
        <w:rPr>
          <w:rFonts w:ascii="Times New Roman" w:cs="Times New Roman" w:hAnsi="Times New Roman"/>
          <w:szCs w:val="31"/>
        </w:rPr>
        <w:t>第</w:t>
      </w:r>
      <w:r>
        <w:rPr>
          <w:rFonts w:ascii="Times New Roman" w:cs="Times New Roman" w:hAnsi="Times New Roman" w:hint="eastAsia"/>
          <w:szCs w:val="31"/>
        </w:rPr>
        <w:t>一</w:t>
      </w:r>
      <w:r>
        <w:rPr>
          <w:rFonts w:ascii="Times New Roman" w:cs="Times New Roman" w:hAnsi="Times New Roman"/>
          <w:szCs w:val="31"/>
        </w:rPr>
        <w:t>节 加强组织实施</w:t>
      </w:r>
      <w:r>
        <w:tab/>
      </w:r>
      <w:r>
        <w:fldChar w:fldCharType="begin"/>
      </w:r>
      <w:r>
        <w:instrText xml:space="preserve"> PAGEREF _Toc22310 \h </w:instrText>
      </w:r>
      <w:r>
        <w:fldChar w:fldCharType="separate"/>
      </w:r>
      <w:r>
        <w:t>41</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_Toc18649 </w:instrText>
      </w:r>
      <w:r>
        <w:rPr>
          <w:szCs w:val="21"/>
        </w:rPr>
        <w:fldChar w:fldCharType="separate"/>
      </w:r>
      <w:r>
        <w:rPr>
          <w:rFonts w:ascii="Times New Roman" w:cs="Times New Roman" w:hAnsi="Times New Roman"/>
          <w:szCs w:val="31"/>
        </w:rPr>
        <w:t>第</w:t>
      </w:r>
      <w:r>
        <w:rPr>
          <w:rFonts w:ascii="Times New Roman" w:cs="Times New Roman" w:hAnsi="Times New Roman" w:hint="eastAsia"/>
          <w:szCs w:val="31"/>
        </w:rPr>
        <w:t>二</w:t>
      </w:r>
      <w:r>
        <w:rPr>
          <w:rFonts w:ascii="Times New Roman" w:cs="Times New Roman" w:hAnsi="Times New Roman"/>
          <w:szCs w:val="31"/>
        </w:rPr>
        <w:t xml:space="preserve">节 </w:t>
      </w:r>
      <w:r>
        <w:rPr>
          <w:rFonts w:ascii="Times New Roman" w:cs="Times New Roman" w:hAnsi="Times New Roman" w:hint="eastAsia"/>
          <w:szCs w:val="31"/>
        </w:rPr>
        <w:t>强化</w:t>
      </w:r>
      <w:r>
        <w:rPr>
          <w:rFonts w:ascii="Times New Roman" w:cs="Times New Roman" w:hAnsi="Times New Roman"/>
          <w:szCs w:val="31"/>
          <w:lang w:val="en-US" w:eastAsia="zh-CN"/>
        </w:rPr>
        <w:t>资金</w:t>
      </w:r>
      <w:r>
        <w:rPr>
          <w:rFonts w:ascii="Times New Roman" w:cs="Times New Roman" w:hAnsi="Times New Roman" w:hint="eastAsia"/>
          <w:szCs w:val="31"/>
        </w:rPr>
        <w:t>保障</w:t>
      </w:r>
      <w:r>
        <w:tab/>
      </w:r>
      <w:r>
        <w:fldChar w:fldCharType="begin"/>
      </w:r>
      <w:r>
        <w:instrText xml:space="preserve"> PAGEREF _Toc18649 \h </w:instrText>
      </w:r>
      <w:r>
        <w:fldChar w:fldCharType="separate"/>
      </w:r>
      <w:r>
        <w:t>42</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_Toc31756 </w:instrText>
      </w:r>
      <w:r>
        <w:rPr>
          <w:szCs w:val="21"/>
        </w:rPr>
        <w:fldChar w:fldCharType="separate"/>
      </w:r>
      <w:r>
        <w:rPr>
          <w:rFonts w:ascii="Times New Roman" w:cs="Times New Roman" w:hAnsi="Times New Roman"/>
          <w:szCs w:val="31"/>
        </w:rPr>
        <w:t>第</w:t>
      </w:r>
      <w:r>
        <w:rPr>
          <w:rFonts w:ascii="Times New Roman" w:cs="Times New Roman" w:hAnsi="Times New Roman" w:hint="eastAsia"/>
          <w:szCs w:val="31"/>
        </w:rPr>
        <w:t>三</w:t>
      </w:r>
      <w:r>
        <w:rPr>
          <w:rFonts w:ascii="Times New Roman" w:cs="Times New Roman" w:hAnsi="Times New Roman"/>
          <w:szCs w:val="31"/>
        </w:rPr>
        <w:t xml:space="preserve">节 </w:t>
      </w:r>
      <w:r>
        <w:rPr>
          <w:rFonts w:ascii="Times New Roman" w:cs="Times New Roman" w:hAnsi="Times New Roman" w:hint="eastAsia"/>
          <w:szCs w:val="31"/>
        </w:rPr>
        <w:t>强化科技支撑</w:t>
      </w:r>
      <w:r>
        <w:tab/>
      </w:r>
      <w:r>
        <w:fldChar w:fldCharType="begin"/>
      </w:r>
      <w:r>
        <w:instrText xml:space="preserve"> PAGEREF _Toc31756 \h </w:instrText>
      </w:r>
      <w:r>
        <w:fldChar w:fldCharType="separate"/>
      </w:r>
      <w:r>
        <w:t>42</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_Toc27132 </w:instrText>
      </w:r>
      <w:r>
        <w:rPr>
          <w:szCs w:val="21"/>
        </w:rPr>
        <w:fldChar w:fldCharType="separate"/>
      </w:r>
      <w:r>
        <w:rPr>
          <w:rFonts w:ascii="Times New Roman" w:cs="Times New Roman" w:hAnsi="Times New Roman"/>
          <w:szCs w:val="31"/>
        </w:rPr>
        <w:t>第</w:t>
      </w:r>
      <w:r>
        <w:rPr>
          <w:rFonts w:ascii="Times New Roman" w:cs="Times New Roman" w:hAnsi="Times New Roman" w:hint="eastAsia"/>
          <w:szCs w:val="31"/>
        </w:rPr>
        <w:t>四</w:t>
      </w:r>
      <w:r>
        <w:rPr>
          <w:rFonts w:ascii="Times New Roman" w:cs="Times New Roman" w:hAnsi="Times New Roman"/>
          <w:szCs w:val="31"/>
        </w:rPr>
        <w:t>节 开展评估考核</w:t>
      </w:r>
      <w:r>
        <w:tab/>
      </w:r>
      <w:r>
        <w:fldChar w:fldCharType="begin"/>
      </w:r>
      <w:r>
        <w:instrText xml:space="preserve"> PAGEREF _Toc27132 \h </w:instrText>
      </w:r>
      <w:r>
        <w:fldChar w:fldCharType="separate"/>
      </w:r>
      <w:r>
        <w:t>43</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_Toc26691 </w:instrText>
      </w:r>
      <w:r>
        <w:rPr>
          <w:szCs w:val="21"/>
        </w:rPr>
        <w:fldChar w:fldCharType="separate"/>
      </w:r>
      <w:r>
        <w:rPr>
          <w:rFonts w:ascii="Times New Roman" w:cs="Times New Roman" w:hAnsi="Times New Roman" w:hint="eastAsia"/>
          <w:szCs w:val="31"/>
        </w:rPr>
        <w:t>第五节 强化宣传引导</w:t>
      </w:r>
      <w:r>
        <w:tab/>
      </w:r>
      <w:r>
        <w:fldChar w:fldCharType="begin"/>
      </w:r>
      <w:r>
        <w:instrText xml:space="preserve"> PAGEREF _Toc26691 \h </w:instrText>
      </w:r>
      <w:r>
        <w:fldChar w:fldCharType="separate"/>
      </w:r>
      <w:r>
        <w:t>43</w:t>
      </w:r>
      <w:r>
        <w:fldChar w:fldCharType="end"/>
      </w:r>
      <w:r>
        <w:rPr>
          <w:szCs w:val="21"/>
        </w:rPr>
        <w:fldChar w:fldCharType="end"/>
      </w:r>
    </w:p>
    <w:p>
      <w:pPr>
        <w:pStyle w:val="57"/>
        <w:tabs>
          <w:tab w:val="clear" w:pos="0"/>
          <w:tab w:val="clear" w:pos="8302"/>
          <w:tab w:val="right" w:leader="dot" w:pos="8732"/>
        </w:tabs>
      </w:pPr>
      <w:r>
        <w:rPr>
          <w:szCs w:val="21"/>
        </w:rPr>
        <w:fldChar w:fldCharType="begin"/>
      </w:r>
      <w:r>
        <w:rPr>
          <w:szCs w:val="21"/>
        </w:rPr>
        <w:instrText xml:space="preserve"> HYPERLINK \l _Toc14613 </w:instrText>
      </w:r>
      <w:r>
        <w:rPr>
          <w:szCs w:val="21"/>
        </w:rPr>
        <w:fldChar w:fldCharType="separate"/>
      </w:r>
      <w:r>
        <w:rPr>
          <w:rFonts w:hint="eastAsia"/>
        </w:rPr>
        <w:t>附图</w:t>
      </w:r>
      <w:r>
        <w:tab/>
      </w:r>
      <w:r>
        <w:fldChar w:fldCharType="begin"/>
      </w:r>
      <w:r>
        <w:instrText xml:space="preserve"> PAGEREF _Toc14613 \h </w:instrText>
      </w:r>
      <w:r>
        <w:fldChar w:fldCharType="separate"/>
      </w:r>
      <w:r>
        <w:t>45</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_Toc14299 </w:instrText>
      </w:r>
      <w:r>
        <w:rPr>
          <w:szCs w:val="21"/>
        </w:rPr>
        <w:fldChar w:fldCharType="separate"/>
      </w:r>
      <w:r>
        <w:rPr>
          <w:rFonts w:ascii="楷体_GB2312" w:cs="楷体_GB2312" w:hAnsi="楷体_GB2312" w:hint="eastAsia"/>
          <w:bCs/>
        </w:rPr>
        <w:t>附</w:t>
      </w:r>
      <w:r>
        <w:rPr>
          <w:rFonts w:ascii="楷体_GB2312" w:eastAsia="楷体_GB2312" w:cs="楷体_GB2312" w:hint="eastAsia"/>
          <w:bCs/>
          <w:szCs w:val="28"/>
        </w:rPr>
        <w:t>图1 福建省海湾（湾区）管控单元分布图</w:t>
      </w:r>
      <w:r>
        <w:tab/>
      </w:r>
      <w:r>
        <w:fldChar w:fldCharType="begin"/>
      </w:r>
      <w:r>
        <w:instrText xml:space="preserve"> PAGEREF _Toc14299 \h </w:instrText>
      </w:r>
      <w:r>
        <w:fldChar w:fldCharType="separate"/>
      </w:r>
      <w:r>
        <w:t>45</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_Toc11083 </w:instrText>
      </w:r>
      <w:r>
        <w:rPr>
          <w:szCs w:val="21"/>
        </w:rPr>
        <w:fldChar w:fldCharType="separate"/>
      </w:r>
      <w:r>
        <w:rPr>
          <w:rFonts w:eastAsia="楷体_GB2312" w:hint="eastAsia"/>
          <w:bCs/>
          <w:szCs w:val="24"/>
        </w:rPr>
        <w:t>附图2 福建省主要入海流域和海湾分布图</w:t>
      </w:r>
      <w:r>
        <w:tab/>
      </w:r>
      <w:r>
        <w:fldChar w:fldCharType="begin"/>
      </w:r>
      <w:r>
        <w:instrText xml:space="preserve"> PAGEREF _Toc11083 \h </w:instrText>
      </w:r>
      <w:r>
        <w:fldChar w:fldCharType="separate"/>
      </w:r>
      <w:r>
        <w:t>46</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_Toc30565 </w:instrText>
      </w:r>
      <w:r>
        <w:rPr>
          <w:szCs w:val="21"/>
        </w:rPr>
        <w:fldChar w:fldCharType="separate"/>
      </w:r>
      <w:r>
        <w:rPr>
          <w:rFonts w:ascii="楷体_GB2312" w:eastAsia="楷体_GB2312" w:cs="楷体_GB2312" w:hint="eastAsia"/>
          <w:bCs/>
          <w:szCs w:val="32"/>
        </w:rPr>
        <w:t>附图3 福建省海洋环境监测站位分布图</w:t>
      </w:r>
      <w:r>
        <w:tab/>
      </w:r>
      <w:r>
        <w:fldChar w:fldCharType="begin"/>
      </w:r>
      <w:r>
        <w:instrText xml:space="preserve"> PAGEREF _Toc30565 \h </w:instrText>
      </w:r>
      <w:r>
        <w:fldChar w:fldCharType="separate"/>
      </w:r>
      <w:r>
        <w:t>47</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_Toc32454 </w:instrText>
      </w:r>
      <w:r>
        <w:rPr>
          <w:szCs w:val="21"/>
        </w:rPr>
        <w:fldChar w:fldCharType="separate"/>
      </w:r>
      <w:r>
        <w:rPr>
          <w:rFonts w:ascii="楷体_GB2312" w:eastAsia="楷体_GB2312" w:cs="楷体_GB2312" w:hint="eastAsia"/>
          <w:bCs/>
          <w:szCs w:val="32"/>
        </w:rPr>
        <w:t>附图4 福建省海湾污染治理措施分布图</w:t>
      </w:r>
      <w:r>
        <w:tab/>
      </w:r>
      <w:r>
        <w:fldChar w:fldCharType="begin"/>
      </w:r>
      <w:r>
        <w:instrText xml:space="preserve"> PAGEREF _Toc32454 \h </w:instrText>
      </w:r>
      <w:r>
        <w:fldChar w:fldCharType="separate"/>
      </w:r>
      <w:r>
        <w:t>48</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_Toc18631 </w:instrText>
      </w:r>
      <w:r>
        <w:rPr>
          <w:szCs w:val="21"/>
        </w:rPr>
        <w:fldChar w:fldCharType="separate"/>
      </w:r>
      <w:r>
        <w:rPr>
          <w:rFonts w:ascii="楷体_GB2312" w:eastAsia="楷体_GB2312" w:cs="楷体_GB2312" w:hint="eastAsia"/>
          <w:bCs/>
          <w:szCs w:val="32"/>
        </w:rPr>
        <w:t>附图5 福建省海湾生态保护修复措施分布图</w:t>
      </w:r>
      <w:r>
        <w:tab/>
      </w:r>
      <w:r>
        <w:fldChar w:fldCharType="begin"/>
      </w:r>
      <w:r>
        <w:instrText xml:space="preserve"> PAGEREF _Toc18631 \h </w:instrText>
      </w:r>
      <w:r>
        <w:fldChar w:fldCharType="separate"/>
      </w:r>
      <w:r>
        <w:t>49</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_Toc8395 </w:instrText>
      </w:r>
      <w:r>
        <w:rPr>
          <w:szCs w:val="21"/>
        </w:rPr>
        <w:fldChar w:fldCharType="separate"/>
      </w:r>
      <w:r>
        <w:rPr>
          <w:rFonts w:ascii="楷体_GB2312" w:eastAsia="楷体_GB2312" w:cs="楷体_GB2312" w:hint="eastAsia"/>
          <w:bCs/>
          <w:szCs w:val="32"/>
        </w:rPr>
        <w:t>附图6 福建省亲海环境品质提升措施分布图</w:t>
      </w:r>
      <w:r>
        <w:tab/>
      </w:r>
      <w:r>
        <w:fldChar w:fldCharType="begin"/>
      </w:r>
      <w:r>
        <w:instrText xml:space="preserve"> PAGEREF _Toc8395 \h </w:instrText>
      </w:r>
      <w:r>
        <w:fldChar w:fldCharType="separate"/>
      </w:r>
      <w:r>
        <w:t>50</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_Toc13145 </w:instrText>
      </w:r>
      <w:r>
        <w:rPr>
          <w:szCs w:val="21"/>
        </w:rPr>
        <w:fldChar w:fldCharType="separate"/>
      </w:r>
      <w:r>
        <w:rPr>
          <w:rFonts w:ascii="楷体_GB2312" w:eastAsia="楷体_GB2312" w:cs="楷体_GB2312" w:hint="eastAsia"/>
          <w:bCs/>
          <w:szCs w:val="32"/>
        </w:rPr>
        <w:t>附图7 福建省海湾环境风险防范建设</w:t>
      </w:r>
      <w:r>
        <w:rPr>
          <w:rFonts w:ascii="楷体_GB2312" w:eastAsia="楷体_GB2312" w:cs="楷体_GB2312" w:hint="eastAsia"/>
          <w:bCs/>
          <w:szCs w:val="32"/>
          <w:lang w:eastAsia="zh-CN"/>
        </w:rPr>
        <w:t>区域</w:t>
      </w:r>
      <w:r>
        <w:rPr>
          <w:rFonts w:ascii="楷体_GB2312" w:eastAsia="楷体_GB2312" w:cs="楷体_GB2312" w:hint="eastAsia"/>
          <w:bCs/>
          <w:szCs w:val="32"/>
        </w:rPr>
        <w:t>分布图</w:t>
      </w:r>
      <w:r>
        <w:tab/>
      </w:r>
      <w:r>
        <w:fldChar w:fldCharType="begin"/>
      </w:r>
      <w:r>
        <w:instrText xml:space="preserve"> PAGEREF _Toc13145 \h </w:instrText>
      </w:r>
      <w:r>
        <w:fldChar w:fldCharType="separate"/>
      </w:r>
      <w:r>
        <w:t>51</w:t>
      </w:r>
      <w:r>
        <w:fldChar w:fldCharType="end"/>
      </w:r>
      <w:r>
        <w:rPr>
          <w:szCs w:val="21"/>
        </w:rPr>
        <w:fldChar w:fldCharType="end"/>
      </w:r>
    </w:p>
    <w:p>
      <w:pPr>
        <w:pStyle w:val="68"/>
        <w:tabs>
          <w:tab w:val="clear" w:pos="1260"/>
          <w:tab w:val="clear" w:pos="8302"/>
          <w:tab w:val="right" w:leader="dot" w:pos="8732"/>
        </w:tabs>
      </w:pPr>
      <w:r>
        <w:rPr>
          <w:szCs w:val="21"/>
        </w:rPr>
        <w:fldChar w:fldCharType="begin"/>
      </w:r>
      <w:r>
        <w:rPr>
          <w:szCs w:val="21"/>
        </w:rPr>
        <w:instrText xml:space="preserve"> HYPERLINK \l _Toc13778 </w:instrText>
      </w:r>
      <w:r>
        <w:rPr>
          <w:szCs w:val="21"/>
        </w:rPr>
        <w:fldChar w:fldCharType="separate"/>
      </w:r>
      <w:r>
        <w:rPr>
          <w:rFonts w:ascii="楷体_GB2312" w:eastAsia="楷体_GB2312" w:cs="楷体_GB2312" w:hint="eastAsia"/>
          <w:bCs/>
          <w:szCs w:val="32"/>
        </w:rPr>
        <w:t>附图8 福建省海湾生态环境监管能力建设</w:t>
      </w:r>
      <w:r>
        <w:rPr>
          <w:rFonts w:ascii="楷体_GB2312" w:eastAsia="楷体_GB2312" w:cs="楷体_GB2312" w:hint="eastAsia"/>
          <w:bCs/>
          <w:szCs w:val="32"/>
          <w:lang w:eastAsia="zh-CN"/>
        </w:rPr>
        <w:t>区域</w:t>
      </w:r>
      <w:r>
        <w:rPr>
          <w:rFonts w:ascii="楷体_GB2312" w:eastAsia="楷体_GB2312" w:cs="楷体_GB2312" w:hint="eastAsia"/>
          <w:bCs/>
          <w:szCs w:val="32"/>
        </w:rPr>
        <w:t>分布图</w:t>
      </w:r>
      <w:r>
        <w:tab/>
      </w:r>
      <w:r>
        <w:fldChar w:fldCharType="begin"/>
      </w:r>
      <w:r>
        <w:instrText xml:space="preserve"> PAGEREF _Toc13778 \h </w:instrText>
      </w:r>
      <w:r>
        <w:fldChar w:fldCharType="separate"/>
      </w:r>
      <w:r>
        <w:t>52</w:t>
      </w:r>
      <w:r>
        <w:fldChar w:fldCharType="end"/>
      </w:r>
      <w:r>
        <w:rPr>
          <w:szCs w:val="21"/>
        </w:rPr>
        <w:fldChar w:fldCharType="end"/>
      </w:r>
    </w:p>
    <w:p>
      <w:pPr>
        <w:pStyle w:val="57"/>
        <w:tabs>
          <w:tab w:val="clear" w:pos="0"/>
          <w:tab w:val="clear" w:pos="8302"/>
          <w:tab w:val="right" w:leader="dot" w:pos="8732"/>
        </w:tabs>
      </w:pPr>
      <w:r>
        <w:rPr>
          <w:szCs w:val="21"/>
        </w:rPr>
        <w:fldChar w:fldCharType="begin"/>
      </w:r>
      <w:r>
        <w:rPr>
          <w:szCs w:val="21"/>
        </w:rPr>
        <w:instrText xml:space="preserve"> HYPERLINK \l _Toc8749 </w:instrText>
      </w:r>
      <w:r>
        <w:rPr>
          <w:szCs w:val="21"/>
        </w:rPr>
        <w:fldChar w:fldCharType="separate"/>
      </w:r>
      <w:r>
        <w:rPr>
          <w:rFonts w:eastAsia="黑体"/>
          <w:szCs w:val="36"/>
        </w:rPr>
        <w:t>附表</w:t>
      </w:r>
      <w:r>
        <w:tab/>
      </w:r>
      <w:r>
        <w:fldChar w:fldCharType="begin"/>
      </w:r>
      <w:r>
        <w:instrText xml:space="preserve"> PAGEREF _Toc8749 \h </w:instrText>
      </w:r>
      <w:r>
        <w:fldChar w:fldCharType="separate"/>
      </w:r>
      <w:r>
        <w:t>53</w:t>
      </w:r>
      <w:r>
        <w:fldChar w:fldCharType="end"/>
      </w:r>
      <w:r>
        <w:rPr>
          <w:szCs w:val="21"/>
        </w:rPr>
        <w:fldChar w:fldCharType="end"/>
      </w:r>
    </w:p>
    <w:p>
      <w:pPr>
        <w:pStyle w:val="68"/>
        <w:tabs>
          <w:tab w:val="clear" w:pos="1260"/>
          <w:tab w:val="clear" w:pos="8302"/>
          <w:tab w:val="right" w:leader="dot" w:pos="8732"/>
        </w:tabs>
        <w:rPr>
          <w:rFonts w:ascii="楷体_GB2312" w:eastAsia="楷体_GB2312" w:cs="楷体_GB2312" w:hint="eastAsia"/>
          <w:bCs/>
          <w:szCs w:val="32"/>
        </w:rPr>
      </w:pPr>
      <w:r>
        <w:rPr>
          <w:rFonts w:ascii="楷体_GB2312" w:eastAsia="楷体_GB2312" w:cs="楷体_GB2312" w:hint="eastAsia"/>
          <w:bCs/>
          <w:szCs w:val="32"/>
        </w:rPr>
        <w:fldChar w:fldCharType="begin"/>
      </w:r>
      <w:r>
        <w:rPr>
          <w:rFonts w:ascii="楷体_GB2312" w:eastAsia="楷体_GB2312" w:cs="楷体_GB2312" w:hint="eastAsia"/>
          <w:bCs/>
          <w:szCs w:val="32"/>
        </w:rPr>
        <w:instrText xml:space="preserve"> HYPERLINK \l _Toc23350 </w:instrText>
      </w:r>
      <w:r>
        <w:rPr>
          <w:rFonts w:ascii="楷体_GB2312" w:eastAsia="楷体_GB2312" w:cs="楷体_GB2312" w:hint="eastAsia"/>
          <w:bCs/>
          <w:szCs w:val="32"/>
        </w:rPr>
        <w:fldChar w:fldCharType="separate"/>
      </w:r>
      <w:r>
        <w:rPr>
          <w:rFonts w:ascii="楷体_GB2312" w:eastAsia="楷体_GB2312" w:cs="楷体_GB2312" w:hint="eastAsia"/>
          <w:bCs/>
          <w:kern w:val="0"/>
          <w:szCs w:val="32"/>
        </w:rPr>
        <w:t>附表1. 福建省“美丽海湾”保护与建设海湾（湾区）单元选划名录</w:t>
      </w:r>
      <w:r>
        <w:rPr>
          <w:rFonts w:ascii="楷体_GB2312" w:eastAsia="楷体_GB2312" w:cs="楷体_GB2312" w:hint="eastAsia"/>
          <w:bCs/>
          <w:szCs w:val="32"/>
        </w:rPr>
        <w:tab/>
      </w:r>
      <w:r>
        <w:rPr>
          <w:rFonts w:ascii="Times New Roman" w:eastAsia="仿宋_GB2312" w:cs="Times New Roman" w:hAnsi="Times New Roman"/>
          <w:bCs w:val="0"/>
          <w:szCs w:val="24"/>
        </w:rPr>
        <w:fldChar w:fldCharType="begin"/>
      </w:r>
      <w:r>
        <w:rPr>
          <w:rFonts w:ascii="Times New Roman" w:eastAsia="仿宋_GB2312" w:cs="Times New Roman" w:hAnsi="Times New Roman"/>
          <w:bCs w:val="0"/>
          <w:szCs w:val="24"/>
        </w:rPr>
        <w:instrText xml:space="preserve"> PAGEREF _Toc23350 \h </w:instrText>
      </w:r>
      <w:r>
        <w:rPr>
          <w:rFonts w:ascii="Times New Roman" w:eastAsia="仿宋_GB2312" w:cs="Times New Roman" w:hAnsi="Times New Roman"/>
          <w:bCs w:val="0"/>
          <w:szCs w:val="24"/>
        </w:rPr>
        <w:fldChar w:fldCharType="separate"/>
      </w:r>
      <w:r>
        <w:rPr>
          <w:rFonts w:ascii="Times New Roman" w:eastAsia="仿宋_GB2312" w:cs="Times New Roman" w:hAnsi="Times New Roman"/>
          <w:bCs w:val="0"/>
          <w:szCs w:val="24"/>
        </w:rPr>
        <w:t>53</w:t>
      </w:r>
      <w:r>
        <w:rPr>
          <w:rFonts w:ascii="Times New Roman" w:eastAsia="仿宋_GB2312" w:cs="Times New Roman" w:hAnsi="Times New Roman"/>
          <w:bCs w:val="0"/>
          <w:szCs w:val="24"/>
        </w:rPr>
        <w:fldChar w:fldCharType="end"/>
      </w:r>
      <w:r>
        <w:rPr>
          <w:rFonts w:ascii="楷体_GB2312" w:eastAsia="楷体_GB2312" w:cs="楷体_GB2312" w:hint="eastAsia"/>
          <w:bCs/>
          <w:szCs w:val="32"/>
        </w:rPr>
        <w:fldChar w:fldCharType="end"/>
      </w:r>
    </w:p>
    <w:p>
      <w:pPr>
        <w:pStyle w:val="68"/>
        <w:tabs>
          <w:tab w:val="clear" w:pos="1260"/>
          <w:tab w:val="clear" w:pos="8302"/>
          <w:tab w:val="right" w:leader="dot" w:pos="8732"/>
        </w:tabs>
        <w:rPr>
          <w:rFonts w:ascii="楷体_GB2312" w:eastAsia="楷体_GB2312" w:cs="楷体_GB2312" w:hint="eastAsia"/>
          <w:bCs/>
          <w:szCs w:val="32"/>
        </w:rPr>
      </w:pPr>
      <w:r>
        <w:rPr>
          <w:rFonts w:ascii="楷体_GB2312" w:eastAsia="楷体_GB2312" w:cs="楷体_GB2312" w:hint="eastAsia"/>
          <w:bCs/>
          <w:szCs w:val="32"/>
        </w:rPr>
        <w:fldChar w:fldCharType="begin"/>
      </w:r>
      <w:r>
        <w:rPr>
          <w:rFonts w:ascii="楷体_GB2312" w:eastAsia="楷体_GB2312" w:cs="楷体_GB2312" w:hint="eastAsia"/>
          <w:bCs/>
          <w:szCs w:val="32"/>
        </w:rPr>
        <w:instrText xml:space="preserve"> HYPERLINK \l _Toc27006 </w:instrText>
      </w:r>
      <w:r>
        <w:rPr>
          <w:rFonts w:ascii="楷体_GB2312" w:eastAsia="楷体_GB2312" w:cs="楷体_GB2312" w:hint="eastAsia"/>
          <w:bCs/>
          <w:szCs w:val="32"/>
        </w:rPr>
        <w:fldChar w:fldCharType="separate"/>
      </w:r>
      <w:r>
        <w:rPr>
          <w:rFonts w:ascii="楷体_GB2312" w:eastAsia="楷体_GB2312" w:cs="楷体_GB2312" w:hint="eastAsia"/>
          <w:bCs/>
          <w:kern w:val="0"/>
          <w:szCs w:val="32"/>
        </w:rPr>
        <w:t>附表2. 福建省“十四五”各海湾（湾区）重点任务措施统计表</w:t>
      </w:r>
      <w:r>
        <w:rPr>
          <w:rFonts w:ascii="楷体_GB2312" w:eastAsia="楷体_GB2312" w:cs="楷体_GB2312" w:hint="eastAsia"/>
          <w:bCs/>
          <w:szCs w:val="32"/>
        </w:rPr>
        <w:tab/>
      </w:r>
      <w:r>
        <w:rPr>
          <w:rFonts w:ascii="Times New Roman" w:eastAsia="仿宋_GB2312" w:cs="Times New Roman" w:hAnsi="Times New Roman"/>
          <w:bCs w:val="0"/>
          <w:szCs w:val="24"/>
        </w:rPr>
        <w:fldChar w:fldCharType="begin"/>
      </w:r>
      <w:r>
        <w:rPr>
          <w:rFonts w:ascii="Times New Roman" w:eastAsia="仿宋_GB2312" w:cs="Times New Roman" w:hAnsi="Times New Roman"/>
          <w:bCs w:val="0"/>
          <w:szCs w:val="24"/>
        </w:rPr>
        <w:instrText xml:space="preserve"> PAGEREF _Toc27006 \h </w:instrText>
      </w:r>
      <w:r>
        <w:rPr>
          <w:rFonts w:ascii="Times New Roman" w:eastAsia="仿宋_GB2312" w:cs="Times New Roman" w:hAnsi="Times New Roman"/>
          <w:bCs w:val="0"/>
          <w:szCs w:val="24"/>
        </w:rPr>
        <w:fldChar w:fldCharType="separate"/>
      </w:r>
      <w:r>
        <w:rPr>
          <w:rFonts w:ascii="Times New Roman" w:eastAsia="仿宋_GB2312" w:cs="Times New Roman" w:hAnsi="Times New Roman"/>
          <w:bCs w:val="0"/>
          <w:szCs w:val="24"/>
        </w:rPr>
        <w:t>57</w:t>
      </w:r>
      <w:r>
        <w:rPr>
          <w:rFonts w:ascii="Times New Roman" w:eastAsia="仿宋_GB2312" w:cs="Times New Roman" w:hAnsi="Times New Roman"/>
          <w:bCs w:val="0"/>
          <w:szCs w:val="24"/>
        </w:rPr>
        <w:fldChar w:fldCharType="end"/>
      </w:r>
      <w:r>
        <w:rPr>
          <w:rFonts w:ascii="楷体_GB2312" w:eastAsia="楷体_GB2312" w:cs="楷体_GB2312" w:hint="eastAsia"/>
          <w:bCs/>
          <w:szCs w:val="32"/>
        </w:rPr>
        <w:fldChar w:fldCharType="end"/>
      </w:r>
    </w:p>
    <w:p>
      <w:pPr>
        <w:pStyle w:val="68"/>
        <w:tabs>
          <w:tab w:val="clear" w:pos="1260"/>
          <w:tab w:val="clear" w:pos="8302"/>
          <w:tab w:val="right" w:leader="dot" w:pos="8732"/>
        </w:tabs>
        <w:rPr>
          <w:rFonts w:ascii="楷体_GB2312" w:eastAsia="楷体_GB2312" w:cs="楷体_GB2312" w:hint="eastAsia"/>
          <w:bCs/>
          <w:szCs w:val="32"/>
        </w:rPr>
      </w:pPr>
      <w:r>
        <w:rPr>
          <w:rFonts w:ascii="楷体_GB2312" w:eastAsia="楷体_GB2312" w:cs="楷体_GB2312" w:hint="eastAsia"/>
          <w:bCs/>
          <w:szCs w:val="32"/>
        </w:rPr>
        <w:fldChar w:fldCharType="begin"/>
      </w:r>
      <w:r>
        <w:rPr>
          <w:rFonts w:ascii="楷体_GB2312" w:eastAsia="楷体_GB2312" w:cs="楷体_GB2312" w:hint="eastAsia"/>
          <w:bCs/>
          <w:szCs w:val="32"/>
        </w:rPr>
        <w:instrText xml:space="preserve"> HYPERLINK \l _Toc14186 </w:instrText>
      </w:r>
      <w:r>
        <w:rPr>
          <w:rFonts w:ascii="楷体_GB2312" w:eastAsia="楷体_GB2312" w:cs="楷体_GB2312" w:hint="eastAsia"/>
          <w:bCs/>
          <w:szCs w:val="32"/>
        </w:rPr>
        <w:fldChar w:fldCharType="separate"/>
      </w:r>
      <w:r>
        <w:rPr>
          <w:rFonts w:ascii="楷体_GB2312" w:eastAsia="楷体_GB2312" w:cs="楷体_GB2312" w:hint="eastAsia"/>
          <w:bCs/>
          <w:kern w:val="0"/>
          <w:szCs w:val="32"/>
        </w:rPr>
        <w:t>附表3. 福建省各海湾（湾区）“十四五”重点任务措施和工程项目</w:t>
      </w:r>
      <w:r>
        <w:rPr>
          <w:rFonts w:ascii="楷体_GB2312" w:eastAsia="楷体_GB2312" w:cs="楷体_GB2312" w:hint="eastAsia"/>
          <w:bCs/>
          <w:szCs w:val="32"/>
        </w:rPr>
        <w:tab/>
      </w:r>
      <w:r>
        <w:rPr>
          <w:rFonts w:ascii="Times New Roman" w:eastAsia="仿宋_GB2312" w:cs="Times New Roman" w:hAnsi="Times New Roman"/>
          <w:bCs w:val="0"/>
          <w:szCs w:val="24"/>
        </w:rPr>
        <w:fldChar w:fldCharType="begin"/>
      </w:r>
      <w:r>
        <w:rPr>
          <w:rFonts w:ascii="Times New Roman" w:eastAsia="仿宋_GB2312" w:cs="Times New Roman" w:hAnsi="Times New Roman"/>
          <w:bCs w:val="0"/>
          <w:szCs w:val="24"/>
        </w:rPr>
        <w:instrText xml:space="preserve"> PAGEREF _Toc14186 \h </w:instrText>
      </w:r>
      <w:r>
        <w:rPr>
          <w:rFonts w:ascii="Times New Roman" w:eastAsia="仿宋_GB2312" w:cs="Times New Roman" w:hAnsi="Times New Roman"/>
          <w:bCs w:val="0"/>
          <w:szCs w:val="24"/>
        </w:rPr>
        <w:fldChar w:fldCharType="separate"/>
      </w:r>
      <w:r>
        <w:rPr>
          <w:rFonts w:ascii="Times New Roman" w:eastAsia="仿宋_GB2312" w:cs="Times New Roman" w:hAnsi="Times New Roman"/>
          <w:bCs w:val="0"/>
          <w:szCs w:val="24"/>
        </w:rPr>
        <w:t>60</w:t>
      </w:r>
      <w:r>
        <w:rPr>
          <w:rFonts w:ascii="Times New Roman" w:eastAsia="仿宋_GB2312" w:cs="Times New Roman" w:hAnsi="Times New Roman"/>
          <w:bCs w:val="0"/>
          <w:szCs w:val="24"/>
        </w:rPr>
        <w:fldChar w:fldCharType="end"/>
      </w:r>
      <w:r>
        <w:rPr>
          <w:rFonts w:ascii="楷体_GB2312" w:eastAsia="楷体_GB2312" w:cs="楷体_GB2312" w:hint="eastAsia"/>
          <w:bCs/>
          <w:szCs w:val="32"/>
        </w:rPr>
        <w:fldChar w:fldCharType="end"/>
      </w:r>
    </w:p>
    <w:p>
      <w:pPr>
        <w:pStyle w:val="68"/>
        <w:tabs>
          <w:tab w:val="left" w:pos="1260"/>
          <w:tab w:val="right" w:leader="dot" w:pos="8302"/>
        </w:tabs>
        <w:spacing w:line="312" w:lineRule="auto"/>
        <w:rPr>
          <w:rFonts w:eastAsia="黑体"/>
          <w:b w:val="0"/>
          <w:bCs/>
          <w:caps/>
          <w:smallCaps w:val="0"/>
        </w:rPr>
        <w:sectPr>
          <w:footerReference w:type="default" r:id="rId6"/>
          <w:pgSz w:w="11906" w:h="16838"/>
          <w:pgMar w:top="2098" w:right="1587" w:bottom="1587" w:left="1587" w:header="851" w:footer="992" w:gutter="0"/>
          <w:pgNumType w:start="1"/>
          <w:docGrid w:type="lines" w:linePitch="312" w:charSpace="0"/>
        </w:sectPr>
      </w:pPr>
      <w:r>
        <w:rPr>
          <w:b w:val="0"/>
          <w:sz w:val="21"/>
          <w:szCs w:val="21"/>
        </w:rPr>
        <w:fldChar w:fldCharType="end"/>
      </w:r>
    </w:p>
    <w:p>
      <w:pPr>
        <w:pStyle w:val="403"/>
        <w:overflowPunct w:val="0"/>
        <w:snapToGrid w:val="0"/>
        <w:spacing w:beforeLines="0" w:before="0" w:afterLines="0" w:after="0"/>
        <w:rPr>
          <w:sz w:val="31"/>
          <w:szCs w:val="31"/>
        </w:rPr>
      </w:pPr>
      <w:bookmarkStart w:id="32" w:name="_Toc318290093"/>
      <w:bookmarkStart w:id="33" w:name="_Toc8795"/>
      <w:bookmarkStart w:id="34" w:name="_Toc12168"/>
      <w:bookmarkStart w:id="35" w:name="_Toc87460042"/>
      <w:bookmarkStart w:id="36" w:name="_Toc13904"/>
      <w:bookmarkStart w:id="37" w:name="_Toc93504270"/>
      <w:bookmarkStart w:id="38" w:name="_Toc25065"/>
      <w:bookmarkStart w:id="39" w:name="_Toc21103"/>
      <w:bookmarkStart w:id="40" w:name="_Toc320111087"/>
      <w:bookmarkStart w:id="41" w:name="_Toc5689"/>
      <w:bookmarkStart w:id="42" w:name="_Toc15365"/>
      <w:bookmarkStart w:id="43" w:name="_Toc3691"/>
      <w:bookmarkStart w:id="44" w:name="_Toc17996"/>
      <w:r>
        <w:rPr>
          <w:rFonts w:hint="eastAsia"/>
          <w:sz w:val="31"/>
          <w:szCs w:val="31"/>
        </w:rPr>
        <w:t>第一章 规划背景</w:t>
      </w:r>
      <w:bookmarkEnd w:id="32"/>
      <w:bookmarkEnd w:id="33"/>
      <w:bookmarkEnd w:id="34"/>
      <w:bookmarkEnd w:id="35"/>
      <w:bookmarkEnd w:id="36"/>
      <w:bookmarkEnd w:id="37"/>
      <w:bookmarkEnd w:id="38"/>
      <w:bookmarkEnd w:id="39"/>
      <w:bookmarkEnd w:id="40"/>
      <w:bookmarkEnd w:id="41"/>
      <w:bookmarkEnd w:id="42"/>
      <w:bookmarkEnd w:id="43"/>
      <w:bookmarkEnd w:id="44"/>
    </w:p>
    <w:p>
      <w:pPr>
        <w:snapToGrid w:val="0"/>
        <w:rPr>
          <w:rFonts w:ascii="Calibri" w:cs="Arial" w:hAnsi="Calibri"/>
          <w:b/>
          <w:bCs w:val="0"/>
          <w:sz w:val="32"/>
          <w:szCs w:val="28"/>
        </w:rPr>
      </w:pPr>
      <w:bookmarkStart w:id="45" w:name="_Toc21983"/>
      <w:bookmarkStart w:id="46" w:name="_Toc28101"/>
      <w:bookmarkStart w:id="47" w:name="_Toc87460043"/>
      <w:bookmarkStart w:id="48" w:name="_Toc26284"/>
      <w:bookmarkStart w:id="49" w:name="_Toc6045"/>
      <w:bookmarkStart w:id="50" w:name="_Toc31049"/>
      <w:bookmarkStart w:id="51" w:name="_Toc1512"/>
      <w:bookmarkStart w:id="52" w:name="_Toc320111089"/>
    </w:p>
    <w:p>
      <w:pPr>
        <w:pStyle w:val="404"/>
        <w:overflowPunct w:val="0"/>
        <w:adjustRightInd w:val="0"/>
        <w:snapToGrid w:val="0"/>
        <w:spacing w:beforeLines="0" w:before="0" w:afterLines="0" w:after="0"/>
        <w:ind w:firstLineChars="0" w:firstLine="0"/>
        <w:rPr>
          <w:rFonts w:ascii="Times New Roman" w:cs="Times New Roman" w:hAnsi="Times New Roman" w:hint="eastAsia"/>
          <w:bCs/>
          <w:sz w:val="31"/>
          <w:szCs w:val="31"/>
        </w:rPr>
      </w:pPr>
      <w:bookmarkStart w:id="53" w:name="_Toc14713"/>
      <w:bookmarkStart w:id="54" w:name="_Toc93504271"/>
      <w:bookmarkStart w:id="55" w:name="_Toc14376"/>
      <w:bookmarkStart w:id="56" w:name="_Toc9968"/>
      <w:r>
        <w:rPr>
          <w:rFonts w:ascii="Times New Roman" w:cs="Times New Roman" w:hAnsi="Times New Roman"/>
          <w:bCs/>
          <w:sz w:val="31"/>
          <w:szCs w:val="31"/>
        </w:rPr>
        <w:t>第</w:t>
      </w:r>
      <w:r>
        <w:rPr>
          <w:rFonts w:ascii="Times New Roman" w:cs="Times New Roman" w:hAnsi="Times New Roman" w:hint="eastAsia"/>
          <w:bCs/>
          <w:sz w:val="31"/>
          <w:szCs w:val="31"/>
        </w:rPr>
        <w:t>一</w:t>
      </w:r>
      <w:r>
        <w:rPr>
          <w:rFonts w:ascii="Times New Roman" w:cs="Times New Roman" w:hAnsi="Times New Roman"/>
          <w:bCs/>
          <w:sz w:val="31"/>
          <w:szCs w:val="31"/>
        </w:rPr>
        <w:t>节</w:t>
      </w:r>
      <w:r>
        <w:rPr>
          <w:rFonts w:ascii="Times New Roman" w:cs="Times New Roman" w:hAnsi="Times New Roman" w:hint="eastAsia"/>
          <w:bCs/>
          <w:sz w:val="31"/>
          <w:szCs w:val="31"/>
        </w:rPr>
        <w:t xml:space="preserve"> 工作成效</w:t>
      </w:r>
      <w:bookmarkEnd w:id="45"/>
      <w:bookmarkEnd w:id="46"/>
      <w:bookmarkEnd w:id="47"/>
      <w:bookmarkEnd w:id="48"/>
      <w:bookmarkEnd w:id="49"/>
      <w:bookmarkEnd w:id="50"/>
      <w:bookmarkEnd w:id="51"/>
      <w:bookmarkEnd w:id="53"/>
      <w:bookmarkEnd w:id="54"/>
      <w:bookmarkEnd w:id="55"/>
      <w:bookmarkEnd w:id="56"/>
    </w:p>
    <w:p>
      <w:pPr>
        <w:snapToGrid w:val="0"/>
        <w:rPr>
          <w:rFonts w:ascii="Calibri" w:cs="Arial" w:hAnsi="Calibri"/>
          <w:b/>
          <w:bCs w:val="0"/>
          <w:sz w:val="32"/>
          <w:szCs w:val="28"/>
        </w:rPr>
      </w:pPr>
    </w:p>
    <w:p>
      <w:pPr>
        <w:pStyle w:val="379"/>
        <w:overflowPunct w:val="0"/>
        <w:adjustRightInd w:val="0"/>
        <w:snapToGrid w:val="0"/>
        <w:rPr>
          <w:rFonts w:ascii="仿宋_GB2312" w:cs="仿宋_GB2312" w:hint="eastAsia"/>
          <w:szCs w:val="32"/>
        </w:rPr>
      </w:pPr>
      <w:r>
        <w:rPr>
          <w:rFonts w:ascii="仿宋_GB2312" w:cs="仿宋_GB2312" w:hint="eastAsia"/>
          <w:szCs w:val="32"/>
        </w:rPr>
        <w:t>“十三五”期间，我省以习近平新时代中国特色社会主义思想为指导，深入践行习近平生态文明思想，牢固树立“绿水青山就是金山银山”理念，全面贯彻落实党中央、国务院关于生态文明建设和生态环境保护的决策部署，坚决扛起海洋生态文明建设政治责任，切实把海洋生态环境保护工作摆在更加突出位置，以改善海洋环境质量为核心，以陆源污染防治和海域环境综合整治为重点，统筹近岸海域污染防治和生态保护，海洋生态环境保护工作取得了显著成效。</w:t>
      </w:r>
    </w:p>
    <w:p>
      <w:pPr>
        <w:snapToGrid w:val="0"/>
        <w:rPr>
          <w:rFonts w:ascii="仿宋_GB2312" w:cs="仿宋_GB2312" w:hint="eastAsia"/>
          <w:sz w:val="32"/>
          <w:szCs w:val="32"/>
        </w:rPr>
      </w:pPr>
      <w:r>
        <w:rPr>
          <w:rFonts w:ascii="仿宋_GB2312" w:cs="仿宋_GB2312" w:hint="eastAsia"/>
          <w:b/>
          <w:sz w:val="32"/>
          <w:szCs w:val="32"/>
        </w:rPr>
        <w:t>一是近岸海域水质状况稳中向好。</w:t>
      </w:r>
      <w:r>
        <w:rPr>
          <w:rFonts w:ascii="仿宋_GB2312" w:cs="仿宋_GB2312" w:hint="eastAsia"/>
          <w:sz w:val="32"/>
          <w:szCs w:val="32"/>
        </w:rPr>
        <w:t>全省近岸海域优良（一、二类）</w:t>
      </w:r>
      <w:r>
        <w:rPr>
          <w:rFonts w:ascii="仿宋_GB2312" w:cs="仿宋_GB2312" w:hint="eastAsia"/>
          <w:sz w:val="32"/>
          <w:szCs w:val="32"/>
          <w:lang w:val="en-US" w:eastAsia="zh-CN"/>
        </w:rPr>
        <w:t>水质</w:t>
      </w:r>
      <w:del w:id="0" w:author="zht" w:date="2022-02-17T09:12:00Z">
        <w:r>
          <w:rPr>
            <w:rFonts w:ascii="仿宋_GB2312" w:cs="仿宋_GB2312" w:hint="eastAsia"/>
            <w:sz w:val="32"/>
            <w:szCs w:val="32"/>
            <w:lang w:val="en-US" w:eastAsia="zh-CN"/>
          </w:rPr>
          <w:delText>面积</w:delText>
        </w:r>
      </w:del>
      <w:r>
        <w:rPr>
          <w:rFonts w:ascii="仿宋_GB2312" w:cs="仿宋_GB2312" w:hint="eastAsia"/>
          <w:sz w:val="32"/>
          <w:szCs w:val="32"/>
        </w:rPr>
        <w:t>比例稳步上升，劣四类</w:t>
      </w:r>
      <w:r>
        <w:rPr>
          <w:rFonts w:ascii="仿宋_GB2312" w:cs="仿宋_GB2312" w:hint="eastAsia"/>
          <w:sz w:val="32"/>
          <w:szCs w:val="32"/>
          <w:lang w:val="en-US" w:eastAsia="zh-CN"/>
        </w:rPr>
        <w:t>水质</w:t>
      </w:r>
      <w:del w:id="1" w:author="zht" w:date="2022-02-17T09:12:00Z">
        <w:r>
          <w:rPr>
            <w:rFonts w:ascii="仿宋_GB2312" w:cs="仿宋_GB2312" w:hint="eastAsia"/>
            <w:sz w:val="32"/>
            <w:szCs w:val="32"/>
            <w:lang w:val="en-US" w:eastAsia="zh-CN"/>
          </w:rPr>
          <w:delText>面积</w:delText>
        </w:r>
      </w:del>
      <w:r>
        <w:rPr>
          <w:rFonts w:ascii="仿宋_GB2312" w:cs="仿宋_GB2312" w:hint="eastAsia"/>
          <w:sz w:val="32"/>
          <w:szCs w:val="32"/>
        </w:rPr>
        <w:t>比例逐步下降，水体富营养化总体呈下降趋势。2020年，全省</w:t>
      </w:r>
      <w:r>
        <w:rPr>
          <w:rFonts w:ascii="仿宋_GB2312" w:cs="仿宋_GB2312" w:hint="eastAsia"/>
          <w:sz w:val="32"/>
          <w:szCs w:val="32"/>
          <w:lang w:val="en-US" w:eastAsia="zh-CN"/>
        </w:rPr>
        <w:t>优良水质</w:t>
      </w:r>
      <w:r>
        <w:rPr>
          <w:rFonts w:ascii="仿宋_GB2312" w:cs="仿宋_GB2312" w:hint="eastAsia"/>
          <w:sz w:val="32"/>
          <w:szCs w:val="32"/>
        </w:rPr>
        <w:t>面积比例为85.2%，较2015年上升</w:t>
      </w:r>
      <w:bookmarkStart w:id="57" w:name="_GoBack"/>
      <w:bookmarkEnd w:id="57"/>
      <w:r>
        <w:rPr>
          <w:rFonts w:ascii="仿宋_GB2312" w:cs="仿宋_GB2312" w:hint="eastAsia"/>
          <w:sz w:val="32"/>
          <w:szCs w:val="32"/>
        </w:rPr>
        <w:t>5.0个百分点。劣四类</w:t>
      </w:r>
      <w:r>
        <w:rPr>
          <w:rFonts w:ascii="仿宋_GB2312" w:cs="仿宋_GB2312" w:hint="eastAsia"/>
          <w:sz w:val="32"/>
          <w:szCs w:val="32"/>
          <w:lang w:val="en-US" w:eastAsia="zh-CN"/>
        </w:rPr>
        <w:t>水质面积</w:t>
      </w:r>
      <w:r>
        <w:rPr>
          <w:rFonts w:ascii="仿宋_GB2312" w:cs="仿宋_GB2312" w:hint="eastAsia"/>
          <w:sz w:val="32"/>
          <w:szCs w:val="32"/>
        </w:rPr>
        <w:t>比例为3.1%，较2015年下降了1.3个百分点。</w:t>
      </w:r>
    </w:p>
    <w:p>
      <w:pPr>
        <w:pStyle w:val="379"/>
        <w:overflowPunct w:val="0"/>
        <w:adjustRightInd w:val="0"/>
        <w:snapToGrid w:val="0"/>
        <w:rPr>
          <w:rFonts w:ascii="仿宋_GB2312" w:cs="仿宋_GB2312" w:hint="eastAsia"/>
          <w:szCs w:val="32"/>
        </w:rPr>
      </w:pPr>
      <w:r>
        <w:rPr>
          <w:rFonts w:ascii="仿宋_GB2312" w:cs="仿宋_GB2312" w:hint="eastAsia"/>
          <w:b/>
          <w:szCs w:val="32"/>
        </w:rPr>
        <w:t>二是陆源污染防治力度持续加大。</w:t>
      </w:r>
      <w:r>
        <w:rPr>
          <w:rFonts w:ascii="仿宋_GB2312" w:cs="仿宋_GB2312" w:hint="eastAsia"/>
          <w:szCs w:val="32"/>
        </w:rPr>
        <w:t>出台实施《福建省入海排污口排查整治工作方案（试行）》、《福建省入海排污口排查整治技术指南》，全面开展入海排放口排查。完成海洋专项督察反馈的2678个入海河流、入海排污口和其他入海排口第二轮核查。强化沿海工业污染防治，加快沿海城镇污水收集管网和生活污水处理设施建设。全省建成城市生活污水处理厂105座，处理能力达637万吨/日，市县生活污水处理率达96%。</w:t>
      </w:r>
    </w:p>
    <w:p>
      <w:pPr>
        <w:pStyle w:val="379"/>
        <w:overflowPunct w:val="0"/>
        <w:adjustRightInd w:val="0"/>
        <w:snapToGrid w:val="0"/>
        <w:rPr>
          <w:rFonts w:ascii="仿宋_GB2312" w:cs="仿宋_GB2312" w:hint="eastAsia"/>
          <w:szCs w:val="32"/>
        </w:rPr>
      </w:pPr>
      <w:r>
        <w:rPr>
          <w:rFonts w:ascii="仿宋_GB2312" w:cs="仿宋_GB2312" w:hint="eastAsia"/>
          <w:b/>
          <w:bCs/>
          <w:szCs w:val="32"/>
        </w:rPr>
        <w:t>三是重点海域综合治理稳步推进。</w:t>
      </w:r>
      <w:r>
        <w:rPr>
          <w:rFonts w:ascii="仿宋_GB2312" w:cs="仿宋_GB2312" w:hint="eastAsia"/>
          <w:szCs w:val="32"/>
        </w:rPr>
        <w:t>厦门、漳州、龙岩统筹九龙江流域、九龙江河口和厦门湾生态环境综合治理</w:t>
      </w:r>
      <w:r>
        <w:rPr>
          <w:rFonts w:ascii="仿宋_GB2312" w:cs="仿宋_GB2312" w:hint="eastAsia"/>
          <w:szCs w:val="32"/>
          <w:lang w:eastAsia="zh-CN"/>
        </w:rPr>
        <w:t>；</w:t>
      </w:r>
      <w:r>
        <w:rPr>
          <w:rFonts w:ascii="仿宋_GB2312" w:cs="仿宋_GB2312" w:hint="eastAsia"/>
          <w:szCs w:val="32"/>
        </w:rPr>
        <w:t>福州市开展罗源湾污染物总量控制研究，推进闽江口海域综合整治；宁德市开展三都澳综合治理及海上养殖专项整治。出台海漂垃圾综合治理工作方案，建立联席会议制度，落实省级奖补资金，健全“岸上管、流域拦、海面清”的海漂垃圾综合治理机制。</w:t>
      </w:r>
    </w:p>
    <w:p>
      <w:pPr>
        <w:pStyle w:val="379"/>
        <w:overflowPunct w:val="0"/>
        <w:adjustRightInd w:val="0"/>
        <w:snapToGrid w:val="0"/>
        <w:rPr>
          <w:rFonts w:ascii="仿宋_GB2312" w:cs="仿宋_GB2312" w:hint="eastAsia"/>
          <w:szCs w:val="32"/>
        </w:rPr>
      </w:pPr>
      <w:r>
        <w:rPr>
          <w:rFonts w:ascii="仿宋_GB2312" w:cs="仿宋_GB2312" w:hint="eastAsia"/>
          <w:b/>
          <w:szCs w:val="32"/>
        </w:rPr>
        <w:t>四是海洋生态保护修复成效明显。</w:t>
      </w:r>
      <w:r>
        <w:rPr>
          <w:rFonts w:ascii="仿宋_GB2312" w:cs="仿宋_GB2312" w:hint="eastAsia"/>
          <w:szCs w:val="32"/>
        </w:rPr>
        <w:t>积极选划和建设海洋保护</w:t>
      </w:r>
      <w:r>
        <w:rPr>
          <w:rFonts w:ascii="仿宋_GB2312" w:cs="仿宋_GB2312" w:hint="eastAsia"/>
          <w:szCs w:val="32"/>
          <w:lang w:val="en-US" w:eastAsia="zh-CN"/>
        </w:rPr>
        <w:t>地</w:t>
      </w:r>
      <w:r>
        <w:rPr>
          <w:rFonts w:ascii="仿宋_GB2312" w:cs="仿宋_GB2312" w:hint="eastAsia"/>
          <w:szCs w:val="32"/>
        </w:rPr>
        <w:t>，着力提高海洋保护区监督管理和规范化建设水平。新建海洋类型保护</w:t>
      </w:r>
      <w:r>
        <w:rPr>
          <w:rFonts w:ascii="仿宋_GB2312" w:cs="仿宋_GB2312" w:hint="eastAsia"/>
          <w:szCs w:val="32"/>
          <w:lang w:val="en-US" w:eastAsia="zh-CN"/>
        </w:rPr>
        <w:t>地</w:t>
      </w:r>
      <w:r>
        <w:rPr>
          <w:rFonts w:ascii="仿宋_GB2312" w:cs="仿宋_GB2312" w:hint="eastAsia"/>
          <w:szCs w:val="32"/>
        </w:rPr>
        <w:t>28</w:t>
      </w:r>
      <w:r>
        <w:rPr>
          <w:rFonts w:ascii="仿宋_GB2312" w:cs="仿宋_GB2312" w:hint="eastAsia"/>
          <w:szCs w:val="32"/>
          <w:lang w:val="en-US" w:eastAsia="zh-CN"/>
        </w:rPr>
        <w:t>处</w:t>
      </w:r>
      <w:r>
        <w:rPr>
          <w:rFonts w:ascii="仿宋_GB2312" w:cs="仿宋_GB2312" w:hint="eastAsia"/>
          <w:szCs w:val="32"/>
        </w:rPr>
        <w:t>，面积4457公顷。沿海地区持续加强海岸带环境综合整治，实施“蓝色海湾”“生态海岛”“南红北柳”等一批生态修复重点项目，修复海岸线115公里。</w:t>
      </w:r>
    </w:p>
    <w:p>
      <w:pPr>
        <w:snapToGrid w:val="0"/>
        <w:rPr>
          <w:rFonts w:ascii="仿宋_GB2312" w:cs="仿宋_GB2312" w:hint="eastAsia"/>
          <w:bCs/>
          <w:sz w:val="32"/>
          <w:szCs w:val="32"/>
        </w:rPr>
      </w:pPr>
      <w:r>
        <w:rPr>
          <w:rFonts w:ascii="仿宋_GB2312" w:cs="仿宋_GB2312" w:hint="eastAsia"/>
          <w:b/>
          <w:bCs/>
          <w:sz w:val="32"/>
          <w:szCs w:val="32"/>
        </w:rPr>
        <w:t>五是海洋环境监管能力逐步提升。</w:t>
      </w:r>
      <w:r>
        <w:rPr>
          <w:rFonts w:ascii="仿宋_GB2312" w:cs="仿宋_GB2312" w:hint="eastAsia"/>
          <w:sz w:val="32"/>
          <w:szCs w:val="32"/>
        </w:rPr>
        <w:t>按照陆海统筹、全面覆盖、聚焦重点的原则，优化调整海洋生态环境监测网络，</w:t>
      </w:r>
      <w:r>
        <w:rPr>
          <w:rFonts w:ascii="仿宋_GB2312" w:cs="仿宋_GB2312" w:hint="eastAsia"/>
          <w:bCs/>
          <w:sz w:val="32"/>
          <w:szCs w:val="32"/>
        </w:rPr>
        <w:t>建设涵盖“沿岸-港湾-台湾海峡”的业务化海洋观测网。基于省级生态云平台，构建“海洋信息一张图”，基本实现海洋环境</w:t>
      </w:r>
      <w:r>
        <w:rPr>
          <w:rFonts w:ascii="仿宋_GB2312" w:cs="仿宋_GB2312" w:hint="eastAsia"/>
          <w:bCs/>
          <w:sz w:val="32"/>
          <w:szCs w:val="32"/>
          <w:lang w:val="zh-CN"/>
        </w:rPr>
        <w:t>质量管理分析、入海排污口与海漂垃圾监视监管、海上应急和执法的管理调度，</w:t>
      </w:r>
      <w:r>
        <w:rPr>
          <w:rFonts w:ascii="仿宋_GB2312" w:cs="仿宋_GB2312" w:hint="eastAsia"/>
          <w:bCs/>
          <w:sz w:val="32"/>
          <w:szCs w:val="32"/>
        </w:rPr>
        <w:t>提升海洋生态环境智慧监管能力。</w:t>
      </w:r>
    </w:p>
    <w:p>
      <w:pPr>
        <w:pStyle w:val="379"/>
        <w:adjustRightInd w:val="0"/>
        <w:snapToGrid w:val="0"/>
        <w:rPr>
          <w:rFonts w:ascii="仿宋_GB2312" w:cs="仿宋_GB2312" w:hint="eastAsia"/>
          <w:bCs/>
          <w:szCs w:val="32"/>
        </w:rPr>
      </w:pPr>
      <w:r>
        <w:rPr>
          <w:rFonts w:ascii="仿宋_GB2312" w:cs="仿宋_GB2312" w:hint="eastAsia"/>
          <w:b/>
          <w:bCs/>
          <w:szCs w:val="32"/>
        </w:rPr>
        <w:t>六是海洋环境保护制度日渐完善。</w:t>
      </w:r>
      <w:r>
        <w:rPr>
          <w:rFonts w:ascii="仿宋_GB2312" w:cs="仿宋_GB2312" w:hint="eastAsia"/>
          <w:b w:val="0"/>
          <w:bCs w:val="0"/>
          <w:szCs w:val="32"/>
        </w:rPr>
        <w:t>省人大常委会</w:t>
      </w:r>
      <w:r>
        <w:rPr>
          <w:rFonts w:ascii="仿宋_GB2312" w:cs="仿宋_GB2312" w:hint="eastAsia"/>
          <w:bCs/>
          <w:szCs w:val="32"/>
        </w:rPr>
        <w:t>先后颁布实施《福建省生态文明建设促进条例》《福建省海岸带保护与利用管理条例》《福建省湿地保护条例》等地方法规，制定出台《福建省近岸海域海漂垃圾综合治理工作方案》《福建省加强滨海湿地保护严格管控围填海实施方案》等政策文件，进一步完善海洋生态环境保护法规规章体系，海洋生态环境保护规范化管理格局日益健全。</w:t>
      </w:r>
    </w:p>
    <w:p>
      <w:pPr>
        <w:snapToGrid w:val="0"/>
        <w:rPr>
          <w:rFonts w:ascii="Calibri" w:cs="Arial" w:hAnsi="Calibri"/>
          <w:b/>
          <w:bCs w:val="0"/>
          <w:sz w:val="32"/>
          <w:szCs w:val="32"/>
        </w:rPr>
      </w:pPr>
      <w:bookmarkStart w:id="58" w:name="_Toc9845"/>
      <w:bookmarkStart w:id="59" w:name="_Toc3529"/>
      <w:bookmarkStart w:id="60" w:name="_Toc87460044"/>
      <w:bookmarkStart w:id="61" w:name="_Toc9435"/>
      <w:bookmarkStart w:id="62" w:name="_Toc8164"/>
      <w:bookmarkStart w:id="63" w:name="_Toc19289"/>
      <w:bookmarkStart w:id="64" w:name="_Toc7894"/>
      <w:bookmarkEnd w:id="52"/>
    </w:p>
    <w:p>
      <w:pPr>
        <w:pStyle w:val="404"/>
        <w:overflowPunct w:val="0"/>
        <w:adjustRightInd w:val="0"/>
        <w:snapToGrid w:val="0"/>
        <w:spacing w:beforeLines="0" w:before="0" w:afterLines="0" w:after="0"/>
        <w:ind w:firstLineChars="0" w:firstLine="0"/>
        <w:rPr>
          <w:rFonts w:ascii="Times New Roman" w:cs="Times New Roman" w:hAnsi="Times New Roman" w:hint="eastAsia"/>
          <w:bCs/>
          <w:szCs w:val="32"/>
        </w:rPr>
      </w:pPr>
      <w:bookmarkStart w:id="65" w:name="_Toc93504272"/>
      <w:bookmarkStart w:id="66" w:name="_Toc24309"/>
      <w:bookmarkStart w:id="67" w:name="_Toc19195"/>
      <w:bookmarkStart w:id="68" w:name="_Toc16248"/>
      <w:r>
        <w:rPr>
          <w:rFonts w:ascii="Times New Roman" w:cs="Times New Roman" w:hAnsi="Times New Roman" w:hint="eastAsia"/>
          <w:bCs/>
          <w:szCs w:val="32"/>
        </w:rPr>
        <w:t>第二节 主要问题</w:t>
      </w:r>
      <w:bookmarkEnd w:id="58"/>
      <w:bookmarkEnd w:id="59"/>
      <w:bookmarkEnd w:id="60"/>
      <w:bookmarkEnd w:id="61"/>
      <w:bookmarkEnd w:id="62"/>
      <w:bookmarkEnd w:id="63"/>
      <w:bookmarkEnd w:id="64"/>
      <w:bookmarkEnd w:id="65"/>
      <w:bookmarkEnd w:id="66"/>
      <w:bookmarkEnd w:id="67"/>
      <w:bookmarkEnd w:id="68"/>
    </w:p>
    <w:p>
      <w:pPr>
        <w:snapToGrid w:val="0"/>
        <w:rPr>
          <w:bCs w:val="0"/>
          <w:sz w:val="32"/>
          <w:szCs w:val="32"/>
        </w:rPr>
      </w:pPr>
    </w:p>
    <w:p>
      <w:pPr>
        <w:pStyle w:val="379"/>
        <w:overflowPunct w:val="0"/>
        <w:adjustRightInd w:val="0"/>
        <w:snapToGrid w:val="0"/>
        <w:rPr>
          <w:rFonts w:hint="eastAsia"/>
          <w:bCs/>
          <w:szCs w:val="32"/>
        </w:rPr>
      </w:pPr>
      <w:r>
        <w:rPr>
          <w:rFonts w:hint="eastAsia"/>
          <w:bCs/>
          <w:szCs w:val="32"/>
        </w:rPr>
        <w:t>对接国家生态文明试验区建设要求，我省海洋生态环境保护面临的结构性、根源性、趋势性压力尚未得到根本缓解，局部海域环境污染和生态退化等问题仍然突出，治理体系和治理能力现代化水平亟待加强，海洋生态文明建设和生态环境保护仍处于压力叠加、负重前行的关键期。</w:t>
      </w:r>
    </w:p>
    <w:p>
      <w:pPr>
        <w:pStyle w:val="379"/>
        <w:overflowPunct w:val="0"/>
        <w:adjustRightInd w:val="0"/>
        <w:snapToGrid w:val="0"/>
        <w:rPr>
          <w:rFonts w:ascii="Times New Roman" w:cs="Times New Roman" w:hAnsi="Times New Roman" w:hint="eastAsia"/>
          <w:color w:val="0000FF"/>
          <w:szCs w:val="32"/>
        </w:rPr>
      </w:pPr>
      <w:r>
        <w:rPr>
          <w:rFonts w:ascii="Times New Roman" w:cs="Times New Roman" w:hAnsi="Times New Roman" w:hint="eastAsia"/>
          <w:b/>
          <w:szCs w:val="32"/>
        </w:rPr>
        <w:t>一是海洋绿色低碳发展水平有待提升。</w:t>
      </w:r>
      <w:r>
        <w:rPr>
          <w:rFonts w:ascii="Times New Roman" w:cs="Times New Roman" w:hAnsi="Times New Roman" w:hint="eastAsia"/>
          <w:szCs w:val="32"/>
        </w:rPr>
        <w:t>海洋产业结构不尽合理，石化化工、港航物流、传统海洋渔业等产业绿色化发展不充分。海洋区域性、结构性污染仍然较为突出，海域空间开发利用方式相对粗放低效。海洋碳汇研究尚处于起步阶段，海洋应对气候变化潜力尚未有效发挥。</w:t>
      </w:r>
    </w:p>
    <w:p>
      <w:pPr>
        <w:pStyle w:val="379"/>
        <w:overflowPunct w:val="0"/>
        <w:adjustRightInd w:val="0"/>
        <w:snapToGrid w:val="0"/>
        <w:rPr>
          <w:rFonts w:ascii="Times New Roman" w:cs="Times New Roman" w:hAnsi="Times New Roman" w:hint="eastAsia"/>
          <w:szCs w:val="32"/>
        </w:rPr>
      </w:pPr>
      <w:r>
        <w:rPr>
          <w:rFonts w:ascii="Times New Roman" w:cs="Times New Roman" w:hAnsi="Times New Roman" w:hint="eastAsia"/>
          <w:b/>
          <w:szCs w:val="32"/>
        </w:rPr>
        <w:t>二是部分河口海湾水环境质量不容乐观。</w:t>
      </w:r>
      <w:r>
        <w:rPr>
          <w:rFonts w:ascii="Times New Roman" w:cs="Times New Roman" w:hAnsi="Times New Roman" w:hint="eastAsia"/>
          <w:szCs w:val="32"/>
        </w:rPr>
        <w:t>沙埕港、三沙湾、诏安湾等口小腹大的半封闭型港湾水质改善压力大，闽江口、九龙江口、兴化湾三江口、晋江入海口等河口区海水中无机氮、活性磷酸盐含量偏高。部分海域海水养殖密度高，绿色养殖转型升级任务艰巨。海湾沿岸工业、农村生活污水排放口较多，超标排放现象仍有发生。</w:t>
      </w:r>
    </w:p>
    <w:p>
      <w:pPr>
        <w:pStyle w:val="379"/>
        <w:overflowPunct w:val="0"/>
        <w:adjustRightInd w:val="0"/>
        <w:snapToGrid w:val="0"/>
        <w:rPr>
          <w:rFonts w:ascii="Times New Roman" w:cs="Times New Roman" w:hAnsi="Times New Roman" w:hint="eastAsia"/>
          <w:szCs w:val="32"/>
        </w:rPr>
      </w:pPr>
      <w:r>
        <w:rPr>
          <w:rFonts w:ascii="Times New Roman" w:cs="Times New Roman" w:hAnsi="Times New Roman" w:hint="eastAsia"/>
          <w:b/>
          <w:szCs w:val="32"/>
        </w:rPr>
        <w:t>三是典型海洋生态系统退化趋势仍未得到根本遏制。</w:t>
      </w:r>
      <w:r>
        <w:rPr>
          <w:rFonts w:ascii="Times New Roman" w:cs="Times New Roman" w:hAnsi="Times New Roman" w:hint="eastAsia"/>
          <w:szCs w:val="32"/>
        </w:rPr>
        <w:t>滨海湿地、珊瑚礁、红树林等典型海洋生态系统生态空间遭受挤压，互花米草入侵问题加剧，部分海洋生态系统服务功能有所退化，生态保护修复整体压力较大。核电、火电温排水等对近岸海域生态系统的潜在影响长期存在。</w:t>
      </w:r>
    </w:p>
    <w:p>
      <w:pPr>
        <w:pStyle w:val="379"/>
        <w:overflowPunct w:val="0"/>
        <w:adjustRightInd w:val="0"/>
        <w:snapToGrid w:val="0"/>
        <w:rPr>
          <w:rFonts w:ascii="Times New Roman" w:cs="Times New Roman" w:hAnsi="Times New Roman"/>
          <w:szCs w:val="32"/>
        </w:rPr>
      </w:pPr>
      <w:r>
        <w:rPr>
          <w:rFonts w:ascii="Times New Roman" w:cs="Times New Roman" w:hAnsi="Times New Roman" w:hint="eastAsia"/>
          <w:b/>
          <w:szCs w:val="32"/>
        </w:rPr>
        <w:t>四是亲海空间品质与我省整体资源优势存在差距。</w:t>
      </w:r>
      <w:r>
        <w:rPr>
          <w:rFonts w:hint="eastAsia"/>
          <w:szCs w:val="32"/>
        </w:rPr>
        <w:t>全省公众亲海空间特别是滨海沙滩开发程度总体处于较低水平，海岸带开发利用对绿地、水系等生态空间保留不足，沿岸池塘养殖生态化建设不够，海岸带公共设施配套不完善，部分优质滨海资源得不到体验和亲近，部分海域、岸线海洋垃圾清理不及时，公众亲海空间的环境品质和亲海体验感均有待提升。</w:t>
      </w:r>
    </w:p>
    <w:p>
      <w:pPr>
        <w:pStyle w:val="379"/>
        <w:overflowPunct w:val="0"/>
        <w:adjustRightInd w:val="0"/>
        <w:snapToGrid w:val="0"/>
        <w:rPr>
          <w:rFonts w:ascii="Times New Roman" w:cs="Times New Roman" w:hAnsi="Times New Roman" w:hint="eastAsia"/>
          <w:szCs w:val="32"/>
        </w:rPr>
      </w:pPr>
      <w:r>
        <w:rPr>
          <w:rFonts w:ascii="Times New Roman" w:cs="Times New Roman" w:hAnsi="Times New Roman" w:hint="eastAsia"/>
          <w:b/>
          <w:szCs w:val="32"/>
        </w:rPr>
        <w:t>五</w:t>
      </w:r>
      <w:r>
        <w:rPr>
          <w:rFonts w:ascii="Times New Roman" w:cs="Times New Roman" w:hAnsi="Times New Roman"/>
          <w:b/>
          <w:szCs w:val="32"/>
        </w:rPr>
        <w:t>是</w:t>
      </w:r>
      <w:r>
        <w:rPr>
          <w:rFonts w:ascii="Times New Roman" w:cs="Times New Roman" w:hAnsi="Times New Roman" w:hint="eastAsia"/>
          <w:b/>
          <w:szCs w:val="32"/>
        </w:rPr>
        <w:t>海洋生态环境风险隐患不容忽视。</w:t>
      </w:r>
      <w:r>
        <w:rPr>
          <w:rFonts w:hint="eastAsia"/>
          <w:szCs w:val="32"/>
        </w:rPr>
        <w:t>沿海石化工业园区、核电站、油品码头及液体化工码头等重大风险源分布较分散，溢油及化学品泄漏等突发环境事故风险隐患长期存在，</w:t>
      </w:r>
      <w:r>
        <w:rPr>
          <w:rFonts w:ascii="Times New Roman" w:cs="Times New Roman" w:hAnsi="Times New Roman" w:hint="eastAsia"/>
          <w:szCs w:val="32"/>
        </w:rPr>
        <w:t>海上突发环境风险事故应急处置能力建设相对滞后。防御和应对处理台风、风暴潮、赤潮灾害的能力仍不足，海洋观测预警能力和海洋灾害风险防范水平有待提高。</w:t>
      </w:r>
    </w:p>
    <w:p>
      <w:pPr>
        <w:overflowPunct w:val="0"/>
        <w:adjustRightInd w:val="0"/>
        <w:snapToGrid w:val="0"/>
        <w:rPr>
          <w:rFonts w:hint="eastAsia"/>
          <w:sz w:val="32"/>
          <w:szCs w:val="32"/>
        </w:rPr>
      </w:pPr>
      <w:r>
        <w:rPr>
          <w:b/>
          <w:sz w:val="32"/>
          <w:szCs w:val="32"/>
        </w:rPr>
        <w:t>六是陆海协同治理机制亟需突破创新。</w:t>
      </w:r>
      <w:r>
        <w:rPr>
          <w:sz w:val="32"/>
          <w:szCs w:val="32"/>
        </w:rPr>
        <w:t>现阶段</w:t>
      </w:r>
      <w:r>
        <w:rPr>
          <w:rFonts w:hint="eastAsia"/>
          <w:sz w:val="32"/>
          <w:szCs w:val="32"/>
        </w:rPr>
        <w:t>生态</w:t>
      </w:r>
      <w:r>
        <w:rPr>
          <w:sz w:val="32"/>
          <w:szCs w:val="32"/>
        </w:rPr>
        <w:t>环境监管方式</w:t>
      </w:r>
      <w:r>
        <w:rPr>
          <w:rFonts w:hint="eastAsia"/>
          <w:sz w:val="32"/>
          <w:szCs w:val="32"/>
        </w:rPr>
        <w:t>侧重</w:t>
      </w:r>
      <w:r>
        <w:rPr>
          <w:sz w:val="32"/>
          <w:szCs w:val="32"/>
        </w:rPr>
        <w:t>末端治理</w:t>
      </w:r>
      <w:r>
        <w:rPr>
          <w:rFonts w:hint="eastAsia"/>
          <w:sz w:val="32"/>
          <w:szCs w:val="32"/>
        </w:rPr>
        <w:t>和依靠</w:t>
      </w:r>
      <w:r>
        <w:rPr>
          <w:sz w:val="32"/>
          <w:szCs w:val="32"/>
        </w:rPr>
        <w:t>行政手段，绿色发展的激励约束机制还不健全，相关责任主体内生动力尚未有效激发。政府主导、企业主体、社会组织和公众共同参与的多元治理体系尚未</w:t>
      </w:r>
      <w:r>
        <w:rPr>
          <w:rFonts w:hint="eastAsia"/>
          <w:sz w:val="32"/>
          <w:szCs w:val="32"/>
        </w:rPr>
        <w:t>完全</w:t>
      </w:r>
      <w:r>
        <w:rPr>
          <w:sz w:val="32"/>
          <w:szCs w:val="32"/>
        </w:rPr>
        <w:t>形成。</w:t>
      </w:r>
      <w:r>
        <w:rPr>
          <w:rFonts w:hint="eastAsia"/>
          <w:sz w:val="32"/>
          <w:szCs w:val="32"/>
        </w:rPr>
        <w:t>涉海部门协同推进机制、项目统筹机制有待进一步完善</w:t>
      </w:r>
      <w:r>
        <w:rPr>
          <w:sz w:val="32"/>
          <w:szCs w:val="32"/>
        </w:rPr>
        <w:t>，监测信息化水平和共享程度</w:t>
      </w:r>
      <w:r>
        <w:rPr>
          <w:rFonts w:hint="eastAsia"/>
          <w:sz w:val="32"/>
          <w:szCs w:val="32"/>
        </w:rPr>
        <w:t>有待提高。</w:t>
      </w:r>
    </w:p>
    <w:p>
      <w:pPr>
        <w:snapToGrid w:val="0"/>
        <w:rPr>
          <w:rFonts w:ascii="Calibri" w:cs="Arial" w:hAnsi="Calibri"/>
          <w:b/>
          <w:bCs w:val="0"/>
          <w:sz w:val="32"/>
          <w:szCs w:val="32"/>
        </w:rPr>
      </w:pPr>
      <w:bookmarkStart w:id="69" w:name="_Toc322275450"/>
      <w:bookmarkStart w:id="70" w:name="_Toc322275449"/>
      <w:bookmarkStart w:id="71" w:name="_Toc26273"/>
      <w:bookmarkStart w:id="72" w:name="_Toc938"/>
      <w:bookmarkStart w:id="73" w:name="_Toc18722"/>
      <w:bookmarkStart w:id="74" w:name="_Toc960"/>
      <w:bookmarkStart w:id="75" w:name="_Toc22717"/>
      <w:bookmarkStart w:id="76" w:name="_Toc87460045"/>
      <w:bookmarkStart w:id="77" w:name="_Toc13597"/>
      <w:bookmarkEnd w:id="69"/>
      <w:bookmarkEnd w:id="70"/>
    </w:p>
    <w:p>
      <w:pPr>
        <w:pStyle w:val="404"/>
        <w:overflowPunct w:val="0"/>
        <w:adjustRightInd w:val="0"/>
        <w:snapToGrid w:val="0"/>
        <w:spacing w:beforeLines="0" w:before="0" w:afterLines="0" w:after="0"/>
        <w:ind w:firstLineChars="0" w:firstLine="0"/>
        <w:rPr>
          <w:rFonts w:ascii="Times New Roman" w:cs="Times New Roman" w:hAnsi="Times New Roman" w:hint="eastAsia"/>
          <w:bCs/>
          <w:szCs w:val="32"/>
        </w:rPr>
      </w:pPr>
      <w:bookmarkStart w:id="78" w:name="_Toc93504273"/>
      <w:bookmarkStart w:id="79" w:name="_Toc15416"/>
      <w:bookmarkStart w:id="80" w:name="_Toc7729"/>
      <w:bookmarkStart w:id="81" w:name="_Toc5140"/>
      <w:r>
        <w:rPr>
          <w:rFonts w:ascii="Times New Roman" w:cs="Times New Roman" w:hAnsi="Times New Roman" w:hint="eastAsia"/>
          <w:bCs/>
          <w:szCs w:val="32"/>
        </w:rPr>
        <w:t>第三节 面临的形势</w:t>
      </w:r>
      <w:bookmarkEnd w:id="71"/>
      <w:bookmarkEnd w:id="72"/>
      <w:bookmarkEnd w:id="73"/>
      <w:bookmarkEnd w:id="74"/>
      <w:bookmarkEnd w:id="75"/>
      <w:bookmarkEnd w:id="76"/>
      <w:bookmarkEnd w:id="77"/>
      <w:bookmarkEnd w:id="78"/>
      <w:bookmarkEnd w:id="79"/>
      <w:bookmarkEnd w:id="80"/>
      <w:bookmarkEnd w:id="81"/>
    </w:p>
    <w:p>
      <w:pPr>
        <w:snapToGrid w:val="0"/>
        <w:rPr>
          <w:rFonts w:ascii="Calibri" w:cs="Arial" w:hAnsi="Calibri"/>
          <w:sz w:val="32"/>
          <w:szCs w:val="32"/>
        </w:rPr>
      </w:pPr>
    </w:p>
    <w:p>
      <w:pPr>
        <w:pStyle w:val="379"/>
        <w:overflowPunct w:val="0"/>
        <w:adjustRightInd w:val="0"/>
        <w:snapToGrid w:val="0"/>
        <w:rPr>
          <w:rFonts w:ascii="仿宋_GB2312" w:cs="仿宋_GB2312" w:hint="eastAsia"/>
          <w:szCs w:val="32"/>
        </w:rPr>
      </w:pPr>
      <w:r>
        <w:rPr>
          <w:rFonts w:ascii="仿宋_GB2312" w:cs="仿宋_GB2312" w:hint="eastAsia"/>
          <w:szCs w:val="32"/>
        </w:rPr>
        <w:t>“十四五”时期是福建全方位推进高质量发展超越，加快新时代新福建建设的关键五年，是立足新发展阶段</w:t>
      </w:r>
      <w:r>
        <w:rPr>
          <w:rFonts w:ascii="仿宋_GB2312" w:cs="仿宋_GB2312" w:hint="eastAsia"/>
          <w:szCs w:val="32"/>
          <w:lang w:eastAsia="zh-CN"/>
        </w:rPr>
        <w:t>、</w:t>
      </w:r>
      <w:r>
        <w:rPr>
          <w:rFonts w:ascii="仿宋_GB2312" w:cs="仿宋_GB2312" w:hint="eastAsia"/>
          <w:szCs w:val="32"/>
        </w:rPr>
        <w:t>贯彻新发展理念</w:t>
      </w:r>
      <w:r>
        <w:rPr>
          <w:rFonts w:ascii="仿宋_GB2312" w:cs="仿宋_GB2312" w:hint="eastAsia"/>
          <w:szCs w:val="32"/>
          <w:lang w:eastAsia="zh-CN"/>
        </w:rPr>
        <w:t>、</w:t>
      </w:r>
      <w:r>
        <w:rPr>
          <w:rFonts w:ascii="仿宋_GB2312" w:cs="仿宋_GB2312" w:hint="eastAsia"/>
          <w:szCs w:val="32"/>
        </w:rPr>
        <w:t>积极服务和深度融入新发展格局的重要时期，也是</w:t>
      </w:r>
      <w:r>
        <w:rPr>
          <w:rFonts w:ascii="仿宋_GB2312" w:cs="仿宋_GB2312" w:hint="eastAsia"/>
          <w:szCs w:val="32"/>
          <w:lang w:eastAsia="zh-CN"/>
        </w:rPr>
        <w:t>加强</w:t>
      </w:r>
      <w:r>
        <w:rPr>
          <w:rFonts w:ascii="仿宋_GB2312" w:cs="仿宋_GB2312" w:hint="eastAsia"/>
          <w:szCs w:val="32"/>
        </w:rPr>
        <w:t>海洋生态环境保护的关键时期。</w:t>
      </w:r>
      <w:r>
        <w:rPr>
          <w:rFonts w:ascii="仿宋_GB2312" w:cs="仿宋_GB2312" w:hint="eastAsia"/>
          <w:b/>
          <w:bCs/>
          <w:szCs w:val="32"/>
        </w:rPr>
        <w:t>一是</w:t>
      </w:r>
      <w:r>
        <w:rPr>
          <w:rFonts w:ascii="仿宋_GB2312" w:cs="仿宋_GB2312" w:hint="eastAsia"/>
          <w:szCs w:val="32"/>
        </w:rPr>
        <w:t>中央赋予福建新使命，以习近平同志为核心的党中央赋予福建全方位推进高质量发展超越的重大历史使命和重大政治责任，高质量发展为我省海洋生态环境保护锚定新目标新定位，为强化海洋生态环境保护提供了重要的政治机遇；</w:t>
      </w:r>
      <w:r>
        <w:rPr>
          <w:rFonts w:ascii="仿宋_GB2312" w:cs="仿宋_GB2312" w:hint="eastAsia"/>
          <w:b/>
          <w:bCs/>
          <w:szCs w:val="32"/>
        </w:rPr>
        <w:t>二是</w:t>
      </w:r>
      <w:r>
        <w:rPr>
          <w:rFonts w:ascii="仿宋_GB2312" w:cs="仿宋_GB2312" w:hint="eastAsia"/>
          <w:szCs w:val="32"/>
        </w:rPr>
        <w:t>新发展阶段、新发展理念、新发展格局的总体要求下，协同推进海洋高水平保护和高质量发展被赋予了更高的期望和要求，加快绿色发展的基础更加扎实；</w:t>
      </w:r>
      <w:r>
        <w:rPr>
          <w:rFonts w:ascii="仿宋_GB2312" w:cs="仿宋_GB2312" w:hint="eastAsia"/>
          <w:b/>
          <w:bCs/>
          <w:szCs w:val="32"/>
        </w:rPr>
        <w:t>三是</w:t>
      </w:r>
      <w:r>
        <w:rPr>
          <w:rFonts w:ascii="仿宋_GB2312" w:cs="仿宋_GB2312" w:hint="eastAsia"/>
          <w:szCs w:val="32"/>
        </w:rPr>
        <w:t>碳达峰、碳中和背景下，应对气候变化国家战略深入推进实施，抢占海洋碳汇制高点，海洋的重要作用更加凸显；</w:t>
      </w:r>
      <w:r>
        <w:rPr>
          <w:rFonts w:ascii="仿宋_GB2312" w:cs="仿宋_GB2312" w:hint="eastAsia"/>
          <w:b/>
          <w:bCs/>
          <w:szCs w:val="32"/>
        </w:rPr>
        <w:t>四是</w:t>
      </w:r>
      <w:r>
        <w:rPr>
          <w:rFonts w:ascii="仿宋_GB2312" w:cs="仿宋_GB2312" w:hint="eastAsia"/>
          <w:szCs w:val="32"/>
        </w:rPr>
        <w:t>党中央“海洋强国”和我省“海洋强省”的决策部署持续推进，我省将大力建设“海上福建”，推进海洋经济高质量发展，保护海洋生态和美丽海湾建设作为重要内容将被更加重视；</w:t>
      </w:r>
      <w:r>
        <w:rPr>
          <w:rFonts w:ascii="仿宋_GB2312" w:cs="仿宋_GB2312" w:hint="eastAsia"/>
          <w:b/>
          <w:bCs/>
          <w:szCs w:val="32"/>
        </w:rPr>
        <w:t>五是</w:t>
      </w:r>
      <w:r>
        <w:rPr>
          <w:rFonts w:ascii="仿宋_GB2312" w:cs="仿宋_GB2312" w:hint="eastAsia"/>
          <w:szCs w:val="32"/>
        </w:rPr>
        <w:t>我省国家生态文明试验区建设取得积极进展，生态福建、清新福建的品牌影响力不断提升，生态环境“高颜值”和经济发展“高素质”协同并进，绿水青山向金山银山转化的制度保障更加完备；</w:t>
      </w:r>
      <w:r>
        <w:rPr>
          <w:rFonts w:ascii="仿宋_GB2312" w:cs="仿宋_GB2312" w:hint="eastAsia"/>
          <w:b/>
          <w:bCs/>
          <w:szCs w:val="32"/>
        </w:rPr>
        <w:t>六是</w:t>
      </w:r>
      <w:r>
        <w:rPr>
          <w:rFonts w:ascii="仿宋_GB2312" w:cs="仿宋_GB2312" w:hint="eastAsia"/>
          <w:szCs w:val="32"/>
        </w:rPr>
        <w:t>治理效能提升为绿色发展提供新保障，省域生态环境治理体系和治理能力现代化“四梁八柱”基本确立，各方面制度更加成熟，为深化生态环境保护陆海统筹机制提供了制度保障。</w:t>
      </w:r>
    </w:p>
    <w:p>
      <w:pPr>
        <w:pStyle w:val="379"/>
        <w:overflowPunct w:val="0"/>
        <w:adjustRightInd w:val="0"/>
        <w:snapToGrid w:val="0"/>
        <w:rPr>
          <w:rFonts w:ascii="仿宋_GB2312" w:cs="仿宋_GB2312" w:hint="eastAsia"/>
          <w:szCs w:val="32"/>
        </w:rPr>
      </w:pPr>
      <w:r>
        <w:rPr>
          <w:rFonts w:ascii="仿宋_GB2312" w:cs="仿宋_GB2312" w:hint="eastAsia"/>
          <w:szCs w:val="32"/>
        </w:rPr>
        <w:t>当前和今后一个时期，我省海洋生态环境保护工作机遇与挑战交织、动力与困难并存，全面推进海洋生态环境保护依然任重道远。必须保持战略定力，坚持底线思维，充分把握新机遇新条件，妥善应对各种风险和挑战，努力开创海洋生态环境保护新局面，为全方位推进高质量发展超越和建设“海上福建”提供强有力的海洋生态环境支撑。</w:t>
      </w:r>
    </w:p>
    <w:p>
      <w:pPr>
        <w:pStyle w:val="403"/>
        <w:overflowPunct w:val="0"/>
        <w:snapToGrid w:val="0"/>
        <w:spacing w:beforeLines="0" w:before="0" w:afterLines="0" w:after="0"/>
        <w:rPr>
          <w:szCs w:val="32"/>
        </w:rPr>
      </w:pPr>
      <w:r>
        <w:rPr>
          <w:rFonts w:ascii="仿宋_GB2312" w:cs="仿宋_GB2312" w:hAnsi="仿宋_GB2312" w:hint="eastAsia"/>
          <w:szCs w:val="32"/>
        </w:rPr>
        <w:br w:type="page"/>
      </w:r>
      <w:bookmarkStart w:id="82" w:name="_Toc87460046"/>
      <w:bookmarkStart w:id="83" w:name="_Toc320111099"/>
      <w:bookmarkStart w:id="84" w:name="_Toc93504274"/>
      <w:bookmarkStart w:id="85" w:name="_Toc15200"/>
      <w:bookmarkStart w:id="86" w:name="_Toc2435"/>
      <w:bookmarkStart w:id="87" w:name="_Toc31067"/>
      <w:bookmarkStart w:id="88" w:name="_Toc8932"/>
      <w:bookmarkStart w:id="89" w:name="_Toc1913"/>
      <w:bookmarkStart w:id="90" w:name="_Toc26156"/>
      <w:bookmarkStart w:id="91" w:name="_Toc318290101"/>
      <w:bookmarkStart w:id="92" w:name="_Toc9859"/>
      <w:bookmarkStart w:id="93" w:name="_Toc18459"/>
      <w:bookmarkStart w:id="94" w:name="_Toc665"/>
      <w:r>
        <w:rPr>
          <w:szCs w:val="32"/>
        </w:rPr>
        <w:t>第二章</w:t>
      </w:r>
      <w:r>
        <w:rPr>
          <w:rFonts w:hint="eastAsia"/>
          <w:szCs w:val="32"/>
        </w:rPr>
        <w:t xml:space="preserve"> </w:t>
      </w:r>
      <w:r>
        <w:rPr>
          <w:szCs w:val="32"/>
        </w:rPr>
        <w:t>总体要求</w:t>
      </w:r>
      <w:bookmarkEnd w:id="82"/>
      <w:bookmarkEnd w:id="83"/>
      <w:bookmarkEnd w:id="84"/>
      <w:bookmarkEnd w:id="85"/>
      <w:bookmarkEnd w:id="86"/>
      <w:bookmarkEnd w:id="87"/>
      <w:bookmarkEnd w:id="88"/>
      <w:bookmarkEnd w:id="89"/>
      <w:bookmarkEnd w:id="90"/>
      <w:bookmarkEnd w:id="91"/>
      <w:bookmarkEnd w:id="92"/>
      <w:bookmarkEnd w:id="93"/>
      <w:bookmarkEnd w:id="94"/>
    </w:p>
    <w:p>
      <w:pPr>
        <w:snapToGrid w:val="0"/>
        <w:rPr>
          <w:rFonts w:ascii="Calibri" w:cs="Arial" w:hAnsi="Calibri"/>
          <w:b/>
          <w:bCs w:val="0"/>
          <w:sz w:val="32"/>
          <w:szCs w:val="32"/>
        </w:rPr>
      </w:pPr>
      <w:bookmarkStart w:id="95" w:name="_Toc30664"/>
      <w:bookmarkStart w:id="96" w:name="_Toc22688"/>
      <w:bookmarkStart w:id="97" w:name="_Toc62053098"/>
      <w:bookmarkStart w:id="98" w:name="_Toc18453154"/>
      <w:bookmarkStart w:id="99" w:name="_Toc16216439"/>
      <w:bookmarkStart w:id="100" w:name="_Toc2935"/>
      <w:bookmarkStart w:id="101" w:name="_Toc62333426"/>
      <w:bookmarkStart w:id="102" w:name="_Toc87460047"/>
      <w:bookmarkStart w:id="103" w:name="_Toc26422"/>
      <w:bookmarkStart w:id="104" w:name="_Toc29937849"/>
      <w:bookmarkStart w:id="105" w:name="_Toc26201"/>
      <w:bookmarkStart w:id="106" w:name="_Toc62053349"/>
      <w:bookmarkStart w:id="107" w:name="_Toc13360"/>
      <w:bookmarkStart w:id="108" w:name="_Toc46637905"/>
      <w:bookmarkStart w:id="109" w:name="_Toc318290102"/>
      <w:bookmarkStart w:id="110" w:name="_Toc320111100"/>
    </w:p>
    <w:p>
      <w:pPr>
        <w:pStyle w:val="404"/>
        <w:overflowPunct w:val="0"/>
        <w:adjustRightInd w:val="0"/>
        <w:snapToGrid w:val="0"/>
        <w:spacing w:beforeLines="0" w:before="0" w:afterLines="0" w:after="0"/>
        <w:ind w:firstLineChars="0" w:firstLine="0"/>
        <w:rPr>
          <w:rFonts w:ascii="Times New Roman" w:cs="Times New Roman" w:hAnsi="Times New Roman"/>
          <w:bCs/>
          <w:szCs w:val="32"/>
        </w:rPr>
      </w:pPr>
      <w:bookmarkStart w:id="111" w:name="_Toc7042"/>
      <w:bookmarkStart w:id="112" w:name="_Toc22700"/>
      <w:bookmarkStart w:id="113" w:name="_Toc93504275"/>
      <w:bookmarkStart w:id="114" w:name="_Toc17498"/>
      <w:r>
        <w:rPr>
          <w:rFonts w:ascii="Times New Roman" w:cs="Times New Roman" w:hAnsi="Times New Roman"/>
          <w:bCs/>
          <w:szCs w:val="32"/>
        </w:rPr>
        <w:t>第一节 指导思想</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11"/>
      <w:bookmarkEnd w:id="112"/>
      <w:bookmarkEnd w:id="113"/>
      <w:bookmarkEnd w:id="114"/>
    </w:p>
    <w:p>
      <w:pPr>
        <w:snapToGrid w:val="0"/>
        <w:rPr>
          <w:rFonts w:ascii="Calibri" w:cs="Arial" w:hAnsi="Calibri"/>
          <w:sz w:val="32"/>
          <w:szCs w:val="32"/>
        </w:rPr>
      </w:pPr>
    </w:p>
    <w:p>
      <w:pPr>
        <w:pStyle w:val="379"/>
        <w:overflowPunct w:val="0"/>
        <w:adjustRightInd w:val="0"/>
        <w:snapToGrid w:val="0"/>
        <w:rPr>
          <w:rFonts w:eastAsia="仿宋_GB2312"/>
          <w:b w:val="0"/>
          <w:bCs w:val="0"/>
          <w:sz w:val="32"/>
          <w:szCs w:val="32"/>
        </w:rPr>
      </w:pPr>
      <w:r>
        <w:rPr>
          <w:rFonts w:ascii="仿宋_GB2312" w:cs="仿宋_GB2312" w:hint="eastAsia"/>
          <w:szCs w:val="32"/>
        </w:rPr>
        <w:t>以习近平新时代中国特色社会主义思想为指导，全面贯彻党的十九大和十九届</w:t>
      </w:r>
      <w:r>
        <w:rPr>
          <w:rFonts w:ascii="仿宋_GB2312" w:cs="仿宋_GB2312" w:hint="eastAsia"/>
          <w:szCs w:val="32"/>
          <w:lang w:eastAsia="zh-CN"/>
        </w:rPr>
        <w:t>历次</w:t>
      </w:r>
      <w:r>
        <w:rPr>
          <w:rFonts w:ascii="仿宋_GB2312" w:cs="仿宋_GB2312" w:hint="eastAsia"/>
          <w:szCs w:val="32"/>
        </w:rPr>
        <w:t>全会精神，深入践行习近平生态文明思想，立足新发展阶段，贯彻新发展理念，服务和融入新发展格局，锚定2035年远景目标，坚持减污降碳协同增效，更加突出精准治污、科学治污、依法治污，以海洋生态环境质量持续改善为核心，以“美丽海湾”保护与建设为统领，</w:t>
      </w:r>
      <w:bookmarkEnd w:id="109"/>
      <w:bookmarkEnd w:id="110"/>
      <w:r>
        <w:rPr>
          <w:rFonts w:ascii="仿宋_GB2312" w:cs="仿宋_GB2312" w:hint="eastAsia"/>
          <w:szCs w:val="32"/>
        </w:rPr>
        <w:t>按照“贯通陆海污染防治和生态保护”的总体要求，以“管用、好用、解决问题”为出发点和立足点，统筹污染治理、生态保护和风险防范，推动解决突出海洋生态环境问题，推进海洋生态环境领域治理体系和治理能力现代化建设，协同推进沿海地区经济高质量发展和生态环境高水平保护，不断满足人民日益增长的优美海洋生态环境需求，为建设美丽福建奠定坚实的海洋生态环境基础。</w:t>
      </w:r>
      <w:bookmarkStart w:id="115" w:name="_Toc62053350"/>
      <w:bookmarkStart w:id="116" w:name="_Toc20528"/>
      <w:bookmarkStart w:id="117" w:name="_Toc13278"/>
      <w:bookmarkStart w:id="118" w:name="_Toc46637906"/>
      <w:bookmarkStart w:id="119" w:name="_Toc62053099"/>
      <w:bookmarkStart w:id="120" w:name="_Toc16216440"/>
      <w:bookmarkStart w:id="121" w:name="_Toc29937850"/>
      <w:bookmarkStart w:id="122" w:name="_Toc18228"/>
      <w:bookmarkStart w:id="123" w:name="_Toc27767"/>
      <w:bookmarkStart w:id="124" w:name="_Toc25621"/>
      <w:bookmarkStart w:id="125" w:name="_Toc22397"/>
      <w:bookmarkStart w:id="126" w:name="_Toc18453155"/>
      <w:bookmarkStart w:id="127" w:name="_Toc62333427"/>
      <w:bookmarkStart w:id="128" w:name="_Toc87460048"/>
    </w:p>
    <w:p>
      <w:pPr>
        <w:pStyle w:val="16"/>
        <w:overflowPunct/>
        <w:adjustRightInd/>
        <w:snapToGrid w:val="0"/>
        <w:spacing w:after="0"/>
        <w:ind w:firstLineChars="200" w:firstLine="560"/>
        <w:outlineLvl w:val="9"/>
      </w:pPr>
    </w:p>
    <w:p>
      <w:pPr>
        <w:overflowPunct w:val="0"/>
        <w:adjustRightInd w:val="0"/>
        <w:snapToGrid w:val="0"/>
        <w:ind w:firstLineChars="0" w:firstLine="0"/>
        <w:jc w:val="center"/>
        <w:outlineLvl w:val="1"/>
        <w:rPr>
          <w:rFonts w:ascii="Times New Roman" w:cs="Times New Roman" w:hAnsi="Times New Roman"/>
          <w:b w:val="0"/>
          <w:sz w:val="32"/>
          <w:szCs w:val="32"/>
        </w:rPr>
      </w:pPr>
      <w:bookmarkStart w:id="129" w:name="_Toc93504276"/>
      <w:bookmarkStart w:id="130" w:name="_Toc8710"/>
      <w:bookmarkStart w:id="131" w:name="_Toc17414"/>
      <w:bookmarkStart w:id="132" w:name="_Toc18755"/>
      <w:r>
        <w:rPr>
          <w:rFonts w:eastAsia="楷体_GB2312"/>
          <w:b/>
          <w:bCs/>
          <w:sz w:val="32"/>
          <w:szCs w:val="32"/>
        </w:rPr>
        <w:t>第二节 基本原则</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pPr>
        <w:adjustRightInd w:val="0"/>
        <w:snapToGrid w:val="0"/>
        <w:jc w:val="left"/>
        <w:rPr>
          <w:rFonts w:ascii="仿宋_GB2312" w:cs="仿宋_GB2312"/>
          <w:b/>
          <w:sz w:val="32"/>
          <w:szCs w:val="32"/>
        </w:rPr>
      </w:pPr>
    </w:p>
    <w:p>
      <w:pPr>
        <w:adjustRightInd w:val="0"/>
        <w:snapToGrid w:val="0"/>
        <w:jc w:val="left"/>
        <w:rPr>
          <w:rFonts w:ascii="仿宋_GB2312" w:cs="仿宋_GB2312" w:hint="eastAsia"/>
          <w:b/>
          <w:sz w:val="32"/>
          <w:szCs w:val="32"/>
        </w:rPr>
      </w:pPr>
      <w:r>
        <w:rPr>
          <w:rFonts w:ascii="仿宋_GB2312" w:cs="仿宋_GB2312" w:hint="eastAsia"/>
          <w:b/>
          <w:sz w:val="32"/>
          <w:szCs w:val="32"/>
        </w:rPr>
        <w:t>生态优先，绿色发展。</w:t>
      </w:r>
      <w:r>
        <w:rPr>
          <w:rFonts w:ascii="仿宋_GB2312" w:cs="仿宋_GB2312" w:hint="eastAsia"/>
          <w:bCs/>
          <w:color w:val="000000"/>
          <w:sz w:val="32"/>
          <w:szCs w:val="32"/>
        </w:rPr>
        <w:t>践行绿水青山就是金山银山理念，以生态优先、绿色发展为引领，</w:t>
      </w:r>
      <w:r>
        <w:rPr>
          <w:rFonts w:ascii="仿宋_GB2312" w:cs="仿宋_GB2312" w:hint="eastAsia"/>
          <w:bCs/>
          <w:sz w:val="32"/>
          <w:szCs w:val="32"/>
        </w:rPr>
        <w:t>把海洋生态环境保护主动融入经济社会发展全过程，</w:t>
      </w:r>
      <w:r>
        <w:rPr>
          <w:rFonts w:ascii="仿宋_GB2312" w:cs="仿宋_GB2312" w:hint="eastAsia"/>
          <w:bCs/>
          <w:color w:val="000000"/>
          <w:sz w:val="32"/>
          <w:szCs w:val="32"/>
        </w:rPr>
        <w:t>坚持减污降碳协同增效，推动沿海海洋产业结构优化调整，促进生态、生产、生活空间合理布局和绿色高质量发展。</w:t>
      </w:r>
    </w:p>
    <w:p>
      <w:pPr>
        <w:adjustRightInd w:val="0"/>
        <w:snapToGrid w:val="0"/>
        <w:rPr>
          <w:rFonts w:ascii="仿宋_GB2312" w:cs="仿宋_GB2312" w:hint="eastAsia"/>
          <w:sz w:val="32"/>
          <w:szCs w:val="32"/>
        </w:rPr>
      </w:pPr>
      <w:r>
        <w:rPr>
          <w:rFonts w:ascii="仿宋_GB2312" w:cs="仿宋_GB2312" w:hint="eastAsia"/>
          <w:b/>
          <w:sz w:val="32"/>
          <w:szCs w:val="32"/>
        </w:rPr>
        <w:t>陆海统筹，区域联动。</w:t>
      </w:r>
      <w:r>
        <w:rPr>
          <w:rFonts w:ascii="仿宋_GB2312" w:cs="仿宋_GB2312" w:hint="eastAsia"/>
          <w:bCs/>
          <w:sz w:val="32"/>
          <w:szCs w:val="32"/>
        </w:rPr>
        <w:t>建立强化陆海统筹、河海兼顾、区域联动、协同共治的治理模式，</w:t>
      </w:r>
      <w:r>
        <w:rPr>
          <w:rFonts w:ascii="仿宋_GB2312" w:cs="仿宋_GB2312" w:hint="eastAsia"/>
          <w:sz w:val="32"/>
          <w:szCs w:val="32"/>
        </w:rPr>
        <w:t>以海湾为重点，强化陆海整体谋划和有机联动，统筹陆域流域和海域污染协同治理。加强沿海地区入海河流流域及近岸海域生态环境目标、政策标准衔接，实施区域流域海域污染防治和生态保护修复责任衔接、协调联动和统一监管，推动陆海协同治理。</w:t>
      </w:r>
    </w:p>
    <w:p>
      <w:pPr>
        <w:adjustRightInd w:val="0"/>
        <w:snapToGrid w:val="0"/>
        <w:rPr>
          <w:rFonts w:ascii="仿宋_GB2312" w:cs="仿宋_GB2312" w:hint="eastAsia"/>
          <w:sz w:val="32"/>
          <w:szCs w:val="32"/>
        </w:rPr>
      </w:pPr>
      <w:r>
        <w:rPr>
          <w:rFonts w:ascii="仿宋_GB2312" w:cs="仿宋_GB2312" w:hint="eastAsia"/>
          <w:b/>
          <w:sz w:val="32"/>
          <w:szCs w:val="32"/>
        </w:rPr>
        <w:t>问题导向，稳</w:t>
      </w:r>
      <w:r>
        <w:rPr>
          <w:rFonts w:ascii="仿宋_GB2312" w:cs="仿宋_GB2312" w:hint="eastAsia"/>
          <w:b/>
          <w:sz w:val="32"/>
          <w:szCs w:val="32"/>
          <w:lang w:val="en-US" w:eastAsia="zh-CN"/>
        </w:rPr>
        <w:t>中</w:t>
      </w:r>
      <w:r>
        <w:rPr>
          <w:rFonts w:ascii="仿宋_GB2312" w:cs="仿宋_GB2312" w:hint="eastAsia"/>
          <w:b/>
          <w:sz w:val="32"/>
          <w:szCs w:val="32"/>
        </w:rPr>
        <w:t>求进。</w:t>
      </w:r>
      <w:r>
        <w:rPr>
          <w:rFonts w:ascii="仿宋_GB2312" w:cs="仿宋_GB2312" w:hint="eastAsia"/>
          <w:sz w:val="32"/>
          <w:szCs w:val="32"/>
        </w:rPr>
        <w:t>面向2035年美丽福建建设的战略目标和总体要求，以解决突出海洋生态环境问题为导向，以改善海洋环境质量、恢复典型生态系统、提高社会公众获得感为核心，锚定2035年远景目标，倒排工期、精准发力，巩固成效、提升质量，确保海洋生态环境质量持续稳定改善。</w:t>
      </w:r>
    </w:p>
    <w:p>
      <w:pPr>
        <w:adjustRightInd w:val="0"/>
        <w:snapToGrid w:val="0"/>
        <w:rPr>
          <w:rFonts w:ascii="仿宋_GB2312" w:cs="仿宋_GB2312" w:hint="eastAsia"/>
          <w:sz w:val="32"/>
          <w:szCs w:val="32"/>
        </w:rPr>
      </w:pPr>
      <w:r>
        <w:rPr>
          <w:rFonts w:ascii="仿宋_GB2312" w:cs="仿宋_GB2312" w:hint="eastAsia"/>
          <w:b/>
          <w:sz w:val="32"/>
          <w:szCs w:val="32"/>
        </w:rPr>
        <w:t>一湾一策，精准施策。</w:t>
      </w:r>
      <w:r>
        <w:rPr>
          <w:rFonts w:ascii="仿宋_GB2312" w:cs="仿宋_GB2312" w:hint="eastAsia"/>
          <w:bCs/>
          <w:sz w:val="32"/>
          <w:szCs w:val="32"/>
        </w:rPr>
        <w:t>以海湾（湾区）为管理单元、以沿海市县为责任主体，</w:t>
      </w:r>
      <w:r>
        <w:rPr>
          <w:rFonts w:ascii="仿宋_GB2312" w:cs="仿宋_GB2312" w:hint="eastAsia"/>
          <w:sz w:val="32"/>
          <w:szCs w:val="32"/>
        </w:rPr>
        <w:t>针对不同河口、海湾和不同海域的突出生态环境问题特征，“一湾一策”科学谋划重点任务和行动方案，合理制定有针对性、可操作的差异化政策措施，</w:t>
      </w:r>
      <w:r>
        <w:rPr>
          <w:rFonts w:ascii="仿宋_GB2312" w:cs="仿宋_GB2312" w:hint="eastAsia"/>
          <w:bCs/>
          <w:sz w:val="32"/>
          <w:szCs w:val="32"/>
        </w:rPr>
        <w:t>建立完善考核机制，</w:t>
      </w:r>
      <w:r>
        <w:rPr>
          <w:rFonts w:ascii="仿宋_GB2312" w:cs="仿宋_GB2312" w:hint="eastAsia"/>
          <w:sz w:val="32"/>
          <w:szCs w:val="32"/>
        </w:rPr>
        <w:t>提高海洋生态环境保护成效。</w:t>
      </w:r>
    </w:p>
    <w:p>
      <w:pPr>
        <w:adjustRightInd w:val="0"/>
        <w:snapToGrid w:val="0"/>
        <w:rPr>
          <w:rFonts w:ascii="仿宋_GB2312" w:cs="仿宋_GB2312"/>
          <w:bCs/>
          <w:sz w:val="32"/>
          <w:szCs w:val="32"/>
        </w:rPr>
      </w:pPr>
      <w:r>
        <w:rPr>
          <w:rFonts w:ascii="仿宋_GB2312" w:cs="仿宋_GB2312" w:hint="eastAsia"/>
          <w:b/>
          <w:sz w:val="32"/>
          <w:szCs w:val="32"/>
        </w:rPr>
        <w:t>上下联动，多方共治。</w:t>
      </w:r>
      <w:r>
        <w:rPr>
          <w:rFonts w:ascii="仿宋_GB2312" w:cs="仿宋_GB2312" w:hint="eastAsia"/>
          <w:bCs/>
          <w:sz w:val="32"/>
          <w:szCs w:val="32"/>
        </w:rPr>
        <w:t>加强组织协调，明确省级各部门责任和分工，强化目标要求，鼓励市县及有关部门根据各自实际情况创新实践。会同有关部门、沿海市县、涉海企事业单位、科研机构和社会公众等群策群力编制和实施规划，形成共抓海洋生态环境大保护的格局。</w:t>
      </w:r>
    </w:p>
    <w:p>
      <w:pPr>
        <w:adjustRightInd w:val="0"/>
        <w:snapToGrid w:val="0"/>
        <w:ind w:left="0" w:firstLineChars="0" w:firstLine="0"/>
        <w:rPr>
          <w:rFonts w:ascii="仿宋_GB2312" w:cs="仿宋_GB2312" w:hint="eastAsia"/>
          <w:bCs/>
          <w:sz w:val="32"/>
          <w:szCs w:val="32"/>
        </w:rPr>
      </w:pPr>
    </w:p>
    <w:p>
      <w:pPr>
        <w:overflowPunct w:val="0"/>
        <w:adjustRightInd w:val="0"/>
        <w:snapToGrid w:val="0"/>
        <w:ind w:firstLineChars="0" w:firstLine="0"/>
        <w:jc w:val="center"/>
        <w:outlineLvl w:val="1"/>
        <w:rPr>
          <w:rFonts w:eastAsia="楷体_GB2312" w:hint="eastAsia"/>
          <w:b/>
          <w:bCs/>
          <w:sz w:val="32"/>
          <w:szCs w:val="32"/>
        </w:rPr>
      </w:pPr>
      <w:bookmarkStart w:id="133" w:name="_Toc87460049"/>
      <w:bookmarkStart w:id="134" w:name="_Toc46637907"/>
      <w:bookmarkStart w:id="135" w:name="_Toc18453156"/>
      <w:bookmarkStart w:id="136" w:name="_Toc26872"/>
      <w:bookmarkStart w:id="137" w:name="_Toc17433"/>
      <w:bookmarkStart w:id="138" w:name="_Toc15207"/>
      <w:bookmarkStart w:id="139" w:name="_Toc62333428"/>
      <w:bookmarkStart w:id="140" w:name="_Toc16216441"/>
      <w:bookmarkStart w:id="141" w:name="_Toc32049"/>
      <w:bookmarkStart w:id="142" w:name="_Toc20155"/>
      <w:bookmarkStart w:id="143" w:name="_Toc5460"/>
      <w:bookmarkStart w:id="144" w:name="_Toc62053100"/>
      <w:bookmarkStart w:id="145" w:name="_Toc29937851"/>
      <w:bookmarkStart w:id="146" w:name="_Toc93504277"/>
      <w:bookmarkStart w:id="147" w:name="_Toc20899"/>
      <w:bookmarkStart w:id="148" w:name="_Toc21853"/>
      <w:bookmarkStart w:id="149" w:name="_Toc62053386"/>
      <w:bookmarkStart w:id="150" w:name="_Toc6823"/>
      <w:bookmarkStart w:id="151" w:name="_Toc52296183"/>
      <w:bookmarkStart w:id="152" w:name="_Toc46152161"/>
      <w:bookmarkStart w:id="153" w:name="_Toc320111108"/>
      <w:bookmarkStart w:id="154" w:name="_Toc318290110"/>
      <w:r>
        <w:rPr>
          <w:rFonts w:eastAsia="楷体_GB2312" w:hint="eastAsia"/>
          <w:b/>
          <w:bCs/>
          <w:sz w:val="32"/>
          <w:szCs w:val="32"/>
        </w:rPr>
        <w:t>第三节 目标与指标</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pPr>
        <w:overflowPunct w:val="0"/>
        <w:adjustRightInd w:val="0"/>
        <w:snapToGrid w:val="0"/>
        <w:rPr>
          <w:rFonts w:ascii="仿宋_GB2312" w:cs="仿宋_GB2312" w:hint="eastAsia"/>
          <w:bCs/>
          <w:sz w:val="32"/>
          <w:szCs w:val="32"/>
        </w:rPr>
      </w:pPr>
      <w:bookmarkStart w:id="155" w:name="_Toc46152162"/>
      <w:bookmarkEnd w:id="151"/>
      <w:bookmarkEnd w:id="152"/>
    </w:p>
    <w:p>
      <w:pPr>
        <w:overflowPunct w:val="0"/>
        <w:adjustRightInd w:val="0"/>
        <w:snapToGrid w:val="0"/>
        <w:rPr>
          <w:rFonts w:ascii="仿宋_GB2312" w:cs="仿宋_GB2312" w:hint="eastAsia"/>
          <w:bCs/>
          <w:sz w:val="32"/>
          <w:szCs w:val="32"/>
        </w:rPr>
      </w:pPr>
      <w:r>
        <w:rPr>
          <w:rFonts w:ascii="仿宋_GB2312" w:cs="仿宋_GB2312" w:hint="eastAsia"/>
          <w:bCs/>
          <w:sz w:val="32"/>
          <w:szCs w:val="32"/>
        </w:rPr>
        <w:t>展望2035年，“机制活、产业优、百姓富、生态美”的新福建展现更加崭新的面貌，</w:t>
      </w:r>
      <w:r>
        <w:rPr>
          <w:rFonts w:ascii="仿宋_GB2312" w:cs="仿宋_GB2312" w:hint="eastAsia"/>
          <w:sz w:val="32"/>
          <w:szCs w:val="32"/>
        </w:rPr>
        <w:t>沿海地区绿色生产生活方式广泛形成，海洋生态环境根本好转，美丽海洋建设目标基本实现。海</w:t>
      </w:r>
      <w:r>
        <w:rPr>
          <w:rFonts w:ascii="仿宋_GB2312" w:cs="仿宋_GB2312" w:hint="eastAsia"/>
          <w:bCs/>
          <w:sz w:val="32"/>
          <w:szCs w:val="32"/>
        </w:rPr>
        <w:t>洋</w:t>
      </w:r>
      <w:r>
        <w:rPr>
          <w:rFonts w:ascii="仿宋_GB2312" w:cs="仿宋_GB2312" w:hint="eastAsia"/>
          <w:sz w:val="32"/>
          <w:szCs w:val="32"/>
        </w:rPr>
        <w:t>生态环境质量保持全国前列，海洋生态环境保护管理制度健全完备，海洋生态环境治理体系和治理能力现代化基本实现，</w:t>
      </w:r>
      <w:r>
        <w:rPr>
          <w:rFonts w:ascii="仿宋_GB2312" w:cs="仿宋_GB2312" w:hint="eastAsia"/>
          <w:bCs/>
          <w:sz w:val="32"/>
          <w:szCs w:val="32"/>
        </w:rPr>
        <w:t>“水清滩净、鱼鸥翔集、人海和谐”的美丽海湾基本建成，人民群众对优美海洋生态环境的需要得到满足。</w:t>
      </w:r>
    </w:p>
    <w:p>
      <w:pPr>
        <w:overflowPunct w:val="0"/>
        <w:adjustRightInd w:val="0"/>
        <w:snapToGrid w:val="0"/>
        <w:ind w:firstLineChars="0" w:firstLine="640"/>
        <w:rPr>
          <w:rFonts w:hint="eastAsia"/>
          <w:sz w:val="32"/>
          <w:szCs w:val="32"/>
        </w:rPr>
      </w:pPr>
      <w:r>
        <w:rPr>
          <w:rFonts w:ascii="仿宋_GB2312" w:cs="仿宋_GB2312" w:hint="eastAsia"/>
          <w:bCs/>
          <w:sz w:val="32"/>
          <w:szCs w:val="32"/>
        </w:rPr>
        <w:t>锚定2035年远景目标，“十四五”时期福建省海洋生态环境保护的主要指标见表1。</w:t>
      </w:r>
      <w:bookmarkEnd w:id="155"/>
    </w:p>
    <w:p>
      <w:pPr>
        <w:overflowPunct w:val="0"/>
        <w:adjustRightInd w:val="0"/>
        <w:snapToGrid w:val="0"/>
        <w:ind w:firstLineChars="0" w:firstLine="0"/>
        <w:rPr>
          <w:rFonts w:hint="eastAsia"/>
          <w:sz w:val="32"/>
          <w:szCs w:val="32"/>
        </w:rPr>
        <w:sectPr>
          <w:headerReference w:type="default" r:id="rId7"/>
          <w:headerReference w:type="even" r:id="rId8"/>
          <w:headerReference w:type="first" r:id="rId9"/>
          <w:footerReference w:type="default" r:id="rId10"/>
          <w:footerReference w:type="even" r:id="rId11"/>
          <w:footerReference w:type="first" r:id="rId12"/>
          <w:pgSz w:w="11906" w:h="16838"/>
          <w:pgMar w:top="2098" w:right="1587" w:bottom="1587" w:left="1587" w:header="851" w:footer="992" w:gutter="0"/>
          <w:pgNumType w:start="1"/>
          <w:docGrid w:type="lines" w:linePitch="312" w:charSpace="0"/>
        </w:sectPr>
      </w:pPr>
    </w:p>
    <w:p>
      <w:pPr>
        <w:overflowPunct w:val="0"/>
        <w:adjustRightInd w:val="0"/>
        <w:snapToGrid w:val="0"/>
        <w:jc w:val="center"/>
        <w:rPr>
          <w:rFonts w:ascii="黑体" w:eastAsia="黑体" w:cs="华文中宋" w:hint="eastAsia"/>
          <w:bCs/>
          <w:sz w:val="32"/>
          <w:szCs w:val="32"/>
        </w:rPr>
      </w:pPr>
      <w:r>
        <w:rPr>
          <w:rFonts w:ascii="黑体" w:eastAsia="黑体" w:cs="华文中宋" w:hint="eastAsia"/>
          <w:bCs/>
          <w:sz w:val="32"/>
          <w:szCs w:val="32"/>
        </w:rPr>
        <w:t>表1  “十四五”海洋生态环境保护主要指标</w:t>
      </w:r>
    </w:p>
    <w:tbl>
      <w:tblPr>
        <w:jc w:val="cen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896"/>
        <w:gridCol w:w="988"/>
        <w:gridCol w:w="4145"/>
        <w:gridCol w:w="1325"/>
        <w:gridCol w:w="1824"/>
        <w:gridCol w:w="2963"/>
        <w:gridCol w:w="1033"/>
      </w:tblGrid>
      <w:tr>
        <w:trPr>
          <w:tblHeader/>
        </w:trPr>
        <w:tc>
          <w:tcPr>
            <w:tcW w:w="374"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ind w:firstLineChars="0" w:firstLine="0"/>
              <w:jc w:val="center"/>
              <w:rPr>
                <w:rFonts w:ascii="仿宋_GB2312" w:cs="宋体" w:hint="eastAsia"/>
                <w:b/>
                <w:kern w:val="0"/>
                <w:sz w:val="21"/>
                <w:szCs w:val="21"/>
              </w:rPr>
            </w:pPr>
            <w:r>
              <w:rPr>
                <w:rFonts w:ascii="仿宋_GB2312" w:cs="宋体" w:hint="eastAsia"/>
                <w:b/>
                <w:kern w:val="0"/>
                <w:sz w:val="21"/>
                <w:szCs w:val="21"/>
              </w:rPr>
              <w:t>类别</w:t>
            </w:r>
          </w:p>
        </w:tc>
        <w:tc>
          <w:tcPr>
            <w:tcW w:w="372"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ind w:firstLineChars="0" w:firstLine="0"/>
              <w:jc w:val="center"/>
              <w:rPr>
                <w:rFonts w:ascii="仿宋_GB2312" w:cs="宋体" w:hint="eastAsia"/>
                <w:b/>
                <w:kern w:val="0"/>
                <w:sz w:val="21"/>
                <w:szCs w:val="21"/>
              </w:rPr>
            </w:pPr>
            <w:r>
              <w:rPr>
                <w:rFonts w:ascii="仿宋_GB2312" w:cs="宋体" w:hint="eastAsia"/>
                <w:b/>
                <w:kern w:val="0"/>
                <w:sz w:val="21"/>
                <w:szCs w:val="21"/>
              </w:rPr>
              <w:t>序号</w:t>
            </w:r>
          </w:p>
        </w:tc>
        <w:tc>
          <w:tcPr>
            <w:tcW w:w="1561"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ind w:firstLineChars="0" w:firstLine="0"/>
              <w:jc w:val="center"/>
              <w:rPr>
                <w:rFonts w:ascii="仿宋_GB2312" w:cs="宋体" w:hint="eastAsia"/>
                <w:b/>
                <w:kern w:val="0"/>
                <w:sz w:val="21"/>
                <w:szCs w:val="21"/>
              </w:rPr>
            </w:pPr>
            <w:r>
              <w:rPr>
                <w:rFonts w:ascii="仿宋_GB2312" w:cs="宋体" w:hint="eastAsia"/>
                <w:b/>
                <w:kern w:val="0"/>
                <w:sz w:val="21"/>
                <w:szCs w:val="21"/>
              </w:rPr>
              <w:t>指标名称</w:t>
            </w:r>
          </w:p>
        </w:tc>
        <w:tc>
          <w:tcPr>
            <w:tcW w:w="49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ind w:firstLineChars="0" w:firstLine="0"/>
              <w:jc w:val="center"/>
              <w:rPr>
                <w:rFonts w:ascii="仿宋_GB2312" w:cs="宋体" w:hint="eastAsia"/>
                <w:b/>
                <w:kern w:val="0"/>
                <w:sz w:val="21"/>
                <w:szCs w:val="21"/>
              </w:rPr>
            </w:pPr>
            <w:r>
              <w:rPr>
                <w:rFonts w:ascii="仿宋_GB2312" w:cs="宋体" w:hint="eastAsia"/>
                <w:b/>
                <w:kern w:val="0"/>
                <w:sz w:val="21"/>
                <w:szCs w:val="21"/>
              </w:rPr>
              <w:t>单位</w:t>
            </w:r>
          </w:p>
        </w:tc>
        <w:tc>
          <w:tcPr>
            <w:tcW w:w="687"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cs="宋体" w:hint="eastAsia"/>
                <w:b/>
                <w:kern w:val="0"/>
                <w:sz w:val="21"/>
                <w:szCs w:val="21"/>
              </w:rPr>
            </w:pPr>
            <w:r>
              <w:rPr>
                <w:rFonts w:ascii="仿宋_GB2312" w:cs="宋体" w:hint="eastAsia"/>
                <w:b/>
                <w:kern w:val="0"/>
                <w:sz w:val="21"/>
                <w:szCs w:val="21"/>
              </w:rPr>
              <w:t>2020年</w:t>
            </w:r>
          </w:p>
          <w:p>
            <w:pPr>
              <w:widowControl/>
              <w:overflowPunct w:val="0"/>
              <w:adjustRightInd w:val="0"/>
              <w:snapToGrid w:val="0"/>
              <w:spacing w:line="240" w:lineRule="auto"/>
              <w:ind w:firstLineChars="0" w:firstLine="0"/>
              <w:jc w:val="center"/>
              <w:rPr>
                <w:rFonts w:ascii="仿宋_GB2312" w:cs="宋体" w:hint="eastAsia"/>
                <w:b/>
                <w:kern w:val="0"/>
                <w:sz w:val="21"/>
                <w:szCs w:val="21"/>
              </w:rPr>
            </w:pPr>
            <w:r>
              <w:rPr>
                <w:rFonts w:ascii="仿宋_GB2312" w:cs="宋体" w:hint="eastAsia"/>
                <w:b/>
                <w:kern w:val="0"/>
                <w:sz w:val="21"/>
                <w:szCs w:val="21"/>
              </w:rPr>
              <w:t>完成情况</w:t>
            </w:r>
          </w:p>
        </w:tc>
        <w:tc>
          <w:tcPr>
            <w:tcW w:w="1116"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cs="宋体" w:hint="eastAsia"/>
                <w:b/>
                <w:kern w:val="0"/>
                <w:sz w:val="21"/>
                <w:szCs w:val="21"/>
              </w:rPr>
            </w:pPr>
            <w:r>
              <w:rPr>
                <w:rFonts w:ascii="仿宋_GB2312" w:cs="宋体" w:hint="eastAsia"/>
                <w:b/>
                <w:kern w:val="0"/>
                <w:sz w:val="21"/>
                <w:szCs w:val="21"/>
              </w:rPr>
              <w:t>2025年</w:t>
            </w:r>
          </w:p>
          <w:p>
            <w:pPr>
              <w:widowControl/>
              <w:overflowPunct w:val="0"/>
              <w:adjustRightInd w:val="0"/>
              <w:snapToGrid w:val="0"/>
              <w:spacing w:line="240" w:lineRule="auto"/>
              <w:ind w:firstLineChars="0" w:firstLine="0"/>
              <w:jc w:val="center"/>
              <w:rPr>
                <w:rFonts w:ascii="仿宋_GB2312" w:cs="宋体" w:hint="eastAsia"/>
                <w:b/>
                <w:kern w:val="0"/>
                <w:sz w:val="21"/>
                <w:szCs w:val="21"/>
              </w:rPr>
            </w:pPr>
            <w:r>
              <w:rPr>
                <w:rFonts w:ascii="仿宋_GB2312" w:cs="宋体" w:hint="eastAsia"/>
                <w:b/>
                <w:kern w:val="0"/>
                <w:sz w:val="21"/>
                <w:szCs w:val="21"/>
              </w:rPr>
              <w:t>目标值</w:t>
            </w:r>
          </w:p>
        </w:tc>
        <w:tc>
          <w:tcPr>
            <w:tcW w:w="38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ind w:firstLineChars="0" w:firstLine="0"/>
              <w:jc w:val="center"/>
              <w:rPr>
                <w:rFonts w:ascii="仿宋_GB2312" w:cs="宋体" w:hint="eastAsia"/>
                <w:b/>
                <w:kern w:val="0"/>
                <w:sz w:val="21"/>
                <w:szCs w:val="21"/>
              </w:rPr>
            </w:pPr>
            <w:r>
              <w:rPr>
                <w:rFonts w:ascii="仿宋_GB2312" w:cs="宋体" w:hint="eastAsia"/>
                <w:b/>
                <w:kern w:val="0"/>
                <w:sz w:val="21"/>
                <w:szCs w:val="21"/>
              </w:rPr>
              <w:t>属性</w:t>
            </w:r>
          </w:p>
        </w:tc>
      </w:tr>
      <w:tr>
        <w:trPr>
          <w:trHeight w:hRule="exact" w:val="454"/>
        </w:trPr>
        <w:tc>
          <w:tcPr>
            <w:tcW w:w="374" w:type="pct"/>
            <w:vMerge w:val="restart"/>
            <w:tcBorders>
              <w:top w:val="single" w:sz="4" w:space="0" w:color="auto"/>
              <w:left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海洋</w:t>
            </w:r>
          </w:p>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环境</w:t>
            </w:r>
          </w:p>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质量</w:t>
            </w:r>
          </w:p>
        </w:tc>
        <w:tc>
          <w:tcPr>
            <w:tcW w:w="372" w:type="pct"/>
            <w:tcBorders>
              <w:top w:val="single" w:sz="4" w:space="0" w:color="auto"/>
              <w:left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1</w:t>
            </w:r>
          </w:p>
        </w:tc>
        <w:tc>
          <w:tcPr>
            <w:tcW w:w="1561"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近岸海域优良（一、二类）水质比例</w:t>
            </w:r>
          </w:p>
        </w:tc>
        <w:tc>
          <w:tcPr>
            <w:tcW w:w="49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w:t>
            </w:r>
          </w:p>
        </w:tc>
        <w:tc>
          <w:tcPr>
            <w:tcW w:w="687"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85.2</w:t>
            </w:r>
          </w:p>
        </w:tc>
        <w:tc>
          <w:tcPr>
            <w:tcW w:w="1116"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≥86</w:t>
            </w:r>
          </w:p>
        </w:tc>
        <w:tc>
          <w:tcPr>
            <w:tcW w:w="38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约束性</w:t>
            </w:r>
          </w:p>
        </w:tc>
      </w:tr>
      <w:tr>
        <w:trPr>
          <w:trHeight w:hRule="exact" w:val="454"/>
        </w:trPr>
        <w:tc>
          <w:tcPr>
            <w:tcW w:w="374" w:type="pct"/>
            <w:vMerge/>
            <w:tcBorders>
              <w:left w:val="single" w:sz="4" w:space="0" w:color="auto"/>
              <w:right w:val="single" w:sz="4" w:space="0" w:color="auto"/>
            </w:tcBorders>
            <w:noWrap/>
            <w:vAlign w:val="center"/>
          </w:tcPr>
          <w:p/>
        </w:tc>
        <w:tc>
          <w:tcPr>
            <w:tcW w:w="372" w:type="pct"/>
            <w:tcBorders>
              <w:left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2</w:t>
            </w:r>
          </w:p>
        </w:tc>
        <w:tc>
          <w:tcPr>
            <w:tcW w:w="1561"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主要海湾</w:t>
            </w:r>
            <w:r>
              <w:rPr>
                <w:rStyle w:val="95"/>
                <w:rFonts w:ascii="仿宋_GB2312" w:hAnsi="仿宋_GB2312" w:hint="eastAsia"/>
                <w:kern w:val="0"/>
                <w:sz w:val="21"/>
                <w:szCs w:val="21"/>
              </w:rPr>
              <w:footnoteReference w:id="2"/>
            </w:r>
            <w:r>
              <w:rPr>
                <w:rFonts w:ascii="仿宋_GB2312" w:hint="eastAsia"/>
                <w:kern w:val="0"/>
                <w:sz w:val="21"/>
                <w:szCs w:val="21"/>
              </w:rPr>
              <w:t>富营养化指数</w:t>
            </w:r>
          </w:p>
        </w:tc>
        <w:tc>
          <w:tcPr>
            <w:tcW w:w="49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w:t>
            </w:r>
          </w:p>
        </w:tc>
        <w:tc>
          <w:tcPr>
            <w:tcW w:w="687"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w:t>
            </w:r>
          </w:p>
        </w:tc>
        <w:tc>
          <w:tcPr>
            <w:tcW w:w="1116"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＜1</w:t>
            </w:r>
          </w:p>
        </w:tc>
        <w:tc>
          <w:tcPr>
            <w:tcW w:w="38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预期性</w:t>
            </w:r>
          </w:p>
        </w:tc>
      </w:tr>
      <w:tr>
        <w:trPr>
          <w:trHeight w:hRule="exact" w:val="454"/>
        </w:trPr>
        <w:tc>
          <w:tcPr>
            <w:tcW w:w="374" w:type="pct"/>
            <w:vMerge/>
            <w:tcBorders>
              <w:left w:val="single" w:sz="4" w:space="0" w:color="auto"/>
              <w:right w:val="single" w:sz="4" w:space="0" w:color="auto"/>
            </w:tcBorders>
            <w:noWrap/>
            <w:vAlign w:val="center"/>
          </w:tcPr>
          <w:p/>
        </w:tc>
        <w:tc>
          <w:tcPr>
            <w:tcW w:w="372" w:type="pct"/>
            <w:tcBorders>
              <w:left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3</w:t>
            </w:r>
          </w:p>
        </w:tc>
        <w:tc>
          <w:tcPr>
            <w:tcW w:w="1561"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重点直排海污染源排放达标率</w:t>
            </w:r>
          </w:p>
        </w:tc>
        <w:tc>
          <w:tcPr>
            <w:tcW w:w="49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w:t>
            </w:r>
          </w:p>
        </w:tc>
        <w:tc>
          <w:tcPr>
            <w:tcW w:w="687"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93.8</w:t>
            </w:r>
          </w:p>
        </w:tc>
        <w:tc>
          <w:tcPr>
            <w:tcW w:w="1116"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100</w:t>
            </w:r>
          </w:p>
        </w:tc>
        <w:tc>
          <w:tcPr>
            <w:tcW w:w="38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预期性</w:t>
            </w:r>
          </w:p>
        </w:tc>
      </w:tr>
      <w:tr>
        <w:trPr>
          <w:trHeight w:hRule="exact" w:val="454"/>
        </w:trPr>
        <w:tc>
          <w:tcPr>
            <w:tcW w:w="374" w:type="pct"/>
            <w:vMerge/>
            <w:tcBorders>
              <w:left w:val="single" w:sz="4" w:space="0" w:color="auto"/>
              <w:right w:val="single" w:sz="4" w:space="0" w:color="auto"/>
            </w:tcBorders>
            <w:noWrap/>
            <w:vAlign w:val="center"/>
          </w:tcPr>
          <w:p/>
        </w:tc>
        <w:tc>
          <w:tcPr>
            <w:tcW w:w="372" w:type="pct"/>
            <w:tcBorders>
              <w:left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4</w:t>
            </w:r>
          </w:p>
        </w:tc>
        <w:tc>
          <w:tcPr>
            <w:tcW w:w="1561"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主要入海河流</w:t>
            </w:r>
            <w:r>
              <w:rPr>
                <w:rStyle w:val="95"/>
                <w:rFonts w:ascii="仿宋_GB2312" w:hAnsi="仿宋_GB2312" w:hint="eastAsia"/>
                <w:kern w:val="0"/>
                <w:sz w:val="21"/>
                <w:szCs w:val="21"/>
              </w:rPr>
              <w:footnoteReference w:id="3"/>
            </w:r>
            <w:r>
              <w:rPr>
                <w:rFonts w:ascii="仿宋_GB2312" w:hint="eastAsia"/>
                <w:kern w:val="0"/>
                <w:sz w:val="21"/>
                <w:szCs w:val="21"/>
              </w:rPr>
              <w:t>水功能区达标率</w:t>
            </w:r>
          </w:p>
        </w:tc>
        <w:tc>
          <w:tcPr>
            <w:tcW w:w="49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w:t>
            </w:r>
          </w:p>
        </w:tc>
        <w:tc>
          <w:tcPr>
            <w:tcW w:w="687"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待国家核定</w:t>
            </w:r>
          </w:p>
        </w:tc>
        <w:tc>
          <w:tcPr>
            <w:tcW w:w="1116"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完成国家下达目标</w:t>
            </w:r>
          </w:p>
        </w:tc>
        <w:tc>
          <w:tcPr>
            <w:tcW w:w="38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预期性</w:t>
            </w:r>
          </w:p>
        </w:tc>
      </w:tr>
      <w:tr>
        <w:trPr>
          <w:trHeight w:hRule="exact" w:val="454"/>
        </w:trPr>
        <w:tc>
          <w:tcPr>
            <w:tcW w:w="374" w:type="pct"/>
            <w:vMerge w:val="restart"/>
            <w:tcBorders>
              <w:top w:val="single" w:sz="4" w:space="0" w:color="auto"/>
              <w:left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海洋生态修复</w:t>
            </w:r>
          </w:p>
        </w:tc>
        <w:tc>
          <w:tcPr>
            <w:tcW w:w="372" w:type="pct"/>
            <w:tcBorders>
              <w:top w:val="single" w:sz="4" w:space="0" w:color="auto"/>
              <w:left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5</w:t>
            </w:r>
          </w:p>
        </w:tc>
        <w:tc>
          <w:tcPr>
            <w:tcW w:w="1561"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大陆自然岸线保有率</w:t>
            </w:r>
          </w:p>
        </w:tc>
        <w:tc>
          <w:tcPr>
            <w:tcW w:w="49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w:t>
            </w:r>
          </w:p>
        </w:tc>
        <w:tc>
          <w:tcPr>
            <w:tcW w:w="687"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46.2（待核定）</w:t>
            </w:r>
          </w:p>
        </w:tc>
        <w:tc>
          <w:tcPr>
            <w:tcW w:w="1116"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完成国家下达目标</w:t>
            </w:r>
          </w:p>
        </w:tc>
        <w:tc>
          <w:tcPr>
            <w:tcW w:w="38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约束性</w:t>
            </w:r>
          </w:p>
        </w:tc>
      </w:tr>
      <w:tr>
        <w:trPr>
          <w:trHeight w:hRule="exact" w:val="454"/>
        </w:trPr>
        <w:tc>
          <w:tcPr>
            <w:tcW w:w="374" w:type="pct"/>
            <w:vMerge/>
            <w:tcBorders>
              <w:left w:val="single" w:sz="4" w:space="0" w:color="auto"/>
              <w:right w:val="single" w:sz="4" w:space="0" w:color="auto"/>
            </w:tcBorders>
            <w:noWrap/>
            <w:vAlign w:val="center"/>
          </w:tcPr>
          <w:p/>
        </w:tc>
        <w:tc>
          <w:tcPr>
            <w:tcW w:w="372" w:type="pct"/>
            <w:tcBorders>
              <w:left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6</w:t>
            </w:r>
          </w:p>
        </w:tc>
        <w:tc>
          <w:tcPr>
            <w:tcW w:w="1561"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整治修复岸线长度</w:t>
            </w:r>
          </w:p>
        </w:tc>
        <w:tc>
          <w:tcPr>
            <w:tcW w:w="49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km</w:t>
            </w:r>
          </w:p>
        </w:tc>
        <w:tc>
          <w:tcPr>
            <w:tcW w:w="687"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w:t>
            </w:r>
          </w:p>
        </w:tc>
        <w:tc>
          <w:tcPr>
            <w:tcW w:w="1116"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lang w:val="en-US" w:eastAsia="zh-CN"/>
              </w:rPr>
            </w:pPr>
            <w:r>
              <w:rPr>
                <w:rFonts w:ascii="仿宋_GB2312" w:hint="eastAsia"/>
                <w:kern w:val="0"/>
                <w:sz w:val="21"/>
                <w:szCs w:val="21"/>
              </w:rPr>
              <w:t>≥</w:t>
            </w:r>
            <w:r>
              <w:rPr>
                <w:rFonts w:ascii="仿宋_GB2312" w:hint="eastAsia"/>
                <w:kern w:val="0"/>
                <w:sz w:val="21"/>
                <w:szCs w:val="21"/>
                <w:lang w:val="en-US" w:eastAsia="zh-CN"/>
              </w:rPr>
              <w:t>50</w:t>
            </w:r>
          </w:p>
        </w:tc>
        <w:tc>
          <w:tcPr>
            <w:tcW w:w="38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预期性</w:t>
            </w:r>
          </w:p>
        </w:tc>
      </w:tr>
      <w:tr>
        <w:trPr>
          <w:trHeight w:hRule="exact" w:val="454"/>
        </w:trPr>
        <w:tc>
          <w:tcPr>
            <w:tcW w:w="374" w:type="pct"/>
            <w:vMerge/>
            <w:tcBorders>
              <w:left w:val="single" w:sz="4" w:space="0" w:color="auto"/>
              <w:right w:val="single" w:sz="4" w:space="0" w:color="auto"/>
            </w:tcBorders>
            <w:noWrap/>
            <w:vAlign w:val="center"/>
          </w:tcPr>
          <w:p/>
        </w:tc>
        <w:tc>
          <w:tcPr>
            <w:tcW w:w="372" w:type="pct"/>
            <w:tcBorders>
              <w:left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7</w:t>
            </w:r>
          </w:p>
        </w:tc>
        <w:tc>
          <w:tcPr>
            <w:tcW w:w="1561"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滨海湿地生态修复面积</w:t>
            </w:r>
          </w:p>
        </w:tc>
        <w:tc>
          <w:tcPr>
            <w:tcW w:w="49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hm</w:t>
            </w:r>
            <w:r>
              <w:rPr>
                <w:rFonts w:ascii="仿宋_GB2312" w:hint="eastAsia"/>
                <w:kern w:val="0"/>
                <w:sz w:val="21"/>
                <w:szCs w:val="21"/>
                <w:vertAlign w:val="superscript"/>
              </w:rPr>
              <w:t>2</w:t>
            </w:r>
          </w:p>
        </w:tc>
        <w:tc>
          <w:tcPr>
            <w:tcW w:w="687"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w:t>
            </w:r>
          </w:p>
        </w:tc>
        <w:tc>
          <w:tcPr>
            <w:tcW w:w="1116"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lang w:val="en-US" w:eastAsia="zh-CN"/>
              </w:rPr>
            </w:pPr>
            <w:r>
              <w:rPr>
                <w:rFonts w:ascii="仿宋_GB2312" w:hint="eastAsia"/>
                <w:kern w:val="0"/>
                <w:sz w:val="21"/>
                <w:szCs w:val="21"/>
              </w:rPr>
              <w:t>≥</w:t>
            </w:r>
            <w:r>
              <w:rPr>
                <w:rFonts w:ascii="仿宋_GB2312" w:hint="eastAsia"/>
                <w:kern w:val="0"/>
                <w:sz w:val="21"/>
                <w:szCs w:val="21"/>
                <w:lang w:val="en-US" w:eastAsia="zh-CN"/>
              </w:rPr>
              <w:t>2000</w:t>
            </w:r>
          </w:p>
        </w:tc>
        <w:tc>
          <w:tcPr>
            <w:tcW w:w="38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预期性</w:t>
            </w:r>
          </w:p>
        </w:tc>
      </w:tr>
      <w:tr>
        <w:trPr>
          <w:trHeight w:hRule="exact" w:val="454"/>
        </w:trPr>
        <w:tc>
          <w:tcPr>
            <w:tcW w:w="374" w:type="pct"/>
            <w:vMerge/>
            <w:tcBorders>
              <w:left w:val="single" w:sz="4" w:space="0" w:color="auto"/>
              <w:bottom w:val="single" w:sz="4" w:space="0" w:color="auto"/>
              <w:right w:val="single" w:sz="4" w:space="0" w:color="auto"/>
            </w:tcBorders>
            <w:noWrap/>
            <w:vAlign w:val="center"/>
          </w:tcPr>
          <w:p/>
        </w:tc>
        <w:tc>
          <w:tcPr>
            <w:tcW w:w="372" w:type="pct"/>
            <w:tcBorders>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8</w:t>
            </w:r>
          </w:p>
        </w:tc>
        <w:tc>
          <w:tcPr>
            <w:tcW w:w="1561"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其中：红树林营造修复面积</w:t>
            </w:r>
          </w:p>
        </w:tc>
        <w:tc>
          <w:tcPr>
            <w:tcW w:w="49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hm</w:t>
            </w:r>
            <w:r>
              <w:rPr>
                <w:rFonts w:ascii="仿宋_GB2312" w:hint="eastAsia"/>
                <w:kern w:val="0"/>
                <w:sz w:val="21"/>
                <w:szCs w:val="21"/>
                <w:vertAlign w:val="superscript"/>
              </w:rPr>
              <w:t>2</w:t>
            </w:r>
          </w:p>
        </w:tc>
        <w:tc>
          <w:tcPr>
            <w:tcW w:w="687"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w:t>
            </w:r>
          </w:p>
        </w:tc>
        <w:tc>
          <w:tcPr>
            <w:tcW w:w="1116"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1175</w:t>
            </w:r>
          </w:p>
        </w:tc>
        <w:tc>
          <w:tcPr>
            <w:tcW w:w="38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预期性</w:t>
            </w:r>
          </w:p>
        </w:tc>
      </w:tr>
      <w:tr>
        <w:trPr>
          <w:trHeight w:hRule="exact" w:val="454"/>
        </w:trPr>
        <w:tc>
          <w:tcPr>
            <w:tcW w:w="374" w:type="pct"/>
            <w:vMerge w:val="restar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亲海环境品质提升</w:t>
            </w:r>
          </w:p>
        </w:tc>
        <w:tc>
          <w:tcPr>
            <w:tcW w:w="372"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9</w:t>
            </w:r>
          </w:p>
        </w:tc>
        <w:tc>
          <w:tcPr>
            <w:tcW w:w="1561"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整治亲海岸滩长度</w:t>
            </w:r>
          </w:p>
        </w:tc>
        <w:tc>
          <w:tcPr>
            <w:tcW w:w="49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km</w:t>
            </w:r>
          </w:p>
        </w:tc>
        <w:tc>
          <w:tcPr>
            <w:tcW w:w="687"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w:t>
            </w:r>
          </w:p>
        </w:tc>
        <w:tc>
          <w:tcPr>
            <w:tcW w:w="1116"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35</w:t>
            </w:r>
          </w:p>
        </w:tc>
        <w:tc>
          <w:tcPr>
            <w:tcW w:w="38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预期性</w:t>
            </w:r>
          </w:p>
        </w:tc>
      </w:tr>
      <w:tr>
        <w:trPr>
          <w:trHeight w:hRule="exact" w:val="454"/>
        </w:trPr>
        <w:tc>
          <w:tcPr>
            <w:tcW w:w="374" w:type="pct"/>
            <w:vMerge/>
            <w:tcBorders>
              <w:top w:val="single" w:sz="4" w:space="0" w:color="auto"/>
              <w:left w:val="single" w:sz="4" w:space="0" w:color="auto"/>
              <w:bottom w:val="single" w:sz="4" w:space="0" w:color="auto"/>
              <w:right w:val="single" w:sz="4" w:space="0" w:color="auto"/>
            </w:tcBorders>
            <w:noWrap/>
            <w:vAlign w:val="center"/>
          </w:tcPr>
          <w:p/>
        </w:tc>
        <w:tc>
          <w:tcPr>
            <w:tcW w:w="372"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10</w:t>
            </w:r>
          </w:p>
        </w:tc>
        <w:tc>
          <w:tcPr>
            <w:tcW w:w="1561"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重点岸段海漂垃圾分布密度</w:t>
            </w:r>
          </w:p>
        </w:tc>
        <w:tc>
          <w:tcPr>
            <w:tcW w:w="49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m</w:t>
            </w:r>
            <w:r>
              <w:rPr>
                <w:rFonts w:ascii="仿宋_GB2312" w:hint="eastAsia"/>
                <w:kern w:val="0"/>
                <w:sz w:val="21"/>
                <w:szCs w:val="21"/>
                <w:vertAlign w:val="superscript"/>
              </w:rPr>
              <w:t>2</w:t>
            </w:r>
            <w:r>
              <w:rPr>
                <w:rFonts w:ascii="仿宋_GB2312" w:hint="eastAsia"/>
                <w:kern w:val="0"/>
                <w:sz w:val="21"/>
                <w:szCs w:val="21"/>
              </w:rPr>
              <w:t>/km</w:t>
            </w:r>
          </w:p>
        </w:tc>
        <w:tc>
          <w:tcPr>
            <w:tcW w:w="687"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1190</w:t>
            </w:r>
          </w:p>
        </w:tc>
        <w:tc>
          <w:tcPr>
            <w:tcW w:w="1116"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≤500</w:t>
            </w:r>
          </w:p>
        </w:tc>
        <w:tc>
          <w:tcPr>
            <w:tcW w:w="38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预期性</w:t>
            </w:r>
          </w:p>
        </w:tc>
      </w:tr>
      <w:tr>
        <w:trPr>
          <w:trHeight w:hRule="exact" w:val="454"/>
        </w:trPr>
        <w:tc>
          <w:tcPr>
            <w:tcW w:w="374" w:type="pct"/>
            <w:vMerge/>
            <w:tcBorders>
              <w:top w:val="single" w:sz="4" w:space="0" w:color="auto"/>
              <w:left w:val="single" w:sz="4" w:space="0" w:color="auto"/>
              <w:bottom w:val="single" w:sz="4" w:space="0" w:color="auto"/>
              <w:right w:val="single" w:sz="4" w:space="0" w:color="auto"/>
            </w:tcBorders>
            <w:noWrap/>
            <w:vAlign w:val="center"/>
          </w:tcPr>
          <w:p/>
        </w:tc>
        <w:tc>
          <w:tcPr>
            <w:tcW w:w="372"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11</w:t>
            </w:r>
          </w:p>
        </w:tc>
        <w:tc>
          <w:tcPr>
            <w:tcW w:w="1561"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重点海水浴场水质优良比例</w:t>
            </w:r>
          </w:p>
        </w:tc>
        <w:tc>
          <w:tcPr>
            <w:tcW w:w="49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w:t>
            </w:r>
          </w:p>
        </w:tc>
        <w:tc>
          <w:tcPr>
            <w:tcW w:w="687"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w:t>
            </w:r>
          </w:p>
        </w:tc>
        <w:tc>
          <w:tcPr>
            <w:tcW w:w="1116"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90</w:t>
            </w:r>
          </w:p>
        </w:tc>
        <w:tc>
          <w:tcPr>
            <w:tcW w:w="389" w:type="pct"/>
            <w:tcBorders>
              <w:top w:val="single" w:sz="4" w:space="0" w:color="auto"/>
              <w:left w:val="single" w:sz="4" w:space="0" w:color="auto"/>
              <w:bottom w:val="single" w:sz="4" w:space="0" w:color="auto"/>
              <w:right w:val="single" w:sz="4" w:space="0" w:color="auto"/>
            </w:tcBorders>
            <w:noWrap/>
            <w:vAlign w:val="center"/>
          </w:tcPr>
          <w:p>
            <w:pPr>
              <w:widowControl/>
              <w:overflowPunct w:val="0"/>
              <w:adjustRightInd w:val="0"/>
              <w:snapToGrid w:val="0"/>
              <w:spacing w:line="240" w:lineRule="auto"/>
              <w:ind w:firstLineChars="0" w:firstLine="0"/>
              <w:jc w:val="center"/>
              <w:rPr>
                <w:rFonts w:ascii="仿宋_GB2312" w:hint="eastAsia"/>
                <w:kern w:val="0"/>
                <w:sz w:val="21"/>
                <w:szCs w:val="21"/>
              </w:rPr>
            </w:pPr>
            <w:r>
              <w:rPr>
                <w:rFonts w:ascii="仿宋_GB2312" w:hint="eastAsia"/>
                <w:kern w:val="0"/>
                <w:sz w:val="21"/>
                <w:szCs w:val="21"/>
              </w:rPr>
              <w:t>预期性</w:t>
            </w:r>
          </w:p>
        </w:tc>
      </w:tr>
      <w:tr>
        <w:trPr>
          <w:trHeight w:hRule="exact" w:val="454"/>
        </w:trPr>
        <w:tc>
          <w:tcPr>
            <w:tcW w:w="374" w:type="pct"/>
            <w:vMerge/>
            <w:tcBorders>
              <w:left w:val="single" w:sz="4" w:space="0" w:color="auto"/>
              <w:right w:val="single" w:sz="4" w:space="0" w:color="auto"/>
            </w:tcBorders>
            <w:noWrap/>
            <w:vAlign w:val="center"/>
          </w:tcPr>
          <w:p/>
        </w:tc>
        <w:tc>
          <w:tcPr>
            <w:tcW w:w="372" w:type="pct"/>
            <w:tcBorders>
              <w:left w:val="single" w:sz="4" w:space="0" w:color="auto"/>
              <w:right w:val="single" w:sz="4" w:space="0" w:color="auto"/>
            </w:tcBorders>
            <w:noWrap/>
            <w:vAlign w:val="center"/>
          </w:tcPr>
          <w:p>
            <w:pPr>
              <w:widowControl/>
              <w:adjustRightInd w:val="0"/>
              <w:snapToGrid w:val="0"/>
              <w:spacing w:line="240" w:lineRule="auto"/>
              <w:ind w:firstLineChars="0" w:firstLine="0"/>
              <w:jc w:val="center"/>
              <w:textAlignment w:val="center"/>
              <w:rPr>
                <w:rFonts w:ascii="仿宋_GB2312" w:hint="eastAsia"/>
                <w:kern w:val="0"/>
                <w:sz w:val="21"/>
                <w:szCs w:val="21"/>
              </w:rPr>
            </w:pPr>
            <w:r>
              <w:rPr>
                <w:rFonts w:ascii="仿宋_GB2312" w:hint="eastAsia"/>
                <w:kern w:val="0"/>
                <w:sz w:val="21"/>
                <w:szCs w:val="21"/>
              </w:rPr>
              <w:t>12</w:t>
            </w:r>
          </w:p>
        </w:tc>
        <w:tc>
          <w:tcPr>
            <w:tcW w:w="1561" w:type="pct"/>
            <w:tcBorders>
              <w:top w:val="single" w:sz="4" w:space="0" w:color="auto"/>
              <w:left w:val="single" w:sz="4" w:space="0" w:color="auto"/>
              <w:bottom w:val="single" w:sz="4" w:space="0" w:color="auto"/>
              <w:right w:val="single" w:sz="4" w:space="0" w:color="auto"/>
            </w:tcBorders>
            <w:noWrap/>
            <w:vAlign w:val="center"/>
          </w:tcPr>
          <w:p>
            <w:pPr>
              <w:widowControl/>
              <w:adjustRightInd w:val="0"/>
              <w:snapToGrid w:val="0"/>
              <w:spacing w:line="240" w:lineRule="auto"/>
              <w:ind w:firstLineChars="0" w:firstLine="0"/>
              <w:jc w:val="center"/>
              <w:textAlignment w:val="center"/>
              <w:rPr>
                <w:rFonts w:ascii="仿宋_GB2312" w:hint="eastAsia"/>
                <w:kern w:val="0"/>
                <w:sz w:val="21"/>
                <w:szCs w:val="21"/>
              </w:rPr>
            </w:pPr>
            <w:r>
              <w:rPr>
                <w:rFonts w:ascii="仿宋_GB2312" w:hint="eastAsia"/>
                <w:kern w:val="0"/>
                <w:sz w:val="21"/>
                <w:szCs w:val="21"/>
              </w:rPr>
              <w:t>基本建成“美丽海湾”数量</w:t>
            </w:r>
          </w:p>
        </w:tc>
        <w:tc>
          <w:tcPr>
            <w:tcW w:w="499" w:type="pct"/>
            <w:tcBorders>
              <w:top w:val="single" w:sz="4" w:space="0" w:color="auto"/>
              <w:left w:val="single" w:sz="4" w:space="0" w:color="auto"/>
              <w:bottom w:val="single" w:sz="4" w:space="0" w:color="auto"/>
              <w:right w:val="single" w:sz="4" w:space="0" w:color="auto"/>
            </w:tcBorders>
            <w:noWrap/>
            <w:vAlign w:val="center"/>
          </w:tcPr>
          <w:p>
            <w:pPr>
              <w:widowControl/>
              <w:adjustRightInd w:val="0"/>
              <w:snapToGrid w:val="0"/>
              <w:spacing w:line="240" w:lineRule="auto"/>
              <w:ind w:firstLineChars="0" w:firstLine="0"/>
              <w:jc w:val="center"/>
              <w:textAlignment w:val="center"/>
              <w:rPr>
                <w:rFonts w:ascii="仿宋_GB2312" w:hint="eastAsia"/>
                <w:kern w:val="0"/>
                <w:sz w:val="21"/>
                <w:szCs w:val="21"/>
              </w:rPr>
            </w:pPr>
            <w:r>
              <w:rPr>
                <w:rFonts w:ascii="仿宋_GB2312" w:hint="eastAsia"/>
                <w:kern w:val="0"/>
                <w:sz w:val="21"/>
                <w:szCs w:val="21"/>
              </w:rPr>
              <w:t>个</w:t>
            </w:r>
          </w:p>
        </w:tc>
        <w:tc>
          <w:tcPr>
            <w:tcW w:w="687" w:type="pct"/>
            <w:tcBorders>
              <w:top w:val="single" w:sz="4" w:space="0" w:color="auto"/>
              <w:left w:val="single" w:sz="4" w:space="0" w:color="auto"/>
              <w:bottom w:val="single" w:sz="4" w:space="0" w:color="auto"/>
              <w:right w:val="single" w:sz="4" w:space="0" w:color="auto"/>
            </w:tcBorders>
            <w:noWrap/>
            <w:vAlign w:val="center"/>
          </w:tcPr>
          <w:p>
            <w:pPr>
              <w:widowControl/>
              <w:adjustRightInd w:val="0"/>
              <w:snapToGrid w:val="0"/>
              <w:spacing w:line="240" w:lineRule="auto"/>
              <w:ind w:firstLineChars="0" w:firstLine="0"/>
              <w:jc w:val="center"/>
              <w:textAlignment w:val="center"/>
              <w:rPr>
                <w:rFonts w:ascii="仿宋_GB2312" w:hint="eastAsia"/>
                <w:kern w:val="0"/>
                <w:sz w:val="21"/>
                <w:szCs w:val="21"/>
              </w:rPr>
            </w:pPr>
            <w:r>
              <w:rPr>
                <w:rFonts w:ascii="仿宋_GB2312" w:hint="eastAsia"/>
                <w:kern w:val="0"/>
                <w:sz w:val="21"/>
                <w:szCs w:val="21"/>
              </w:rPr>
              <w:t>-</w:t>
            </w:r>
          </w:p>
        </w:tc>
        <w:tc>
          <w:tcPr>
            <w:tcW w:w="1116" w:type="pct"/>
            <w:tcBorders>
              <w:top w:val="single" w:sz="4" w:space="0" w:color="auto"/>
              <w:left w:val="single" w:sz="4" w:space="0" w:color="auto"/>
              <w:bottom w:val="single" w:sz="4" w:space="0" w:color="auto"/>
              <w:right w:val="single" w:sz="4" w:space="0" w:color="auto"/>
            </w:tcBorders>
            <w:noWrap/>
            <w:vAlign w:val="center"/>
          </w:tcPr>
          <w:p>
            <w:pPr>
              <w:widowControl/>
              <w:adjustRightInd w:val="0"/>
              <w:snapToGrid w:val="0"/>
              <w:spacing w:line="240" w:lineRule="auto"/>
              <w:ind w:firstLineChars="0" w:firstLine="0"/>
              <w:jc w:val="center"/>
              <w:textAlignment w:val="center"/>
              <w:rPr>
                <w:rFonts w:ascii="仿宋_GB2312" w:hint="eastAsia"/>
                <w:kern w:val="0"/>
                <w:sz w:val="21"/>
                <w:szCs w:val="21"/>
              </w:rPr>
            </w:pPr>
            <w:r>
              <w:rPr>
                <w:rFonts w:ascii="仿宋_GB2312" w:hint="eastAsia"/>
                <w:kern w:val="0"/>
                <w:sz w:val="21"/>
                <w:szCs w:val="21"/>
              </w:rPr>
              <w:t>10</w:t>
            </w:r>
          </w:p>
        </w:tc>
        <w:tc>
          <w:tcPr>
            <w:tcW w:w="389" w:type="pct"/>
            <w:tcBorders>
              <w:top w:val="single" w:sz="4" w:space="0" w:color="auto"/>
              <w:left w:val="single" w:sz="4" w:space="0" w:color="auto"/>
              <w:bottom w:val="single" w:sz="4" w:space="0" w:color="auto"/>
              <w:right w:val="single" w:sz="4" w:space="0" w:color="auto"/>
            </w:tcBorders>
            <w:noWrap/>
            <w:vAlign w:val="center"/>
          </w:tcPr>
          <w:p>
            <w:pPr>
              <w:widowControl/>
              <w:adjustRightInd w:val="0"/>
              <w:snapToGrid w:val="0"/>
              <w:spacing w:line="240" w:lineRule="auto"/>
              <w:ind w:firstLineChars="0" w:firstLine="0"/>
              <w:jc w:val="center"/>
              <w:textAlignment w:val="center"/>
              <w:rPr>
                <w:rFonts w:ascii="仿宋_GB2312" w:hint="eastAsia"/>
                <w:kern w:val="0"/>
                <w:sz w:val="21"/>
                <w:szCs w:val="21"/>
              </w:rPr>
            </w:pPr>
            <w:r>
              <w:rPr>
                <w:rFonts w:ascii="仿宋_GB2312" w:hint="eastAsia"/>
                <w:kern w:val="0"/>
                <w:sz w:val="21"/>
                <w:szCs w:val="21"/>
              </w:rPr>
              <w:t>预期性</w:t>
            </w:r>
          </w:p>
        </w:tc>
      </w:tr>
    </w:tbl>
    <w:p>
      <w:pPr>
        <w:overflowPunct w:val="0"/>
        <w:adjustRightInd w:val="0"/>
        <w:snapToGrid w:val="0"/>
        <w:ind w:firstLineChars="0" w:firstLine="0"/>
        <w:rPr>
          <w:rFonts w:hint="eastAsia"/>
          <w:szCs w:val="28"/>
        </w:rPr>
        <w:sectPr>
          <w:footnotePr>
            <w:numRestart w:val="eachPage"/>
          </w:footnotePr>
          <w:pgSz w:w="16838" w:h="11906" w:orient="landscape"/>
          <w:pgMar w:top="1797" w:right="1440" w:bottom="1797" w:left="1440" w:header="851" w:footer="992" w:gutter="0"/>
          <w:docGrid w:type="lines" w:linePitch="312" w:charSpace="0"/>
        </w:sectPr>
      </w:pPr>
    </w:p>
    <w:p>
      <w:pPr>
        <w:pStyle w:val="403"/>
        <w:overflowPunct w:val="0"/>
        <w:snapToGrid w:val="0"/>
        <w:spacing w:beforeLines="0" w:before="0" w:afterLines="0" w:after="0"/>
        <w:rPr>
          <w:rFonts w:hint="eastAsia"/>
          <w:szCs w:val="32"/>
        </w:rPr>
      </w:pPr>
      <w:bookmarkStart w:id="156" w:name="_Toc20045"/>
      <w:bookmarkStart w:id="157" w:name="_Toc15227"/>
      <w:bookmarkStart w:id="158" w:name="_Toc3611"/>
      <w:bookmarkStart w:id="159" w:name="_Toc6891"/>
      <w:bookmarkStart w:id="160" w:name="_Toc87460050"/>
      <w:bookmarkStart w:id="161" w:name="_Toc3924"/>
      <w:bookmarkStart w:id="162" w:name="_Toc24924"/>
      <w:bookmarkStart w:id="163" w:name="_Toc17775"/>
      <w:bookmarkStart w:id="164" w:name="_Toc2430"/>
      <w:bookmarkStart w:id="165" w:name="_Toc93504278"/>
      <w:bookmarkStart w:id="166" w:name="_Toc17288"/>
      <w:bookmarkStart w:id="167" w:name="_Toc356293237"/>
      <w:bookmarkEnd w:id="153"/>
      <w:bookmarkEnd w:id="154"/>
      <w:r>
        <w:rPr>
          <w:rFonts w:hint="eastAsia"/>
          <w:szCs w:val="32"/>
        </w:rPr>
        <w:t>第三章 坚持系统治理，</w:t>
      </w:r>
      <w:r>
        <w:rPr>
          <w:rFonts w:hint="eastAsia"/>
          <w:szCs w:val="32"/>
          <w:lang w:eastAsia="zh-CN"/>
        </w:rPr>
        <w:t>打造水清滩净</w:t>
      </w:r>
      <w:r>
        <w:rPr>
          <w:rFonts w:hint="eastAsia"/>
          <w:szCs w:val="32"/>
        </w:rPr>
        <w:t>美丽海湾</w:t>
      </w:r>
      <w:bookmarkEnd w:id="156"/>
      <w:bookmarkEnd w:id="157"/>
      <w:bookmarkEnd w:id="158"/>
      <w:bookmarkEnd w:id="159"/>
      <w:bookmarkEnd w:id="160"/>
      <w:bookmarkEnd w:id="161"/>
      <w:bookmarkEnd w:id="162"/>
      <w:bookmarkEnd w:id="163"/>
      <w:bookmarkEnd w:id="164"/>
      <w:bookmarkEnd w:id="165"/>
      <w:bookmarkEnd w:id="166"/>
    </w:p>
    <w:p>
      <w:pPr>
        <w:snapToGrid w:val="0"/>
        <w:rPr>
          <w:rFonts w:ascii="仿宋_GB2312" w:cs="仿宋_GB2312" w:hint="eastAsia"/>
          <w:sz w:val="32"/>
          <w:szCs w:val="32"/>
        </w:rPr>
      </w:pPr>
    </w:p>
    <w:p>
      <w:pPr>
        <w:snapToGrid w:val="0"/>
        <w:rPr>
          <w:rFonts w:ascii="仿宋_GB2312" w:cs="仿宋_GB2312" w:hint="eastAsia"/>
          <w:b/>
          <w:sz w:val="32"/>
          <w:szCs w:val="32"/>
        </w:rPr>
      </w:pPr>
      <w:r>
        <w:rPr>
          <w:rFonts w:ascii="仿宋_GB2312" w:cs="仿宋_GB2312" w:hint="eastAsia"/>
          <w:sz w:val="32"/>
          <w:szCs w:val="32"/>
        </w:rPr>
        <w:t>全省统筹、梯次推进海湾生态环境综合治理，强化“水清滩净、鱼鸥翔集、人海和谐”的美丽海湾示范建设和长效监管，切实解决百姓反映强烈的突出海洋生态环境问题，全面带动和促进近岸海域生态环境持续改善，助力建设美丽福建。</w:t>
      </w:r>
    </w:p>
    <w:p>
      <w:pPr>
        <w:snapToGrid w:val="0"/>
        <w:rPr>
          <w:rFonts w:ascii="Calibri" w:cs="Arial" w:hAnsi="Calibri"/>
          <w:b/>
          <w:bCs w:val="0"/>
          <w:sz w:val="32"/>
          <w:szCs w:val="32"/>
        </w:rPr>
      </w:pPr>
      <w:bookmarkStart w:id="168" w:name="_Toc22240"/>
      <w:bookmarkStart w:id="169" w:name="_Toc16018"/>
      <w:bookmarkStart w:id="170" w:name="_Toc6428"/>
      <w:bookmarkStart w:id="171" w:name="_Toc15713"/>
      <w:bookmarkStart w:id="172" w:name="_Toc4810"/>
      <w:bookmarkStart w:id="173" w:name="_Toc87460051"/>
      <w:bookmarkStart w:id="174" w:name="_Toc5672"/>
    </w:p>
    <w:p>
      <w:pPr>
        <w:pStyle w:val="404"/>
        <w:overflowPunct w:val="0"/>
        <w:adjustRightInd w:val="0"/>
        <w:snapToGrid w:val="0"/>
        <w:spacing w:beforeLines="0" w:before="0" w:afterLines="0" w:after="0"/>
        <w:ind w:firstLineChars="0" w:firstLine="0"/>
        <w:rPr>
          <w:rFonts w:ascii="Times New Roman" w:cs="Times New Roman" w:hAnsi="Times New Roman" w:hint="eastAsia"/>
          <w:bCs/>
          <w:szCs w:val="32"/>
        </w:rPr>
      </w:pPr>
      <w:bookmarkStart w:id="175" w:name="_Toc93504279"/>
      <w:bookmarkStart w:id="176" w:name="_Toc11275"/>
      <w:bookmarkStart w:id="177" w:name="_Toc11740"/>
      <w:bookmarkStart w:id="178" w:name="_Toc11067"/>
      <w:r>
        <w:rPr>
          <w:rFonts w:ascii="Times New Roman" w:cs="Times New Roman" w:hAnsi="Times New Roman" w:hint="eastAsia"/>
          <w:bCs/>
          <w:szCs w:val="32"/>
        </w:rPr>
        <w:t>第一节 构建海湾整体保护和系统治理格局</w:t>
      </w:r>
      <w:bookmarkEnd w:id="168"/>
      <w:bookmarkEnd w:id="169"/>
      <w:bookmarkEnd w:id="170"/>
      <w:bookmarkEnd w:id="171"/>
      <w:bookmarkEnd w:id="172"/>
      <w:bookmarkEnd w:id="173"/>
      <w:bookmarkEnd w:id="174"/>
      <w:bookmarkEnd w:id="175"/>
      <w:bookmarkEnd w:id="176"/>
      <w:bookmarkEnd w:id="177"/>
      <w:bookmarkEnd w:id="178"/>
    </w:p>
    <w:p>
      <w:pPr>
        <w:adjustRightInd/>
        <w:snapToGrid w:val="0"/>
        <w:rPr>
          <w:rFonts w:ascii="Times New Roman" w:hAnsi="Times New Roman"/>
          <w:sz w:val="32"/>
          <w:szCs w:val="32"/>
        </w:rPr>
      </w:pPr>
    </w:p>
    <w:p>
      <w:pPr>
        <w:adjustRightInd w:val="0"/>
        <w:snapToGrid w:val="0"/>
        <w:rPr>
          <w:rFonts w:ascii="仿宋_GB2312" w:hint="eastAsia"/>
          <w:sz w:val="32"/>
          <w:szCs w:val="32"/>
        </w:rPr>
      </w:pPr>
      <w:r>
        <w:rPr>
          <w:rFonts w:ascii="仿宋_GB2312" w:hint="eastAsia"/>
          <w:sz w:val="32"/>
          <w:szCs w:val="32"/>
        </w:rPr>
        <w:t>依据“国家-省-市-海湾”的分级治理和管控体系，建立以海湾（湾区）为载体和基础管理单元的海洋生态环境管控体系，优化构建陆海统筹、整体保护、系统治理的海洋生态环境分区管治格局。突出“一湾一策”精准施策、整体保护和系统治理，实施海湾环境污染治理、生态保护修复、亲海品质提升等重点任务和重大工程，建设一批美丽海湾，以海湾生态环境的高水平保护促进湾区经济高质量发展。</w:t>
      </w:r>
    </w:p>
    <w:p>
      <w:pPr>
        <w:adjustRightInd w:val="0"/>
        <w:snapToGrid w:val="0"/>
        <w:rPr>
          <w:rFonts w:ascii="仿宋_GB2312" w:hint="eastAsia"/>
          <w:sz w:val="32"/>
          <w:szCs w:val="32"/>
        </w:rPr>
      </w:pPr>
      <w:r>
        <w:rPr>
          <w:rFonts w:ascii="仿宋_GB2312" w:hint="eastAsia"/>
          <w:sz w:val="32"/>
          <w:szCs w:val="32"/>
        </w:rPr>
        <w:t>全省共划分35个美丽海湾（湾区）管控单元，宁德市包括福鼎市沙埕港湾区、福鼎市东部岸段、霞浦县福宁湾岸段、霞浦县东冲半岛东部岸段、三沙湾湾区等5个管控单元；福州市包括鉴江半岛-黄岐半岛东部海域湾区、罗源湾、闽江口北部海域湾区、闽江口湾区、长乐东部海域湾区、福清湾及其北部海域湾区、龙高半岛周边海域湾区、兴化湾福州段等8个管控单元；平潭综合实验区包括平潭西部湾区、平潭东北湾区、平潭东南湾区等3个管控单元；莆田市包括兴化湾莆田段、平海湾、湄洲湾莆田段、南日群岛海域等4个管控单元；泉州市包括湄洲湾泉州段、大港湾湾区、泉州湾湾区、深沪湾湾区、围头湾湾区等5个管控单元；厦门市包括大嶝海域、同安湾、厦门岛东南部海域、西海域等4个管控单元；漳州市包括厦门湾漳州段、兴古湾-前湖湾、将军湾-浮头湾、东山湾、马銮湾湾区、诏安湾-宫口湾等6个管控单元。如附图1和附表1所示。</w:t>
      </w:r>
    </w:p>
    <w:p>
      <w:pPr>
        <w:adjustRightInd w:val="0"/>
        <w:snapToGrid w:val="0"/>
        <w:rPr>
          <w:rFonts w:ascii="仿宋_GB2312" w:hint="eastAsia"/>
          <w:sz w:val="32"/>
          <w:szCs w:val="32"/>
        </w:rPr>
      </w:pPr>
    </w:p>
    <w:p>
      <w:pPr>
        <w:pStyle w:val="404"/>
        <w:overflowPunct w:val="0"/>
        <w:adjustRightInd w:val="0"/>
        <w:snapToGrid w:val="0"/>
        <w:spacing w:beforeLines="0" w:before="0" w:afterLines="0" w:after="0"/>
        <w:ind w:firstLineChars="0" w:firstLine="0"/>
        <w:rPr>
          <w:rFonts w:ascii="Times New Roman" w:cs="Times New Roman" w:hAnsi="Times New Roman" w:hint="eastAsia"/>
          <w:bCs/>
          <w:szCs w:val="32"/>
        </w:rPr>
      </w:pPr>
      <w:bookmarkStart w:id="179" w:name="_Toc87460052"/>
      <w:bookmarkStart w:id="180" w:name="_Toc6218"/>
      <w:bookmarkStart w:id="181" w:name="_Toc4471"/>
      <w:bookmarkStart w:id="182" w:name="_Toc12998"/>
      <w:bookmarkStart w:id="183" w:name="_Toc9255"/>
      <w:bookmarkStart w:id="184" w:name="_Toc29445"/>
      <w:bookmarkStart w:id="185" w:name="_Toc17843"/>
      <w:bookmarkStart w:id="186" w:name="_Toc15742"/>
      <w:bookmarkStart w:id="187" w:name="_Toc7550"/>
      <w:bookmarkStart w:id="188" w:name="_Toc14018"/>
      <w:bookmarkStart w:id="189" w:name="_Toc93504280"/>
      <w:r>
        <w:rPr>
          <w:rFonts w:ascii="Times New Roman" w:cs="Times New Roman" w:hAnsi="Times New Roman" w:hint="eastAsia"/>
          <w:bCs/>
          <w:szCs w:val="32"/>
        </w:rPr>
        <w:t>第二节 分批梯次推进美丽海湾保护与建设</w:t>
      </w:r>
      <w:bookmarkEnd w:id="179"/>
      <w:bookmarkEnd w:id="180"/>
      <w:bookmarkEnd w:id="181"/>
      <w:bookmarkEnd w:id="182"/>
      <w:bookmarkEnd w:id="183"/>
      <w:bookmarkEnd w:id="184"/>
      <w:bookmarkEnd w:id="185"/>
      <w:bookmarkEnd w:id="186"/>
      <w:bookmarkEnd w:id="187"/>
      <w:bookmarkEnd w:id="188"/>
      <w:bookmarkEnd w:id="189"/>
    </w:p>
    <w:p>
      <w:pPr>
        <w:adjustRightInd w:val="0"/>
        <w:snapToGrid w:val="0"/>
        <w:rPr>
          <w:rFonts w:ascii="仿宋_GB2312" w:hint="eastAsia"/>
          <w:b/>
          <w:bCs/>
          <w:sz w:val="32"/>
          <w:szCs w:val="32"/>
        </w:rPr>
      </w:pPr>
    </w:p>
    <w:p>
      <w:pPr>
        <w:adjustRightInd w:val="0"/>
        <w:snapToGrid w:val="0"/>
        <w:rPr>
          <w:rFonts w:ascii="仿宋_GB2312" w:hint="eastAsia"/>
          <w:sz w:val="32"/>
          <w:szCs w:val="32"/>
        </w:rPr>
      </w:pPr>
      <w:r>
        <w:rPr>
          <w:rFonts w:ascii="仿宋_GB2312" w:hint="eastAsia"/>
          <w:b/>
          <w:bCs/>
          <w:sz w:val="32"/>
          <w:szCs w:val="32"/>
        </w:rPr>
        <w:t>系统筹划布局。</w:t>
      </w:r>
      <w:r>
        <w:rPr>
          <w:rFonts w:ascii="仿宋_GB2312" w:hint="eastAsia"/>
          <w:sz w:val="32"/>
          <w:szCs w:val="32"/>
        </w:rPr>
        <w:t>强化市、县（区）政府主体责任，将美丽海湾建设纳入海洋生态环境保护中长期规划，发挥规划引领作用。综合分析海湾自然地理、生态环境、开发利用现状，</w:t>
      </w:r>
      <w:r>
        <w:rPr>
          <w:rFonts w:ascii="仿宋_GB2312" w:hint="eastAsia"/>
          <w:sz w:val="32"/>
          <w:szCs w:val="32"/>
          <w:lang w:val="en-US" w:eastAsia="zh-CN"/>
        </w:rPr>
        <w:t>厘</w:t>
      </w:r>
      <w:r>
        <w:rPr>
          <w:rFonts w:ascii="仿宋_GB2312" w:hint="eastAsia"/>
          <w:sz w:val="32"/>
          <w:szCs w:val="32"/>
        </w:rPr>
        <w:t>清海湾问题、成因、对策、目标，聚焦改善海洋生态环境质量，实施“一湾一策”的陆海污染</w:t>
      </w:r>
      <w:r>
        <w:rPr>
          <w:rFonts w:ascii="仿宋_GB2312" w:hint="eastAsia"/>
          <w:sz w:val="32"/>
          <w:szCs w:val="32"/>
          <w:lang w:val="en-US" w:eastAsia="zh-CN"/>
        </w:rPr>
        <w:t>防</w:t>
      </w:r>
      <w:r>
        <w:rPr>
          <w:rFonts w:ascii="仿宋_GB2312" w:hint="eastAsia"/>
          <w:sz w:val="32"/>
          <w:szCs w:val="32"/>
        </w:rPr>
        <w:t>控、</w:t>
      </w:r>
      <w:r>
        <w:rPr>
          <w:rFonts w:ascii="仿宋_GB2312" w:hint="eastAsia"/>
          <w:sz w:val="32"/>
          <w:szCs w:val="32"/>
          <w:lang w:val="en-US" w:eastAsia="zh-CN"/>
        </w:rPr>
        <w:t>生态</w:t>
      </w:r>
      <w:r>
        <w:rPr>
          <w:rFonts w:ascii="仿宋_GB2312" w:hint="eastAsia"/>
          <w:sz w:val="32"/>
          <w:szCs w:val="32"/>
        </w:rPr>
        <w:t>修复恢复、亲海品质提升等综合治理攻坚，分批梯次推进美丽海湾的保护和建设。</w:t>
      </w:r>
    </w:p>
    <w:p>
      <w:pPr>
        <w:adjustRightInd w:val="0"/>
        <w:snapToGrid w:val="0"/>
        <w:rPr>
          <w:rFonts w:ascii="仿宋_GB2312" w:hint="eastAsia"/>
          <w:sz w:val="32"/>
          <w:szCs w:val="32"/>
        </w:rPr>
      </w:pPr>
      <w:r>
        <w:rPr>
          <w:rFonts w:ascii="仿宋_GB2312" w:hint="eastAsia"/>
          <w:b/>
          <w:bCs/>
          <w:sz w:val="32"/>
          <w:szCs w:val="32"/>
        </w:rPr>
        <w:t>打造典型示范。</w:t>
      </w:r>
      <w:r>
        <w:rPr>
          <w:rFonts w:ascii="仿宋_GB2312" w:hint="eastAsia"/>
          <w:sz w:val="32"/>
          <w:szCs w:val="32"/>
        </w:rPr>
        <w:t>优先对福鼎市东部岸段、鉴江半岛-黄岐半岛东部海域湾区、长乐东部海域湾区、平海湾、大港湾湾区、深沪湾湾区、平潭东南湾区、厦门岛东南部海域、兴古湾</w:t>
      </w:r>
      <w:r>
        <w:rPr>
          <w:rFonts w:ascii="仿宋_GB2312"/>
          <w:sz w:val="32"/>
          <w:szCs w:val="32"/>
        </w:rPr>
        <w:t>-</w:t>
      </w:r>
      <w:r>
        <w:rPr>
          <w:rFonts w:ascii="仿宋_GB2312" w:hint="eastAsia"/>
          <w:sz w:val="32"/>
          <w:szCs w:val="32"/>
        </w:rPr>
        <w:t>前湖湾、马銮湾等10个生态环境本底状况较优越或经前期治理已初见成效的海湾（湾区），实施补短板、强弱项，全面提升海湾环境品质和生态服务功能，到“十四五”末期基本建成“水清滩净、鱼鸥翔集、人海和谐”的美丽海湾样板，开展“美丽海湾”环境指数评估，示范带动全省美丽海湾建设。</w:t>
      </w:r>
    </w:p>
    <w:p>
      <w:pPr>
        <w:adjustRightInd w:val="0"/>
        <w:snapToGrid w:val="0"/>
        <w:rPr>
          <w:rFonts w:ascii="仿宋_GB2312" w:hint="eastAsia"/>
          <w:sz w:val="32"/>
          <w:szCs w:val="32"/>
        </w:rPr>
      </w:pPr>
    </w:p>
    <w:p>
      <w:pPr>
        <w:pStyle w:val="404"/>
        <w:overflowPunct w:val="0"/>
        <w:adjustRightInd w:val="0"/>
        <w:snapToGrid w:val="0"/>
        <w:spacing w:beforeLines="0" w:before="0" w:afterLines="0" w:after="0"/>
        <w:ind w:firstLineChars="0" w:firstLine="0"/>
        <w:rPr>
          <w:rFonts w:ascii="Times New Roman" w:cs="Times New Roman" w:hAnsi="Times New Roman" w:hint="eastAsia"/>
          <w:bCs/>
          <w:szCs w:val="32"/>
        </w:rPr>
      </w:pPr>
      <w:bookmarkStart w:id="190" w:name="_Toc93504281"/>
      <w:bookmarkStart w:id="191" w:name="_Toc4349"/>
      <w:bookmarkStart w:id="192" w:name="_Toc29671"/>
      <w:bookmarkStart w:id="193" w:name="_Toc8653"/>
      <w:bookmarkStart w:id="194" w:name="_Toc628"/>
      <w:bookmarkStart w:id="195" w:name="_Toc30688"/>
      <w:bookmarkStart w:id="196" w:name="_Toc31667"/>
      <w:bookmarkStart w:id="197" w:name="_Toc13576"/>
      <w:bookmarkStart w:id="198" w:name="_Toc2870"/>
      <w:bookmarkStart w:id="199" w:name="_Toc87460053"/>
      <w:bookmarkStart w:id="200" w:name="_Toc26819"/>
      <w:r>
        <w:rPr>
          <w:rFonts w:ascii="Times New Roman" w:cs="Times New Roman" w:hAnsi="Times New Roman" w:hint="eastAsia"/>
          <w:bCs/>
          <w:szCs w:val="32"/>
        </w:rPr>
        <w:t>第三节 健全美丽海湾保护与建设长效机制</w:t>
      </w:r>
      <w:bookmarkEnd w:id="190"/>
      <w:bookmarkEnd w:id="191"/>
      <w:bookmarkEnd w:id="192"/>
      <w:bookmarkEnd w:id="193"/>
      <w:bookmarkEnd w:id="194"/>
      <w:bookmarkEnd w:id="195"/>
      <w:bookmarkEnd w:id="196"/>
      <w:bookmarkEnd w:id="197"/>
      <w:bookmarkEnd w:id="198"/>
      <w:bookmarkEnd w:id="199"/>
      <w:bookmarkEnd w:id="200"/>
    </w:p>
    <w:p>
      <w:pPr>
        <w:snapToGrid w:val="0"/>
        <w:rPr>
          <w:rFonts w:ascii="仿宋_GB2312" w:cs="仿宋_GB2312" w:hint="eastAsia"/>
          <w:bCs/>
          <w:sz w:val="32"/>
          <w:szCs w:val="32"/>
        </w:rPr>
      </w:pPr>
    </w:p>
    <w:p>
      <w:pPr>
        <w:snapToGrid w:val="0"/>
        <w:rPr>
          <w:rFonts w:ascii="仿宋_GB2312" w:hint="eastAsia"/>
          <w:b/>
          <w:sz w:val="32"/>
          <w:szCs w:val="32"/>
        </w:rPr>
      </w:pPr>
      <w:r>
        <w:rPr>
          <w:rFonts w:ascii="仿宋_GB2312" w:cs="仿宋_GB2312" w:hint="eastAsia"/>
          <w:bCs/>
          <w:sz w:val="32"/>
          <w:szCs w:val="32"/>
        </w:rPr>
        <w:t>研究出台加强美丽海湾保护与建设的指导意见</w:t>
      </w:r>
      <w:r>
        <w:rPr>
          <w:rFonts w:ascii="仿宋_GB2312" w:cs="仿宋_GB2312" w:hint="eastAsia"/>
          <w:sz w:val="32"/>
          <w:szCs w:val="32"/>
        </w:rPr>
        <w:t>，</w:t>
      </w:r>
      <w:r>
        <w:rPr>
          <w:rFonts w:ascii="仿宋_GB2312" w:cs="仿宋_GB2312" w:hint="eastAsia"/>
          <w:bCs/>
          <w:sz w:val="32"/>
          <w:szCs w:val="32"/>
        </w:rPr>
        <w:t>建立健全美丽海湾规划、建设、监管、评估、宣传等管理制度，推动形成“问题发现和报告-任务交办和督促落实-公众参与和社会监督”等多方联动、顺畅高效的海湾（湾区）生态环境综合监管格局。开展美丽海湾保护与建设关键技术研究，</w:t>
      </w:r>
      <w:r>
        <w:rPr>
          <w:rFonts w:ascii="仿宋_GB2312" w:cs="仿宋_GB2312" w:hint="eastAsia"/>
          <w:sz w:val="32"/>
          <w:szCs w:val="32"/>
        </w:rPr>
        <w:t>加强面向2035年美丽海湾保护与建设目标实施路径研究。探索</w:t>
      </w:r>
      <w:r>
        <w:rPr>
          <w:rFonts w:ascii="仿宋_GB2312" w:cs="仿宋_GB2312" w:hint="eastAsia"/>
          <w:bCs/>
          <w:sz w:val="32"/>
          <w:szCs w:val="32"/>
        </w:rPr>
        <w:t>美丽海湾考核评估机制，实施周期性动态评估，鼓励以“美丽海湾”为载体，申报“两山”实践创新基地和国家生态文明建设示范市县。建立健全地方财政投入为主、中央财政资金奖补的共同事权财政投入机制，</w:t>
      </w:r>
      <w:r>
        <w:rPr>
          <w:rFonts w:ascii="仿宋_GB2312" w:cs="仿宋_GB2312" w:hint="eastAsia"/>
          <w:sz w:val="32"/>
          <w:szCs w:val="32"/>
        </w:rPr>
        <w:t>积极</w:t>
      </w:r>
      <w:r>
        <w:rPr>
          <w:rFonts w:ascii="仿宋_GB2312" w:cs="仿宋_GB2312" w:hint="eastAsia"/>
          <w:bCs/>
          <w:sz w:val="32"/>
          <w:szCs w:val="32"/>
        </w:rPr>
        <w:t>探索海洋生态环境保护投融资制度，</w:t>
      </w:r>
      <w:r>
        <w:rPr>
          <w:rFonts w:ascii="仿宋_GB2312" w:cs="仿宋_GB2312" w:hint="eastAsia"/>
          <w:sz w:val="32"/>
          <w:szCs w:val="32"/>
        </w:rPr>
        <w:t>充分调动市场化力量参与美丽海湾保护与建设，促进</w:t>
      </w:r>
      <w:r>
        <w:rPr>
          <w:rFonts w:ascii="仿宋_GB2312" w:cs="仿宋_GB2312" w:hint="eastAsia"/>
          <w:bCs/>
          <w:sz w:val="32"/>
          <w:szCs w:val="32"/>
        </w:rPr>
        <w:t>形成政府和社会多方协同的长效投入机制。</w:t>
      </w:r>
    </w:p>
    <w:p>
      <w:pPr>
        <w:pStyle w:val="403"/>
        <w:overflowPunct w:val="0"/>
        <w:snapToGrid w:val="0"/>
        <w:spacing w:beforeLines="0" w:before="0" w:afterLines="0" w:after="0"/>
        <w:rPr>
          <w:sz w:val="31"/>
          <w:szCs w:val="31"/>
        </w:rPr>
      </w:pPr>
      <w:r>
        <w:rPr>
          <w:sz w:val="31"/>
          <w:szCs w:val="31"/>
        </w:rPr>
        <w:br w:type="page"/>
      </w:r>
      <w:bookmarkStart w:id="201" w:name="_Toc24730"/>
      <w:bookmarkStart w:id="202" w:name="_Toc9915"/>
      <w:bookmarkStart w:id="203" w:name="_Toc24340"/>
      <w:bookmarkStart w:id="204" w:name="_Toc87460054"/>
      <w:bookmarkStart w:id="205" w:name="_Toc27648"/>
      <w:bookmarkStart w:id="206" w:name="_Toc31922"/>
      <w:bookmarkStart w:id="207" w:name="_Toc2237"/>
      <w:bookmarkStart w:id="208" w:name="_Toc6587"/>
      <w:bookmarkStart w:id="209" w:name="_Toc93504282"/>
      <w:bookmarkStart w:id="210" w:name="_Toc23904"/>
      <w:bookmarkStart w:id="211" w:name="_Toc11069"/>
      <w:r>
        <w:rPr>
          <w:rFonts w:hint="eastAsia"/>
          <w:sz w:val="31"/>
          <w:szCs w:val="31"/>
        </w:rPr>
        <w:t>第四章 强化精准治污，持续改善近岸海域环境质量</w:t>
      </w:r>
      <w:bookmarkEnd w:id="201"/>
      <w:bookmarkEnd w:id="202"/>
      <w:bookmarkEnd w:id="203"/>
      <w:bookmarkEnd w:id="204"/>
      <w:bookmarkEnd w:id="205"/>
      <w:bookmarkEnd w:id="206"/>
      <w:bookmarkEnd w:id="207"/>
      <w:bookmarkEnd w:id="208"/>
      <w:bookmarkEnd w:id="209"/>
      <w:bookmarkEnd w:id="210"/>
      <w:bookmarkEnd w:id="211"/>
    </w:p>
    <w:p>
      <w:pPr>
        <w:snapToGrid w:val="0"/>
        <w:rPr>
          <w:rFonts w:ascii="仿宋_GB2312" w:cs="仿宋_GB2312" w:hint="eastAsia"/>
          <w:sz w:val="31"/>
          <w:szCs w:val="31"/>
        </w:rPr>
      </w:pPr>
    </w:p>
    <w:p>
      <w:pPr>
        <w:snapToGrid w:val="0"/>
        <w:rPr>
          <w:rFonts w:ascii="仿宋_GB2312" w:cs="仿宋_GB2312" w:hint="eastAsia"/>
          <w:sz w:val="31"/>
          <w:szCs w:val="31"/>
        </w:rPr>
      </w:pPr>
      <w:r>
        <w:rPr>
          <w:rFonts w:ascii="仿宋_GB2312" w:cs="仿宋_GB2312" w:hint="eastAsia"/>
          <w:sz w:val="31"/>
          <w:szCs w:val="31"/>
        </w:rPr>
        <w:t>坚持陆海统筹、河海联动，以近岸海湾、河口为重点，强化精准治污，分区分类实施陆海污染源头治理，强化面源污染物入海总量控制，深入打好重点海域污染防治攻坚战，持续改善近岸海域环境质量。</w:t>
      </w:r>
    </w:p>
    <w:p>
      <w:pPr>
        <w:snapToGrid w:val="0"/>
        <w:rPr>
          <w:rFonts w:ascii="Calibri" w:cs="Arial" w:hAnsi="Calibri"/>
          <w:b/>
          <w:sz w:val="32"/>
          <w:szCs w:val="28"/>
        </w:rPr>
      </w:pPr>
      <w:bookmarkStart w:id="212" w:name="_Toc14736"/>
      <w:bookmarkStart w:id="213" w:name="_Toc23089"/>
      <w:bookmarkStart w:id="214" w:name="_Toc27435"/>
      <w:bookmarkStart w:id="215" w:name="_Toc22779"/>
      <w:bookmarkStart w:id="216" w:name="_Toc32135"/>
      <w:bookmarkStart w:id="217" w:name="_Toc87460055"/>
      <w:bookmarkStart w:id="218" w:name="_Toc9126"/>
    </w:p>
    <w:p>
      <w:pPr>
        <w:pStyle w:val="404"/>
        <w:overflowPunct w:val="0"/>
        <w:adjustRightInd w:val="0"/>
        <w:snapToGrid w:val="0"/>
        <w:spacing w:beforeLines="0" w:before="0" w:afterLines="0" w:after="0"/>
        <w:ind w:firstLineChars="0" w:firstLine="0"/>
        <w:rPr>
          <w:rFonts w:ascii="Times New Roman" w:cs="Times New Roman" w:hAnsi="Times New Roman" w:hint="eastAsia"/>
          <w:bCs w:val="0"/>
          <w:sz w:val="31"/>
          <w:szCs w:val="31"/>
        </w:rPr>
      </w:pPr>
      <w:bookmarkStart w:id="219" w:name="_Toc16269"/>
      <w:bookmarkStart w:id="220" w:name="_Toc93504283"/>
      <w:bookmarkStart w:id="221" w:name="_Toc7050"/>
      <w:bookmarkStart w:id="222" w:name="_Toc29034"/>
      <w:r>
        <w:rPr>
          <w:rFonts w:ascii="Times New Roman" w:cs="Times New Roman" w:hAnsi="Times New Roman" w:hint="eastAsia"/>
          <w:bCs w:val="0"/>
          <w:sz w:val="31"/>
          <w:szCs w:val="31"/>
        </w:rPr>
        <w:t>第一节 开展入海河流氮磷减排</w:t>
      </w:r>
      <w:bookmarkEnd w:id="212"/>
      <w:bookmarkEnd w:id="213"/>
      <w:bookmarkEnd w:id="214"/>
      <w:bookmarkEnd w:id="215"/>
      <w:bookmarkEnd w:id="216"/>
      <w:bookmarkEnd w:id="217"/>
      <w:bookmarkEnd w:id="218"/>
      <w:bookmarkEnd w:id="219"/>
      <w:bookmarkEnd w:id="220"/>
      <w:bookmarkEnd w:id="221"/>
      <w:bookmarkEnd w:id="222"/>
    </w:p>
    <w:p>
      <w:pPr>
        <w:pStyle w:val="379"/>
        <w:overflowPunct w:val="0"/>
        <w:adjustRightInd w:val="0"/>
        <w:snapToGrid w:val="0"/>
        <w:rPr>
          <w:rFonts w:ascii="仿宋_GB2312" w:cs="仿宋_GB2312" w:hint="eastAsia"/>
          <w:b/>
          <w:sz w:val="31"/>
          <w:szCs w:val="31"/>
        </w:rPr>
      </w:pPr>
    </w:p>
    <w:p>
      <w:pPr>
        <w:pStyle w:val="379"/>
        <w:overflowPunct w:val="0"/>
        <w:adjustRightInd w:val="0"/>
        <w:snapToGrid w:val="0"/>
        <w:rPr>
          <w:rFonts w:ascii="仿宋_GB2312" w:cs="仿宋_GB2312" w:hint="eastAsia"/>
          <w:sz w:val="31"/>
          <w:szCs w:val="31"/>
        </w:rPr>
      </w:pPr>
      <w:r>
        <w:rPr>
          <w:rFonts w:ascii="仿宋_GB2312" w:cs="仿宋_GB2312" w:hint="eastAsia"/>
          <w:b/>
          <w:sz w:val="31"/>
          <w:szCs w:val="31"/>
        </w:rPr>
        <w:t>巩固入海河流国控断面水质消劣成效。</w:t>
      </w:r>
      <w:r>
        <w:rPr>
          <w:rFonts w:ascii="仿宋_GB2312" w:cs="仿宋_GB2312" w:hint="eastAsia"/>
          <w:sz w:val="31"/>
          <w:szCs w:val="31"/>
        </w:rPr>
        <w:t>以改善近岸重点海湾和主要河口区水质为目标，衔接联动重点流域水生态环境保护规划，探索建立沿海、流域、海域协同一体的综合治理体系，明确沿海市县及上游市县入海河流的治理责任。持续开展入海河流消劣巩固行动，</w:t>
      </w:r>
      <w:r>
        <w:rPr>
          <w:rFonts w:ascii="仿宋_GB2312" w:cs="仿宋_GB2312" w:hint="eastAsia"/>
          <w:bCs/>
          <w:sz w:val="31"/>
          <w:szCs w:val="31"/>
        </w:rPr>
        <w:t>整治不能稳定消除</w:t>
      </w:r>
      <w:r>
        <w:rPr>
          <w:rFonts w:ascii="仿宋_GB2312" w:cs="仿宋_GB2312" w:hint="eastAsia"/>
          <w:sz w:val="31"/>
          <w:szCs w:val="31"/>
        </w:rPr>
        <w:t>劣Ⅴ类的入海河流，对未达到水质目标要求的入海河流“一河一策”开展精准综合整治。探索入海河流-河口区域的精细化管理，推进河流入海断面水质持续改善。</w:t>
      </w:r>
    </w:p>
    <w:p>
      <w:pPr>
        <w:pStyle w:val="379"/>
        <w:overflowPunct w:val="0"/>
        <w:adjustRightInd w:val="0"/>
        <w:snapToGrid w:val="0"/>
        <w:rPr>
          <w:rFonts w:ascii="仿宋_GB2312" w:cs="仿宋_GB2312" w:hint="eastAsia"/>
          <w:color w:val="FF0000"/>
          <w:sz w:val="31"/>
          <w:szCs w:val="31"/>
        </w:rPr>
      </w:pPr>
      <w:r>
        <w:rPr>
          <w:rFonts w:ascii="仿宋_GB2312" w:cs="仿宋_GB2312" w:hint="eastAsia"/>
          <w:b/>
          <w:sz w:val="31"/>
          <w:szCs w:val="31"/>
        </w:rPr>
        <w:t>严格控制入海河流污染物排放总量。</w:t>
      </w:r>
      <w:r>
        <w:rPr>
          <w:rFonts w:ascii="仿宋_GB2312" w:cs="仿宋_GB2312" w:hint="eastAsia"/>
          <w:sz w:val="31"/>
          <w:szCs w:val="31"/>
        </w:rPr>
        <w:t>加强交溪、霍童溪、闽江、萩芦溪、木兰溪、晋江、九龙江及漳江等11条主要入海河流入海断面水质控制，推进氮磷入海总量减排。强化沿海城镇污水收集和处理提质增效，加强农业面源污染治理，因地制宜建设人工湿地净化和生态扩容工程，进一步削减入海河流总氮总磷等污染物的排海量。2025年底前，重点海湾入海河流国控断面总氮浓度低于2020年水平，降低近岸海域水体富营养化水平。</w:t>
      </w:r>
    </w:p>
    <w:p>
      <w:pPr>
        <w:pStyle w:val="379"/>
        <w:overflowPunct w:val="0"/>
        <w:adjustRightInd w:val="0"/>
        <w:snapToGrid w:val="0"/>
        <w:rPr>
          <w:rFonts w:ascii="仿宋_GB2312" w:cs="仿宋_GB2312" w:hint="eastAsia"/>
          <w:sz w:val="31"/>
          <w:szCs w:val="31"/>
        </w:rPr>
      </w:pPr>
      <w:r>
        <w:rPr>
          <w:rFonts w:ascii="仿宋_GB2312" w:cs="仿宋_GB2312" w:hint="eastAsia"/>
          <w:b/>
          <w:sz w:val="31"/>
          <w:szCs w:val="31"/>
        </w:rPr>
        <w:t>全面开展入海河流环境综合整治。</w:t>
      </w:r>
      <w:r>
        <w:rPr>
          <w:rFonts w:ascii="仿宋_GB2312" w:cs="仿宋_GB2312" w:hint="eastAsia"/>
          <w:sz w:val="31"/>
          <w:szCs w:val="31"/>
        </w:rPr>
        <w:t>以水环境问题和水质改善目标为导向，从控源截污、内源治理、生态修复等方面，“一河一策”开展入海河流环境综合整治。推进流域精细化管理，</w:t>
      </w:r>
      <w:r>
        <w:rPr>
          <w:rFonts w:ascii="仿宋_GB2312" w:cs="仿宋_GB2312" w:hint="eastAsia"/>
          <w:bCs/>
          <w:kern w:val="32"/>
          <w:sz w:val="31"/>
          <w:szCs w:val="31"/>
        </w:rPr>
        <w:t>落实责任部门，建立</w:t>
      </w:r>
      <w:r>
        <w:rPr>
          <w:rFonts w:ascii="仿宋_GB2312" w:cs="仿宋_GB2312" w:hint="eastAsia"/>
          <w:bCs/>
          <w:kern w:val="32"/>
          <w:sz w:val="31"/>
          <w:szCs w:val="31"/>
          <w:lang w:eastAsia="zh-CN"/>
        </w:rPr>
        <w:t>督办</w:t>
      </w:r>
      <w:r>
        <w:rPr>
          <w:rFonts w:ascii="仿宋_GB2312" w:cs="仿宋_GB2312" w:hint="eastAsia"/>
          <w:bCs/>
          <w:kern w:val="32"/>
          <w:sz w:val="31"/>
          <w:szCs w:val="31"/>
        </w:rPr>
        <w:t>机制，</w:t>
      </w:r>
      <w:r>
        <w:rPr>
          <w:rFonts w:ascii="仿宋_GB2312" w:cs="仿宋_GB2312" w:hint="eastAsia"/>
          <w:sz w:val="31"/>
          <w:szCs w:val="31"/>
        </w:rPr>
        <w:t>“四源齐控”强化源头减排，开展省级工业园区、农业养殖面源、城镇生活污水、内河码头污染物专项整治，深入开展入河（湖）排污口排查整治。到2025年，入海小流域入海控制断面水质全面消除劣Ⅴ类，水质总体保持优良。</w:t>
      </w:r>
    </w:p>
    <w:p>
      <w:pPr>
        <w:pStyle w:val="379"/>
        <w:overflowPunct w:val="0"/>
        <w:adjustRightInd w:val="0"/>
        <w:snapToGrid w:val="0"/>
        <w:rPr>
          <w:rFonts w:ascii="仿宋_GB2312" w:cs="仿宋_GB2312" w:hint="eastAsia"/>
          <w:sz w:val="31"/>
          <w:szCs w:val="31"/>
        </w:rPr>
      </w:pPr>
    </w:p>
    <w:p>
      <w:pPr>
        <w:pStyle w:val="404"/>
        <w:overflowPunct w:val="0"/>
        <w:adjustRightInd w:val="0"/>
        <w:snapToGrid w:val="0"/>
        <w:spacing w:beforeLines="0" w:before="0" w:afterLines="0" w:after="0"/>
        <w:ind w:firstLineChars="0" w:firstLine="0"/>
        <w:rPr>
          <w:rFonts w:ascii="Times New Roman" w:cs="Times New Roman" w:hAnsi="Times New Roman" w:hint="eastAsia"/>
          <w:bCs w:val="0"/>
          <w:sz w:val="31"/>
          <w:szCs w:val="31"/>
        </w:rPr>
      </w:pPr>
      <w:bookmarkStart w:id="223" w:name="_Toc14384"/>
      <w:bookmarkStart w:id="224" w:name="_Toc87460056"/>
      <w:bookmarkStart w:id="225" w:name="_Toc3051"/>
      <w:bookmarkStart w:id="226" w:name="_Toc23504"/>
      <w:bookmarkStart w:id="227" w:name="_Toc93504284"/>
      <w:bookmarkStart w:id="228" w:name="_Toc31065"/>
      <w:bookmarkStart w:id="229" w:name="_Toc7650"/>
      <w:bookmarkStart w:id="230" w:name="_Toc735"/>
      <w:bookmarkStart w:id="231" w:name="_Toc24678"/>
      <w:bookmarkStart w:id="232" w:name="_Toc24632"/>
      <w:bookmarkStart w:id="233" w:name="_Toc28174"/>
      <w:r>
        <w:rPr>
          <w:rFonts w:ascii="Times New Roman" w:cs="Times New Roman" w:hAnsi="Times New Roman" w:hint="eastAsia"/>
          <w:bCs w:val="0"/>
          <w:sz w:val="31"/>
          <w:szCs w:val="31"/>
        </w:rPr>
        <w:t>第二节 深化入海排污口排查整治</w:t>
      </w:r>
      <w:bookmarkEnd w:id="223"/>
      <w:bookmarkEnd w:id="224"/>
      <w:bookmarkEnd w:id="225"/>
      <w:bookmarkEnd w:id="226"/>
      <w:bookmarkEnd w:id="227"/>
      <w:bookmarkEnd w:id="228"/>
      <w:bookmarkEnd w:id="229"/>
      <w:bookmarkEnd w:id="230"/>
      <w:bookmarkEnd w:id="231"/>
      <w:bookmarkEnd w:id="232"/>
      <w:bookmarkEnd w:id="233"/>
    </w:p>
    <w:p>
      <w:pPr>
        <w:pStyle w:val="379"/>
        <w:overflowPunct w:val="0"/>
        <w:adjustRightInd w:val="0"/>
        <w:snapToGrid w:val="0"/>
        <w:rPr>
          <w:rFonts w:ascii="仿宋_GB2312" w:cs="仿宋_GB2312" w:hint="eastAsia"/>
          <w:b/>
          <w:sz w:val="31"/>
          <w:szCs w:val="31"/>
        </w:rPr>
      </w:pPr>
    </w:p>
    <w:p>
      <w:pPr>
        <w:pStyle w:val="379"/>
        <w:overflowPunct w:val="0"/>
        <w:adjustRightInd w:val="0"/>
        <w:snapToGrid w:val="0"/>
        <w:rPr>
          <w:rFonts w:ascii="仿宋_GB2312" w:cs="仿宋_GB2312" w:hint="eastAsia"/>
          <w:sz w:val="31"/>
          <w:szCs w:val="31"/>
        </w:rPr>
      </w:pPr>
      <w:r>
        <w:rPr>
          <w:rFonts w:ascii="仿宋_GB2312" w:cs="仿宋_GB2312" w:hint="eastAsia"/>
          <w:b/>
          <w:sz w:val="31"/>
          <w:szCs w:val="31"/>
        </w:rPr>
        <w:t>建立入海排污口分类管理体系。</w:t>
      </w:r>
      <w:r>
        <w:rPr>
          <w:rFonts w:ascii="仿宋_GB2312" w:cs="仿宋_GB2312" w:hint="eastAsia"/>
          <w:bCs/>
          <w:sz w:val="31"/>
          <w:szCs w:val="31"/>
        </w:rPr>
        <w:t>以沿海设区市和平潭综合实验区为单元全面开展入海排污口排查、监测和溯源，摸清各类入海排污口分布及数量、排放特征、责任主体等信息，</w:t>
      </w:r>
      <w:r>
        <w:rPr>
          <w:rFonts w:ascii="仿宋_GB2312" w:cs="仿宋_GB2312" w:hint="eastAsia"/>
          <w:sz w:val="31"/>
          <w:szCs w:val="31"/>
        </w:rPr>
        <w:t>依托福建省生态云平台，构建全省入海排污口“一口一档”动态管理台账和测管联动“一张图”。规范入海排污口设置，推动入海排污口设置与排污许可管理制度相结合，“一口一证”规范入海排污口建设，以工业企业排污口、污水集中处理设施排污口和</w:t>
      </w:r>
      <w:r>
        <w:rPr>
          <w:rFonts w:ascii="仿宋_GB2312" w:cs="仿宋_GB2312" w:hint="eastAsia"/>
          <w:sz w:val="31"/>
          <w:szCs w:val="31"/>
          <w:lang w:eastAsia="zh-CN"/>
        </w:rPr>
        <w:t>其他</w:t>
      </w:r>
      <w:r>
        <w:rPr>
          <w:rFonts w:ascii="仿宋_GB2312" w:cs="仿宋_GB2312" w:hint="eastAsia"/>
          <w:sz w:val="31"/>
          <w:szCs w:val="31"/>
        </w:rPr>
        <w:t>直接入海排污口为重点，进一步完善入海排污口备案规程。明确职责分工，细化工业、生活、水产养殖等各类入海排污口分类监管程序和要求，建立包括信息通报、案件移交、协同执法等机制在内的分类监管制度。到2025年，基本建立入海排污口分类监管体系。</w:t>
      </w:r>
    </w:p>
    <w:p>
      <w:pPr>
        <w:pStyle w:val="379"/>
        <w:overflowPunct w:val="0"/>
        <w:adjustRightInd w:val="0"/>
        <w:snapToGrid w:val="0"/>
        <w:rPr>
          <w:rFonts w:ascii="仿宋_GB2312" w:cs="仿宋_GB2312" w:hint="eastAsia"/>
          <w:color w:val="FF0000"/>
          <w:sz w:val="31"/>
          <w:szCs w:val="31"/>
        </w:rPr>
      </w:pPr>
      <w:r>
        <w:rPr>
          <w:rFonts w:ascii="仿宋_GB2312" w:cs="仿宋_GB2312" w:hint="eastAsia"/>
          <w:b/>
          <w:sz w:val="31"/>
          <w:szCs w:val="31"/>
        </w:rPr>
        <w:t>全面开展入海排污口分类整治。</w:t>
      </w:r>
      <w:r>
        <w:rPr>
          <w:rFonts w:ascii="仿宋_GB2312" w:cs="仿宋_GB2312" w:hint="eastAsia"/>
          <w:sz w:val="31"/>
          <w:szCs w:val="31"/>
        </w:rPr>
        <w:t>强化入海排污口溯源分析，落实地方政府属地监管责任和排污单位主体责任，按照“一口一策”原则，系统推进入海排污口分类整治，全面清理不合理排污口，取缔非法排污口、整治不达标排污口，实施差别化、精细化管控。强化重点直排海工业污染源和污水集中处理设施排污口等重点入海排污口跟踪监测，安装在线监测和视频监控设施，推动入海排污口监测监管信息化、常态化、规范化。到2025年，基本完成重点海湾入海排污口分类整治，重点直排海污染源尾水稳定达标排放。</w:t>
      </w:r>
    </w:p>
    <w:p>
      <w:pPr>
        <w:pStyle w:val="379"/>
        <w:overflowPunct w:val="0"/>
        <w:adjustRightInd w:val="0"/>
        <w:snapToGrid w:val="0"/>
        <w:rPr>
          <w:rFonts w:ascii="仿宋_GB2312" w:cs="仿宋_GB2312" w:hint="eastAsia"/>
          <w:sz w:val="31"/>
          <w:szCs w:val="31"/>
        </w:rPr>
      </w:pPr>
      <w:r>
        <w:rPr>
          <w:rFonts w:ascii="仿宋_GB2312" w:cs="仿宋_GB2312" w:hint="eastAsia"/>
          <w:b/>
          <w:sz w:val="31"/>
          <w:szCs w:val="31"/>
        </w:rPr>
        <w:t>强化沿海生产生活污水治理。</w:t>
      </w:r>
      <w:r>
        <w:rPr>
          <w:rFonts w:ascii="仿宋_GB2312" w:cs="仿宋_GB2312" w:hint="eastAsia"/>
          <w:sz w:val="31"/>
          <w:szCs w:val="31"/>
        </w:rPr>
        <w:t>加强沿海地区工矿企业和污水处理厂等重点固定污染源的污水治理和尾水排放控制，提高脱氮除磷能力和效率，加强排污口达标排放监管和氮磷在线监控。加快补齐厦门、宁德等沿海设区市，以及福清、福鼎、诏安等沿海县（市、区）污水收集处理和尾水排放基础设施短板。近岸海域汇水区内的县级及以上城镇污水处理厂、混接处理生活污水的工业园区污水处理厂全面稳定达到一级A标准，并安装自动在线监控装置（含总氮、总磷</w:t>
      </w:r>
      <w:r>
        <w:rPr>
          <w:rFonts w:ascii="仿宋_GB2312" w:cs="仿宋_GB2312" w:hint="eastAsia"/>
          <w:sz w:val="31"/>
          <w:szCs w:val="31"/>
          <w:lang w:val="en-US" w:eastAsia="zh-CN"/>
        </w:rPr>
        <w:t>等</w:t>
      </w:r>
      <w:r>
        <w:rPr>
          <w:rFonts w:ascii="仿宋_GB2312" w:cs="仿宋_GB2312" w:hint="eastAsia"/>
          <w:sz w:val="31"/>
          <w:szCs w:val="31"/>
        </w:rPr>
        <w:t>因子）。厦门、泉州等沿海地区，在确保污水稳定达标排放的前提下，优先将达标排放水转化为可利用水资源，就近回补自然水体，推进区域污水资源化循环利用。</w:t>
      </w:r>
    </w:p>
    <w:p>
      <w:pPr>
        <w:pStyle w:val="379"/>
        <w:overflowPunct w:val="0"/>
        <w:adjustRightInd w:val="0"/>
        <w:snapToGrid w:val="0"/>
        <w:rPr>
          <w:rFonts w:ascii="仿宋_GB2312" w:cs="仿宋_GB2312" w:hint="eastAsia"/>
          <w:sz w:val="31"/>
          <w:szCs w:val="31"/>
        </w:rPr>
      </w:pPr>
    </w:p>
    <w:p>
      <w:pPr>
        <w:pStyle w:val="404"/>
        <w:adjustRightInd w:val="0"/>
        <w:snapToGrid w:val="0"/>
        <w:spacing w:beforeLines="0" w:before="0" w:afterLines="0" w:after="0"/>
        <w:ind w:firstLineChars="0" w:firstLine="620"/>
        <w:rPr>
          <w:rFonts w:ascii="Times New Roman" w:cs="Times New Roman" w:hAnsi="Times New Roman"/>
          <w:bCs w:val="0"/>
          <w:sz w:val="31"/>
          <w:szCs w:val="31"/>
        </w:rPr>
      </w:pPr>
      <w:bookmarkStart w:id="234" w:name="_Toc1802"/>
      <w:bookmarkStart w:id="235" w:name="_Toc1488"/>
      <w:bookmarkStart w:id="236" w:name="_Toc12296"/>
      <w:bookmarkStart w:id="237" w:name="_Toc6599"/>
      <w:bookmarkStart w:id="238" w:name="_Toc29495"/>
      <w:bookmarkStart w:id="239" w:name="_Toc93504285"/>
      <w:bookmarkStart w:id="240" w:name="_Toc12007"/>
      <w:bookmarkStart w:id="241" w:name="_Toc24186"/>
      <w:bookmarkStart w:id="242" w:name="_Toc5415"/>
      <w:bookmarkStart w:id="243" w:name="_Toc87460057"/>
      <w:bookmarkStart w:id="244" w:name="_Toc1030"/>
    </w:p>
    <w:p>
      <w:pPr>
        <w:pStyle w:val="404"/>
        <w:adjustRightInd w:val="0"/>
        <w:snapToGrid w:val="0"/>
        <w:spacing w:beforeLines="0" w:before="0" w:afterLines="0" w:after="0"/>
        <w:ind w:firstLineChars="0" w:firstLine="620"/>
        <w:rPr>
          <w:rFonts w:ascii="仿宋_GB2312" w:cs="Times New Roman" w:hAnsi="仿宋_GB2312" w:hint="eastAsia"/>
          <w:sz w:val="31"/>
          <w:szCs w:val="31"/>
        </w:rPr>
      </w:pPr>
      <w:r>
        <w:rPr>
          <w:rFonts w:ascii="Times New Roman" w:cs="Times New Roman" w:hAnsi="Times New Roman" w:hint="eastAsia"/>
          <w:bCs w:val="0"/>
          <w:sz w:val="31"/>
          <w:szCs w:val="31"/>
        </w:rPr>
        <w:t>第三节 加强海上污染分类整治</w:t>
      </w:r>
      <w:bookmarkEnd w:id="234"/>
      <w:bookmarkEnd w:id="235"/>
      <w:bookmarkEnd w:id="236"/>
      <w:bookmarkEnd w:id="237"/>
      <w:bookmarkEnd w:id="238"/>
      <w:bookmarkEnd w:id="239"/>
      <w:bookmarkEnd w:id="240"/>
      <w:bookmarkEnd w:id="241"/>
      <w:bookmarkEnd w:id="242"/>
    </w:p>
    <w:p>
      <w:pPr>
        <w:pStyle w:val="379"/>
        <w:overflowPunct w:val="0"/>
        <w:adjustRightInd w:val="0"/>
        <w:snapToGrid w:val="0"/>
        <w:rPr>
          <w:rFonts w:ascii="仿宋_GB2312" w:cs="Times New Roman" w:hint="eastAsia"/>
          <w:b/>
          <w:color w:val="auto"/>
          <w:sz w:val="31"/>
          <w:szCs w:val="31"/>
          <w:lang w:eastAsia="zh-CN"/>
        </w:rPr>
      </w:pPr>
    </w:p>
    <w:p>
      <w:pPr>
        <w:pStyle w:val="379"/>
        <w:overflowPunct w:val="0"/>
        <w:adjustRightInd w:val="0"/>
        <w:snapToGrid w:val="0"/>
        <w:rPr>
          <w:rFonts w:ascii="仿宋_GB2312" w:cs="Times New Roman" w:hint="eastAsia"/>
          <w:sz w:val="31"/>
          <w:szCs w:val="31"/>
        </w:rPr>
      </w:pPr>
      <w:r>
        <w:rPr>
          <w:rFonts w:ascii="仿宋_GB2312" w:cs="Times New Roman" w:hint="eastAsia"/>
          <w:b/>
          <w:sz w:val="31"/>
          <w:szCs w:val="31"/>
        </w:rPr>
        <w:t>加强港口船舶污染控制。</w:t>
      </w:r>
      <w:r>
        <w:rPr>
          <w:rFonts w:ascii="仿宋_GB2312" w:cs="Times New Roman" w:hint="eastAsia"/>
          <w:sz w:val="31"/>
          <w:szCs w:val="31"/>
        </w:rPr>
        <w:t>严格执行船舶污染排放标准，加大对不符合排放标准船舶的改造力度。无法达标排放的新建船舶，不予办理船舶营运证。建立完善船舶水污染物接收、转运、处置联合监管制度，根据水路运输特点和污染物特性实施分类管理，打通船舶、港口和终端处理设施之间的勾联集疏。大中型渔船继续推行配置“两桶”，实行渔船废油和生活垃圾回收制度。持续推动福州港、湄洲湾港、泉州港、厦门港等港口污染防治设施建设和升级改造，推进沿海港口岸电建设和使用；分批分类开展港口（渔港）环境综合整治，完善环境卫生保洁机制，建设美丽渔港。2025年底前，沿海主要港口和中心渔港全部落实“一港一策”的污染防治措施，污水和垃圾收集处置率达100%。</w:t>
      </w:r>
    </w:p>
    <w:p>
      <w:pPr>
        <w:pStyle w:val="379"/>
        <w:overflowPunct w:val="0"/>
        <w:adjustRightInd w:val="0"/>
        <w:snapToGrid w:val="0"/>
        <w:rPr>
          <w:rFonts w:ascii="仿宋_GB2312" w:cs="Times New Roman" w:hint="eastAsia"/>
          <w:sz w:val="31"/>
          <w:szCs w:val="31"/>
        </w:rPr>
      </w:pPr>
      <w:r>
        <w:rPr>
          <w:rFonts w:ascii="Times New Roman" w:cs="Times New Roman" w:hAnsi="Times New Roman" w:hint="eastAsia"/>
          <w:b/>
          <w:bCs/>
          <w:sz w:val="31"/>
          <w:szCs w:val="31"/>
        </w:rPr>
        <w:t>加强海水养殖污染防治。</w:t>
      </w:r>
      <w:r>
        <w:rPr>
          <w:rFonts w:ascii="仿宋_GB2312" w:cs="Times New Roman" w:hint="eastAsia"/>
          <w:sz w:val="31"/>
          <w:szCs w:val="31"/>
        </w:rPr>
        <w:t>严格落实养殖水域滩涂规划制度，巩固超规划养殖清退成果。开展海水养殖容量调查评估，实施“以水定产”，严格落实依规持证养殖。优化海水养殖产业空间布局，逐步调减近岸、港湾小网箱养殖，支持发展深远海大型智能化养殖和贝藻类养殖。实施海水养殖绿色转型升级，积极推广环保型全塑胶渔排和深水抗风浪网箱，发展绿色生态健康养殖模式。规范海水养殖尾水排放，强化生态环境监管，加快制定实施海水养殖尾水排放地方标准。加强水产养殖入海排放口管理，完善养殖主体及其排放口信息，形成全省水产养殖主体入海排放口“一张图”，对超标排放养殖尾水问题开展靶向治理，实现海水养殖主体尾水达标排放或循环利用。</w:t>
      </w:r>
    </w:p>
    <w:p>
      <w:pPr>
        <w:pStyle w:val="379"/>
        <w:adjustRightInd w:val="0"/>
        <w:snapToGrid w:val="0"/>
        <w:rPr>
          <w:rFonts w:ascii="Times New Roman" w:cs="Times New Roman" w:hAnsi="Times New Roman" w:hint="eastAsia"/>
          <w:b/>
          <w:bCs/>
          <w:sz w:val="31"/>
          <w:szCs w:val="31"/>
        </w:rPr>
      </w:pPr>
      <w:r>
        <w:rPr>
          <w:rFonts w:ascii="Times New Roman" w:cs="Times New Roman" w:hAnsi="Times New Roman" w:hint="eastAsia"/>
          <w:b/>
          <w:bCs/>
          <w:sz w:val="31"/>
          <w:szCs w:val="31"/>
        </w:rPr>
        <w:t>强化海洋工程和海洋倾废环境监管。</w:t>
      </w:r>
      <w:r>
        <w:rPr>
          <w:rFonts w:ascii="Times New Roman" w:cs="Times New Roman" w:hAnsi="Times New Roman" w:hint="eastAsia"/>
          <w:sz w:val="31"/>
          <w:szCs w:val="31"/>
        </w:rPr>
        <w:t>依法建立实施海洋工程建设项目排污许可制度，强化海上油气勘探开发、海上风电场、地下水封洞库储油、海底光缆等海洋工程污染防治。</w:t>
      </w:r>
      <w:r>
        <w:rPr>
          <w:sz w:val="31"/>
          <w:szCs w:val="31"/>
        </w:rPr>
        <w:t>根据废弃物海洋倾倒需求实际，</w:t>
      </w:r>
      <w:r>
        <w:rPr>
          <w:rFonts w:hint="eastAsia"/>
          <w:sz w:val="31"/>
          <w:szCs w:val="31"/>
        </w:rPr>
        <w:t>积极</w:t>
      </w:r>
      <w:r>
        <w:rPr>
          <w:sz w:val="31"/>
          <w:szCs w:val="31"/>
        </w:rPr>
        <w:t>协调废弃物海洋倾倒区选划、废弃物海洋倾倒许可证办理等工作。</w:t>
      </w:r>
      <w:r>
        <w:rPr>
          <w:rFonts w:ascii="Times New Roman" w:cs="Times New Roman" w:hAnsi="Times New Roman" w:hint="eastAsia"/>
          <w:sz w:val="31"/>
          <w:szCs w:val="31"/>
        </w:rPr>
        <w:t>强化</w:t>
      </w:r>
      <w:r>
        <w:rPr>
          <w:rFonts w:ascii="Times New Roman" w:cs="Times New Roman" w:hAnsi="Times New Roman" w:hint="eastAsia"/>
          <w:sz w:val="31"/>
          <w:szCs w:val="31"/>
          <w:lang w:val="en-US" w:eastAsia="zh-CN"/>
        </w:rPr>
        <w:t>海上</w:t>
      </w:r>
      <w:r>
        <w:rPr>
          <w:rFonts w:ascii="Times New Roman" w:cs="Times New Roman" w:hAnsi="Times New Roman" w:hint="eastAsia"/>
          <w:sz w:val="31"/>
          <w:szCs w:val="31"/>
        </w:rPr>
        <w:t>倾废活动跟踪监测、监督管理和风险管控。加强各类海洋工程建设项目和海洋倾废活动的常态化监管，</w:t>
      </w:r>
      <w:r>
        <w:rPr>
          <w:rFonts w:ascii="Times New Roman" w:cs="Times New Roman" w:hAnsi="Times New Roman" w:hint="eastAsia"/>
          <w:sz w:val="31"/>
          <w:szCs w:val="31"/>
          <w:lang w:eastAsia="zh-CN"/>
        </w:rPr>
        <w:t>逐步</w:t>
      </w:r>
      <w:r>
        <w:rPr>
          <w:rFonts w:ascii="Times New Roman" w:cs="Times New Roman" w:hAnsi="Times New Roman" w:hint="eastAsia"/>
          <w:sz w:val="31"/>
          <w:szCs w:val="31"/>
        </w:rPr>
        <w:t>提升智能化监管水平，健全完善监管结果移交处置机制。</w:t>
      </w:r>
    </w:p>
    <w:p>
      <w:pPr>
        <w:ind w:firstLineChars="0" w:firstLine="0"/>
        <w:rPr>
          <w:rFonts w:ascii="仿宋_GB2312" w:hint="eastAsia"/>
        </w:rPr>
      </w:pPr>
      <w:bookmarkEnd w:id="243"/>
      <w:bookmarkEnd w:id="244"/>
      <w:r>
        <mc:AlternateContent>
          <mc:Choice Requires="wps">
            <w:drawing>
              <wp:inline distT="0" distB="0" distL="114298" distR="114298">
                <wp:extent cx="5706745" cy="6811009"/>
                <wp:effectExtent l="0" t="0" r="0" b="0"/>
                <wp:docPr id="7" name="矩形"/>
                <wp:cNvGraphicFramePr>
                  <a:graphicFrameLocks noChangeAspect="0"/>
                </wp:cNvGraphicFramePr>
                <a:graphic>
                  <a:graphicData uri="http://schemas.microsoft.com/office/word/2010/wordprocessingShape">
                    <wps:wsp>
                      <wps:cNvSpPr/>
                      <wps:spPr>
                        <a:xfrm rot="0">
                          <a:off x="0" y="0"/>
                          <a:ext cx="5706745" cy="6811009"/>
                        </a:xfrm>
                        <a:prstGeom prst="rect"/>
                        <a:solidFill>
                          <a:srgbClr val="FFFFFF"/>
                        </a:solidFill>
                        <a:ln w="9525" cmpd="sng" cap="flat">
                          <a:solidFill>
                            <a:srgbClr val="000000"/>
                          </a:solidFill>
                          <a:prstDash val="solid"/>
                          <a:miter/>
                        </a:ln>
                      </wps:spPr>
                      <wps:txbx id="8">
                        <w:txbxContent>
                          <w:p>
                            <w:pPr>
                              <w:overflowPunct w:val="0"/>
                              <w:adjustRightInd w:val="0"/>
                              <w:snapToGrid w:val="0"/>
                              <w:ind w:firstLineChars="0" w:firstLine="0"/>
                              <w:jc w:val="center"/>
                              <w:rPr>
                                <w:rFonts w:ascii="楷体_GB2312" w:eastAsia="楷体_GB2312" w:cs="楷体_GB2312" w:hint="eastAsia"/>
                                <w:b/>
                                <w:sz w:val="32"/>
                                <w:szCs w:val="32"/>
                              </w:rPr>
                            </w:pPr>
                            <w:bookmarkStart w:id="245" w:name="_Toc69422857"/>
                            <w:bookmarkStart w:id="246" w:name="_Toc69455299"/>
                            <w:bookmarkStart w:id="247" w:name="_Toc69422308"/>
                            <w:r>
                              <w:rPr>
                                <w:rFonts w:ascii="楷体_GB2312" w:eastAsia="楷体_GB2312" w:cs="楷体_GB2312" w:hint="eastAsia"/>
                                <w:b/>
                                <w:sz w:val="32"/>
                                <w:szCs w:val="32"/>
                              </w:rPr>
                              <w:t>专栏一 持续推进重点海域污染防治攻坚战</w:t>
                            </w:r>
                            <w:bookmarkEnd w:id="245"/>
                            <w:bookmarkEnd w:id="246"/>
                            <w:bookmarkEnd w:id="247"/>
                          </w:p>
                          <w:p>
                            <w:pPr>
                              <w:adjustRightInd w:val="0"/>
                              <w:snapToGrid w:val="0"/>
                              <w:rPr>
                                <w:rFonts w:ascii="仿宋_GB2312" w:cs="仿宋_GB2312" w:hint="eastAsia"/>
                                <w:sz w:val="32"/>
                                <w:szCs w:val="32"/>
                              </w:rPr>
                            </w:pPr>
                            <w:r>
                              <w:rPr>
                                <w:rFonts w:ascii="仿宋_GB2312" w:cs="仿宋_GB2312" w:hint="eastAsia"/>
                                <w:sz w:val="32"/>
                                <w:szCs w:val="32"/>
                              </w:rPr>
                              <w:t>以沙埕港、三沙湾、闽江口、兴化湾三江口、泉州湾晋江入海口、安海湾、九龙江入海口、东山湾-漳江入海口、诏安湾等海域为重点，“一湾一策”制定海湾水环境质量改善目标及水污染防治整治行动方案，深入打好重点海域污染防治攻坚战。</w:t>
                            </w:r>
                          </w:p>
                          <w:p>
                            <w:pPr>
                              <w:adjustRightInd w:val="0"/>
                              <w:snapToGrid w:val="0"/>
                              <w:rPr>
                                <w:rFonts w:ascii="仿宋_GB2312" w:cs="仿宋_GB2312" w:hint="eastAsia"/>
                                <w:sz w:val="32"/>
                                <w:szCs w:val="32"/>
                              </w:rPr>
                            </w:pPr>
                            <w:r>
                              <w:rPr>
                                <w:rFonts w:ascii="仿宋_GB2312" w:cs="仿宋_GB2312" w:hint="eastAsia"/>
                                <w:sz w:val="32"/>
                                <w:szCs w:val="32"/>
                              </w:rPr>
                              <w:t>1.沙埕港、三沙湾、诏安湾、安海湾等重点海域，率先实施入海排污口分类整治，持续推进非法设置、不合理设置和不达标排放入海排污口的清理整治工作，严格控制陆源入海排污口污染物排放总量。加快沿海地区农村污水收集处理设施建设，推行分散式污水处理设施，提高农村生活污水收集处理率。加快海水养殖产业结构调整，积极发展生态养殖和湾外深水养殖。</w:t>
                            </w:r>
                          </w:p>
                          <w:p>
                            <w:pPr>
                              <w:adjustRightInd w:val="0"/>
                              <w:snapToGrid w:val="0"/>
                              <w:rPr>
                                <w:rFonts w:ascii="仿宋_GB2312" w:cs="仿宋_GB2312" w:hint="eastAsia"/>
                                <w:sz w:val="32"/>
                                <w:szCs w:val="32"/>
                              </w:rPr>
                            </w:pPr>
                            <w:r>
                              <w:rPr>
                                <w:rFonts w:ascii="仿宋_GB2312" w:cs="仿宋_GB2312" w:hint="eastAsia"/>
                                <w:sz w:val="32"/>
                                <w:szCs w:val="32"/>
                              </w:rPr>
                              <w:t>2.严格控制闽江、九龙江、木兰溪、萩芦溪、晋江、漳江等入海河流氮磷入海通量，统筹推进流域污染综合治理。</w:t>
                            </w:r>
                          </w:p>
                          <w:p>
                            <w:pPr>
                              <w:adjustRightInd w:val="0"/>
                              <w:snapToGrid w:val="0"/>
                              <w:rPr>
                                <w:rFonts w:eastAsia="宋体"/>
                                <w:sz w:val="21"/>
                              </w:rPr>
                            </w:pPr>
                            <w:r>
                              <w:rPr>
                                <w:rFonts w:ascii="仿宋_GB2312" w:cs="仿宋_GB2312" w:hint="eastAsia"/>
                                <w:sz w:val="32"/>
                                <w:szCs w:val="32"/>
                              </w:rPr>
                              <w:t>3.优化养殖空间布局和产业结构，推进海水养殖绿色转型升级。全省沿海现有44万口传统养殖渔排全面升级改造为塑胶渔排或深水大网箱，31.8万亩贝藻类筏式养殖泡沫</w:t>
                            </w:r>
                            <w:r>
                              <w:rPr>
                                <w:rFonts w:ascii="仿宋_GB2312" w:cs="仿宋_GB2312" w:hint="eastAsia"/>
                                <w:sz w:val="32"/>
                                <w:szCs w:val="32"/>
                                <w:lang w:eastAsia="zh-CN"/>
                              </w:rPr>
                              <w:t>浮</w:t>
                            </w:r>
                            <w:r>
                              <w:rPr>
                                <w:rFonts w:ascii="仿宋_GB2312" w:cs="仿宋_GB2312" w:hint="eastAsia"/>
                                <w:sz w:val="32"/>
                                <w:szCs w:val="32"/>
                              </w:rPr>
                              <w:t>球全面升级改造为塑胶浮球。</w:t>
                            </w:r>
                          </w:p>
                        </w:txbxContent>
                      </wps:txbx>
                      <wps:bodyPr vert="horz" wrap="square" lIns="91440" tIns="45720" rIns="91440" bIns="45720" anchor="t" anchorCtr="0" upright="1">
                        <a:spAutoFit/>
                      </wps:bodyPr>
                    </wps:wsp>
                  </a:graphicData>
                </a:graphic>
              </wp:inline>
            </w:drawing>
          </mc:Choice>
          <mc:Fallback>
            <w:pict>
              <v:rect type="#_x0000_t1" id="矩形 9" o:spid="_x0000_s9" fillcolor="#FFFFFF" stroked="t" style="width:449.35pt;height:536.3pt;mso-wrap-style:square;">
                <v:stroke color="#000000"/>
                <v:textbox id="857" inset="2.54mm,1.27mm,2.54mm,1.27mm" o:insetmode="custom" style="layout-flow:horizontal;v-text-anchor:top;mso-fit-shape-to-text:t;">
                  <w:txbxContent>
                    <w:p>
                      <w:pPr>
                        <w:overflowPunct w:val="0"/>
                        <w:adjustRightInd w:val="0"/>
                        <w:snapToGrid w:val="0"/>
                        <w:ind w:firstLineChars="0" w:firstLine="0"/>
                        <w:jc w:val="center"/>
                        <w:rPr>
                          <w:rFonts w:ascii="楷体_GB2312" w:eastAsia="楷体_GB2312" w:cs="楷体_GB2312" w:hint="eastAsia"/>
                          <w:b/>
                          <w:sz w:val="32"/>
                          <w:szCs w:val="32"/>
                        </w:rPr>
                      </w:pPr>
                      <w:bookmarkStart w:id="245" w:name="_Toc69422857"/>
                      <w:bookmarkStart w:id="246" w:name="_Toc69455299"/>
                      <w:bookmarkStart w:id="247" w:name="_Toc69422308"/>
                      <w:r>
                        <w:rPr>
                          <w:rFonts w:ascii="楷体_GB2312" w:eastAsia="楷体_GB2312" w:cs="楷体_GB2312" w:hint="eastAsia"/>
                          <w:b/>
                          <w:sz w:val="32"/>
                          <w:szCs w:val="32"/>
                        </w:rPr>
                        <w:t>专栏一 持续推进重点海域污染防治攻坚战</w:t>
                      </w:r>
                      <w:bookmarkEnd w:id="245"/>
                      <w:bookmarkEnd w:id="246"/>
                      <w:bookmarkEnd w:id="247"/>
                    </w:p>
                    <w:p>
                      <w:pPr>
                        <w:adjustRightInd w:val="0"/>
                        <w:snapToGrid w:val="0"/>
                        <w:rPr>
                          <w:rFonts w:ascii="仿宋_GB2312" w:cs="仿宋_GB2312" w:hint="eastAsia"/>
                          <w:sz w:val="32"/>
                          <w:szCs w:val="32"/>
                        </w:rPr>
                      </w:pPr>
                      <w:r>
                        <w:rPr>
                          <w:rFonts w:ascii="仿宋_GB2312" w:cs="仿宋_GB2312" w:hint="eastAsia"/>
                          <w:sz w:val="32"/>
                          <w:szCs w:val="32"/>
                        </w:rPr>
                        <w:t>以沙埕港、三沙湾、闽江口、兴化湾三江口、泉州湾晋江入海口、安海湾、九龙江入海口、东山湾-漳江入海口、诏安湾等海域为重点，“一湾一策”制定海湾水环境质量改善目标及水污染防治整治行动方案，深入打好重点海域污染防治攻坚战。</w:t>
                      </w:r>
                    </w:p>
                    <w:p>
                      <w:pPr>
                        <w:adjustRightInd w:val="0"/>
                        <w:snapToGrid w:val="0"/>
                        <w:rPr>
                          <w:rFonts w:ascii="仿宋_GB2312" w:cs="仿宋_GB2312" w:hint="eastAsia"/>
                          <w:sz w:val="32"/>
                          <w:szCs w:val="32"/>
                        </w:rPr>
                      </w:pPr>
                      <w:r>
                        <w:rPr>
                          <w:rFonts w:ascii="仿宋_GB2312" w:cs="仿宋_GB2312" w:hint="eastAsia"/>
                          <w:sz w:val="32"/>
                          <w:szCs w:val="32"/>
                        </w:rPr>
                        <w:t>1.沙埕港、三沙湾、诏安湾、安海湾等重点海域，率先实施入海排污口分类整治，持续推进非法设置、不合理设置和不达标排放入海排污口的清理整治工作，严格控制陆源入海排污口污染物排放总量。加快沿海地区农村污水收集处理设施建设，推行分散式污水处理设施，提高农村生活污水收集处理率。加快海水养殖产业结构调整，积极发展生态养殖和湾外深水养殖。</w:t>
                      </w:r>
                    </w:p>
                    <w:p>
                      <w:pPr>
                        <w:adjustRightInd w:val="0"/>
                        <w:snapToGrid w:val="0"/>
                        <w:rPr>
                          <w:rFonts w:ascii="仿宋_GB2312" w:cs="仿宋_GB2312" w:hint="eastAsia"/>
                          <w:sz w:val="32"/>
                          <w:szCs w:val="32"/>
                        </w:rPr>
                      </w:pPr>
                      <w:r>
                        <w:rPr>
                          <w:rFonts w:ascii="仿宋_GB2312" w:cs="仿宋_GB2312" w:hint="eastAsia"/>
                          <w:sz w:val="32"/>
                          <w:szCs w:val="32"/>
                        </w:rPr>
                        <w:t>2.严格控制闽江、九龙江、木兰溪、萩芦溪、晋江、漳江等入海河流氮磷入海通量，统筹推进流域污染综合治理。</w:t>
                      </w:r>
                    </w:p>
                    <w:p>
                      <w:pPr>
                        <w:adjustRightInd w:val="0"/>
                        <w:snapToGrid w:val="0"/>
                        <w:rPr>
                          <w:rFonts w:eastAsia="宋体"/>
                          <w:sz w:val="21"/>
                        </w:rPr>
                      </w:pPr>
                      <w:r>
                        <w:rPr>
                          <w:rFonts w:ascii="仿宋_GB2312" w:cs="仿宋_GB2312" w:hint="eastAsia"/>
                          <w:sz w:val="32"/>
                          <w:szCs w:val="32"/>
                        </w:rPr>
                        <w:t>3.优化养殖空间布局和产业结构，推进海水养殖绿色转型升级。全省沿海现有44万口传统养殖渔排全面升级改造为塑胶渔排或深水大网箱，31.8万亩贝藻类筏式养殖泡沫</w:t>
                      </w:r>
                      <w:r>
                        <w:rPr>
                          <w:rFonts w:ascii="仿宋_GB2312" w:cs="仿宋_GB2312" w:hint="eastAsia"/>
                          <w:sz w:val="32"/>
                          <w:szCs w:val="32"/>
                          <w:lang w:eastAsia="zh-CN"/>
                        </w:rPr>
                        <w:t>浮</w:t>
                      </w:r>
                      <w:r>
                        <w:rPr>
                          <w:rFonts w:ascii="仿宋_GB2312" w:cs="仿宋_GB2312" w:hint="eastAsia"/>
                          <w:sz w:val="32"/>
                          <w:szCs w:val="32"/>
                        </w:rPr>
                        <w:t>球全面升级改造为塑胶浮球。</w:t>
                      </w:r>
                    </w:p>
                  </w:txbxContent>
                </v:textbox>
                <w10:anchorLock/>
              </v:rect>
            </w:pict>
          </mc:Fallback>
        </mc:AlternateContent>
      </w:r>
    </w:p>
    <w:p>
      <w:pPr>
        <w:pStyle w:val="403"/>
        <w:overflowPunct w:val="0"/>
        <w:spacing w:beforeLines="0" w:before="200" w:afterLines="0" w:after="200" w:line="596" w:lineRule="exact"/>
        <w:rPr>
          <w:sz w:val="31"/>
          <w:szCs w:val="31"/>
        </w:rPr>
      </w:pPr>
      <w:bookmarkEnd w:id="167"/>
      <w:r>
        <w:br w:type="page"/>
      </w:r>
      <w:bookmarkStart w:id="248" w:name="_Toc87460060"/>
      <w:bookmarkStart w:id="249" w:name="_Toc25494"/>
      <w:bookmarkStart w:id="250" w:name="_Toc2065"/>
      <w:bookmarkStart w:id="251" w:name="_Toc10584"/>
      <w:bookmarkStart w:id="252" w:name="_Toc19152"/>
      <w:bookmarkStart w:id="253" w:name="_Toc93504286"/>
      <w:bookmarkStart w:id="254" w:name="_Toc19555"/>
      <w:bookmarkStart w:id="255" w:name="_Toc1435"/>
      <w:bookmarkStart w:id="256" w:name="_Toc32584"/>
      <w:bookmarkStart w:id="257" w:name="_Toc26522"/>
      <w:bookmarkStart w:id="258" w:name="_Toc11780"/>
      <w:r>
        <w:rPr>
          <w:rFonts w:hint="eastAsia"/>
          <w:sz w:val="31"/>
          <w:szCs w:val="31"/>
        </w:rPr>
        <w:t>第五章 保护修复并举，提升海洋生态系统质量和稳定性</w:t>
      </w:r>
      <w:bookmarkEnd w:id="248"/>
      <w:bookmarkEnd w:id="249"/>
      <w:bookmarkEnd w:id="250"/>
      <w:bookmarkEnd w:id="251"/>
      <w:bookmarkEnd w:id="252"/>
      <w:bookmarkEnd w:id="253"/>
      <w:bookmarkEnd w:id="254"/>
      <w:bookmarkEnd w:id="255"/>
      <w:bookmarkEnd w:id="256"/>
      <w:bookmarkEnd w:id="257"/>
      <w:bookmarkEnd w:id="258"/>
    </w:p>
    <w:p>
      <w:pPr>
        <w:spacing w:line="596" w:lineRule="exact"/>
        <w:rPr>
          <w:rFonts w:ascii="仿宋_GB2312" w:cs="仿宋_GB2312" w:hint="eastAsia"/>
          <w:sz w:val="31"/>
          <w:szCs w:val="31"/>
        </w:rPr>
      </w:pPr>
    </w:p>
    <w:p>
      <w:pPr>
        <w:spacing w:line="596" w:lineRule="exact"/>
        <w:rPr>
          <w:rFonts w:eastAsia="仿宋" w:hint="eastAsia"/>
          <w:sz w:val="31"/>
          <w:szCs w:val="31"/>
        </w:rPr>
      </w:pPr>
      <w:r>
        <w:rPr>
          <w:rFonts w:ascii="仿宋_GB2312" w:cs="仿宋_GB2312" w:hint="eastAsia"/>
          <w:sz w:val="31"/>
          <w:szCs w:val="31"/>
        </w:rPr>
        <w:t>贯彻落实“山水林田湖草沙是生命共同体”理念，坚持保护优先、自然恢复为主，推动海岸带生态保护修复工程，推进沿海岸线自然化和生态保护修复。加强海洋生物多样性保护，加大对红树林、珊瑚礁、海湾、入海河口、海岛等典型生态系统以及重要渔业水域的保护力度，提升海洋生态系统质量和稳定性，构建更具韧性和稳定性的海岸带综合防护体系。</w:t>
      </w:r>
    </w:p>
    <w:p>
      <w:pPr>
        <w:pStyle w:val="404"/>
        <w:overflowPunct w:val="0"/>
        <w:spacing w:beforeLines="0" w:before="468" w:afterLines="0" w:after="468" w:line="596" w:lineRule="exact"/>
        <w:ind w:firstLineChars="0" w:firstLine="0"/>
        <w:rPr>
          <w:rFonts w:ascii="Times New Roman" w:cs="Times New Roman" w:hAnsi="Times New Roman" w:hint="eastAsia"/>
          <w:sz w:val="31"/>
          <w:szCs w:val="31"/>
        </w:rPr>
      </w:pPr>
      <w:bookmarkStart w:id="259" w:name="_Toc24825"/>
      <w:bookmarkStart w:id="260" w:name="_Toc15850"/>
      <w:bookmarkStart w:id="261" w:name="_Toc8724"/>
      <w:bookmarkStart w:id="262" w:name="_Toc8040"/>
      <w:bookmarkStart w:id="263" w:name="_Toc13044"/>
      <w:bookmarkStart w:id="264" w:name="_Toc93504287"/>
      <w:bookmarkStart w:id="265" w:name="_Toc14944"/>
      <w:bookmarkStart w:id="266" w:name="_Toc8776"/>
      <w:bookmarkStart w:id="267" w:name="_Toc5217"/>
      <w:bookmarkStart w:id="268" w:name="_Toc87460061"/>
      <w:bookmarkStart w:id="269" w:name="_Toc8782"/>
      <w:r>
        <w:rPr>
          <w:rFonts w:ascii="Times New Roman" w:cs="Times New Roman" w:hAnsi="Times New Roman" w:hint="eastAsia"/>
          <w:sz w:val="31"/>
          <w:szCs w:val="31"/>
        </w:rPr>
        <w:t>第一节 加强海洋生态系统保护</w:t>
      </w:r>
      <w:bookmarkEnd w:id="259"/>
      <w:bookmarkEnd w:id="260"/>
      <w:bookmarkEnd w:id="261"/>
      <w:bookmarkEnd w:id="262"/>
      <w:bookmarkEnd w:id="263"/>
      <w:bookmarkEnd w:id="264"/>
      <w:bookmarkEnd w:id="265"/>
      <w:bookmarkEnd w:id="266"/>
      <w:bookmarkEnd w:id="267"/>
    </w:p>
    <w:p>
      <w:pPr>
        <w:pStyle w:val="379"/>
        <w:overflowPunct w:val="0"/>
        <w:spacing w:line="596" w:lineRule="exact"/>
        <w:rPr>
          <w:rFonts w:ascii="Times New Roman" w:cs="Times New Roman" w:hAnsi="Times New Roman" w:hint="eastAsia"/>
          <w:sz w:val="31"/>
          <w:szCs w:val="31"/>
          <w:highlight w:val="yellow"/>
        </w:rPr>
      </w:pPr>
      <w:r>
        <w:rPr>
          <w:rFonts w:ascii="Times New Roman" w:cs="Times New Roman" w:hAnsi="Times New Roman" w:hint="eastAsia"/>
          <w:b/>
          <w:sz w:val="31"/>
          <w:szCs w:val="31"/>
        </w:rPr>
        <w:t>保护典型海洋生态系统。</w:t>
      </w:r>
      <w:r>
        <w:rPr>
          <w:rFonts w:ascii="仿宋_GB2312" w:cs="仿宋_GB2312" w:hint="eastAsia"/>
          <w:sz w:val="31"/>
          <w:szCs w:val="31"/>
        </w:rPr>
        <w:t>严守海洋生态保护红线，加强</w:t>
      </w:r>
      <w:r>
        <w:rPr>
          <w:rFonts w:ascii="Times New Roman" w:cs="Times New Roman" w:hAnsi="Times New Roman"/>
          <w:sz w:val="31"/>
          <w:szCs w:val="31"/>
        </w:rPr>
        <w:t>漳江口、九龙江口红树林，东山珊瑚礁，闽江口、兴化湾、泉州湾</w:t>
      </w:r>
      <w:r>
        <w:rPr>
          <w:rFonts w:ascii="Times New Roman" w:cs="Times New Roman" w:hAnsi="Times New Roman" w:hint="eastAsia"/>
          <w:sz w:val="31"/>
          <w:szCs w:val="31"/>
          <w:lang w:val="en-US" w:eastAsia="zh-CN"/>
        </w:rPr>
        <w:t>等</w:t>
      </w:r>
      <w:r>
        <w:rPr>
          <w:rFonts w:ascii="Times New Roman" w:cs="Times New Roman" w:hAnsi="Times New Roman"/>
          <w:sz w:val="31"/>
          <w:szCs w:val="31"/>
        </w:rPr>
        <w:t>河口湿地</w:t>
      </w:r>
      <w:r>
        <w:rPr>
          <w:rFonts w:ascii="仿宋_GB2312" w:cs="仿宋_GB2312" w:hint="eastAsia"/>
          <w:sz w:val="31"/>
          <w:szCs w:val="31"/>
        </w:rPr>
        <w:t>，以及海湾、海岛等典型生态系统保护，维护和提升海洋生态系统质量和稳定性。</w:t>
      </w:r>
      <w:r>
        <w:rPr>
          <w:rFonts w:ascii="Times New Roman" w:cs="Times New Roman" w:hAnsi="Times New Roman" w:hint="eastAsia"/>
          <w:sz w:val="31"/>
          <w:szCs w:val="31"/>
        </w:rPr>
        <w:t>严格</w:t>
      </w:r>
      <w:r>
        <w:rPr>
          <w:rFonts w:ascii="Times New Roman" w:cs="Times New Roman" w:hAnsi="Times New Roman"/>
          <w:sz w:val="31"/>
          <w:szCs w:val="31"/>
        </w:rPr>
        <w:t>自然岸线</w:t>
      </w:r>
      <w:r>
        <w:rPr>
          <w:rFonts w:ascii="Times New Roman" w:cs="Times New Roman" w:hAnsi="Times New Roman" w:hint="eastAsia"/>
          <w:sz w:val="31"/>
          <w:szCs w:val="31"/>
        </w:rPr>
        <w:t>保护</w:t>
      </w:r>
      <w:r>
        <w:rPr>
          <w:rFonts w:ascii="Times New Roman" w:cs="Times New Roman" w:hAnsi="Times New Roman"/>
          <w:sz w:val="31"/>
          <w:szCs w:val="31"/>
        </w:rPr>
        <w:t>，排查</w:t>
      </w:r>
      <w:r>
        <w:rPr>
          <w:rFonts w:ascii="Times New Roman" w:cs="Times New Roman" w:hAnsi="Times New Roman" w:hint="eastAsia"/>
          <w:sz w:val="31"/>
          <w:szCs w:val="31"/>
        </w:rPr>
        <w:t>整治</w:t>
      </w:r>
      <w:r>
        <w:rPr>
          <w:rFonts w:ascii="Times New Roman" w:cs="Times New Roman" w:hAnsi="Times New Roman"/>
          <w:sz w:val="31"/>
          <w:szCs w:val="31"/>
        </w:rPr>
        <w:t>散乱、低效的生产岸线，</w:t>
      </w:r>
      <w:r>
        <w:rPr>
          <w:rFonts w:ascii="Times New Roman" w:cs="Times New Roman" w:hAnsi="Times New Roman" w:hint="eastAsia"/>
          <w:sz w:val="31"/>
          <w:szCs w:val="31"/>
        </w:rPr>
        <w:t>清理整治非法占用自然岸线、滩涂湿地等行为，</w:t>
      </w:r>
      <w:r>
        <w:rPr>
          <w:rFonts w:ascii="Times New Roman" w:cs="Times New Roman" w:hAnsi="Times New Roman"/>
          <w:sz w:val="31"/>
          <w:szCs w:val="31"/>
        </w:rPr>
        <w:t>确保自然岸线</w:t>
      </w:r>
      <w:r>
        <w:rPr>
          <w:rFonts w:ascii="Times New Roman" w:cs="Times New Roman" w:hAnsi="Times New Roman" w:hint="eastAsia"/>
          <w:sz w:val="31"/>
          <w:szCs w:val="31"/>
        </w:rPr>
        <w:t>保有率</w:t>
      </w:r>
      <w:r>
        <w:rPr>
          <w:rFonts w:ascii="Times New Roman" w:cs="Times New Roman" w:hAnsi="Times New Roman"/>
          <w:sz w:val="31"/>
          <w:szCs w:val="31"/>
        </w:rPr>
        <w:t>不低于</w:t>
      </w:r>
      <w:r>
        <w:rPr>
          <w:rFonts w:ascii="Times New Roman" w:cs="Times New Roman" w:hAnsi="Times New Roman" w:hint="eastAsia"/>
          <w:sz w:val="31"/>
          <w:szCs w:val="31"/>
        </w:rPr>
        <w:t>国家</w:t>
      </w:r>
      <w:r>
        <w:rPr>
          <w:rFonts w:ascii="Times New Roman" w:cs="Times New Roman" w:hAnsi="Times New Roman"/>
          <w:sz w:val="31"/>
          <w:szCs w:val="31"/>
        </w:rPr>
        <w:t>要求。</w:t>
      </w:r>
      <w:r>
        <w:rPr>
          <w:rFonts w:ascii="Times New Roman" w:cs="Times New Roman" w:hAnsi="Times New Roman" w:hint="eastAsia"/>
          <w:sz w:val="31"/>
          <w:szCs w:val="31"/>
        </w:rPr>
        <w:t>严格围填海管控，除国家重大项目外，全面禁止围填海，积极稳妥推进围填海历史遗留问题处理。加强无居民海岛保护，妥善处置用岛历史遗留问题。</w:t>
      </w:r>
    </w:p>
    <w:p>
      <w:pPr>
        <w:pStyle w:val="379"/>
        <w:overflowPunct w:val="0"/>
        <w:spacing w:line="596" w:lineRule="exact"/>
        <w:rPr>
          <w:rFonts w:ascii="仿宋_GB2312" w:cs="仿宋_GB2312" w:hint="eastAsia"/>
          <w:sz w:val="31"/>
          <w:szCs w:val="31"/>
        </w:rPr>
      </w:pPr>
      <w:r>
        <w:rPr>
          <w:rFonts w:ascii="Times New Roman" w:cs="Times New Roman" w:hAnsi="Times New Roman"/>
          <w:b/>
          <w:sz w:val="31"/>
          <w:szCs w:val="31"/>
        </w:rPr>
        <w:t>强化</w:t>
      </w:r>
      <w:r>
        <w:rPr>
          <w:rFonts w:ascii="Times New Roman" w:cs="Times New Roman" w:hAnsi="Times New Roman" w:hint="eastAsia"/>
          <w:b/>
          <w:sz w:val="31"/>
          <w:szCs w:val="31"/>
        </w:rPr>
        <w:t>海</w:t>
      </w:r>
      <w:r>
        <w:rPr>
          <w:rFonts w:ascii="Times New Roman" w:cs="Times New Roman" w:hAnsi="Times New Roman"/>
          <w:b/>
          <w:sz w:val="31"/>
          <w:szCs w:val="31"/>
        </w:rPr>
        <w:t>岸</w:t>
      </w:r>
      <w:r>
        <w:rPr>
          <w:rFonts w:ascii="Times New Roman" w:cs="Times New Roman" w:hAnsi="Times New Roman" w:hint="eastAsia"/>
          <w:b/>
          <w:sz w:val="31"/>
          <w:szCs w:val="31"/>
        </w:rPr>
        <w:t>带</w:t>
      </w:r>
      <w:r>
        <w:rPr>
          <w:rFonts w:ascii="Times New Roman" w:cs="Times New Roman" w:hAnsi="Times New Roman"/>
          <w:b/>
          <w:sz w:val="31"/>
          <w:szCs w:val="31"/>
        </w:rPr>
        <w:t>整体性保护</w:t>
      </w:r>
      <w:r>
        <w:rPr>
          <w:rFonts w:ascii="Times New Roman" w:cs="Times New Roman" w:hAnsi="Times New Roman" w:hint="eastAsia"/>
          <w:b/>
          <w:sz w:val="31"/>
          <w:szCs w:val="31"/>
        </w:rPr>
        <w:t>。</w:t>
      </w:r>
      <w:r>
        <w:rPr>
          <w:rFonts w:ascii="Times New Roman" w:cs="Times New Roman" w:hAnsi="Times New Roman" w:hint="eastAsia"/>
          <w:sz w:val="31"/>
          <w:szCs w:val="31"/>
        </w:rPr>
        <w:t>加强对具有特色的海岸自然、人文景观的保护，</w:t>
      </w:r>
      <w:r>
        <w:rPr>
          <w:rFonts w:ascii="Times New Roman" w:cs="Times New Roman" w:hAnsi="Times New Roman"/>
          <w:sz w:val="31"/>
          <w:szCs w:val="31"/>
        </w:rPr>
        <w:t>提升海洋休闲娱乐区、滨海风景名胜区、沙滩浴场、海洋公园等公共利用区域内的岸线和生态景观</w:t>
      </w:r>
      <w:r>
        <w:rPr>
          <w:rFonts w:ascii="Times New Roman" w:cs="Times New Roman" w:hAnsi="Times New Roman" w:hint="eastAsia"/>
          <w:sz w:val="31"/>
          <w:szCs w:val="31"/>
        </w:rPr>
        <w:t>质量</w:t>
      </w:r>
      <w:r>
        <w:rPr>
          <w:rFonts w:ascii="Times New Roman" w:cs="Times New Roman" w:hAnsi="Times New Roman"/>
          <w:sz w:val="31"/>
          <w:szCs w:val="31"/>
        </w:rPr>
        <w:t>。探索海岸</w:t>
      </w:r>
      <w:r>
        <w:rPr>
          <w:rFonts w:ascii="Times New Roman" w:cs="Times New Roman" w:hAnsi="Times New Roman" w:hint="eastAsia"/>
          <w:sz w:val="31"/>
          <w:szCs w:val="31"/>
        </w:rPr>
        <w:t>建筑</w:t>
      </w:r>
      <w:r>
        <w:rPr>
          <w:rFonts w:ascii="Times New Roman" w:cs="Times New Roman" w:hAnsi="Times New Roman"/>
          <w:sz w:val="31"/>
          <w:szCs w:val="31"/>
        </w:rPr>
        <w:t>退缩线管理制度，</w:t>
      </w:r>
      <w:r>
        <w:rPr>
          <w:rFonts w:ascii="仿宋_GB2312" w:cs="仿宋_GB2312" w:hint="eastAsia"/>
          <w:sz w:val="31"/>
          <w:szCs w:val="31"/>
        </w:rPr>
        <w:t>开展海堤除险加固、沙滩修复工程和沙滩后滨植被修复，营造生态岸滩，提升岸线稳定性。统筹考虑自然条件和防潮安全，除险加固标准偏低、毁损严重的海堤。修复提升基干林带、及时更新修复老林带、合理营建堤岸防护林，构建海岸复合植被防护体系，提升防护林的林分质量和生态功能，缓减台风、风暴潮对堤岸及近岸海域的破坏。</w:t>
      </w:r>
    </w:p>
    <w:p>
      <w:pPr>
        <w:pStyle w:val="379"/>
        <w:overflowPunct w:val="0"/>
        <w:spacing w:line="596" w:lineRule="exact"/>
        <w:rPr>
          <w:rFonts w:ascii="仿宋_GB2312" w:cs="仿宋_GB2312" w:hint="eastAsia"/>
          <w:sz w:val="31"/>
          <w:szCs w:val="31"/>
        </w:rPr>
      </w:pPr>
      <w:r>
        <w:rPr>
          <w:rFonts w:ascii="Times New Roman" w:cs="Times New Roman" w:hAnsi="Times New Roman" w:hint="eastAsia"/>
          <w:b/>
          <w:sz w:val="31"/>
          <w:szCs w:val="31"/>
        </w:rPr>
        <w:t>推进</w:t>
      </w:r>
      <w:r>
        <w:rPr>
          <w:rFonts w:ascii="Times New Roman" w:cs="Times New Roman" w:hAnsi="Times New Roman"/>
          <w:b/>
          <w:sz w:val="31"/>
          <w:szCs w:val="31"/>
        </w:rPr>
        <w:t>海洋自然保护地</w:t>
      </w:r>
      <w:r>
        <w:rPr>
          <w:rFonts w:ascii="Times New Roman" w:cs="Times New Roman" w:hAnsi="Times New Roman" w:hint="eastAsia"/>
          <w:b/>
          <w:sz w:val="31"/>
          <w:szCs w:val="31"/>
        </w:rPr>
        <w:t>建设</w:t>
      </w:r>
      <w:r>
        <w:rPr>
          <w:rFonts w:ascii="Times New Roman" w:cs="Times New Roman" w:hAnsi="Times New Roman"/>
          <w:b/>
          <w:sz w:val="31"/>
          <w:szCs w:val="31"/>
        </w:rPr>
        <w:t>。</w:t>
      </w:r>
      <w:r>
        <w:rPr>
          <w:rFonts w:ascii="仿宋_GB2312" w:cs="仿宋_GB2312" w:hint="eastAsia"/>
          <w:sz w:val="31"/>
          <w:szCs w:val="31"/>
        </w:rPr>
        <w:t>推动构建以海岸带、海岛链和自然保护地为支撑的“一带一链多点”海洋生态安全格局。加快建立以国家公园为主体、自然保护区为基础、各类自然公园为补充的海洋自然保护地体系。将生态功能重要、生态系统脆弱、自然生态保护空缺的区域纳入自然保护地体系。开展海洋自然保护地现状调查评估，加强海洋自然保护地监测预警。</w:t>
      </w:r>
    </w:p>
    <w:p>
      <w:pPr>
        <w:pStyle w:val="404"/>
        <w:overflowPunct w:val="0"/>
        <w:spacing w:beforeLines="0" w:before="468" w:afterLines="0" w:after="468" w:line="596" w:lineRule="exact"/>
        <w:ind w:firstLineChars="0" w:firstLine="0"/>
        <w:rPr>
          <w:rFonts w:ascii="Times New Roman" w:cs="Times New Roman" w:hAnsi="Times New Roman" w:hint="eastAsia"/>
          <w:sz w:val="31"/>
          <w:szCs w:val="31"/>
        </w:rPr>
      </w:pPr>
      <w:bookmarkStart w:id="270" w:name="_Toc32588"/>
      <w:bookmarkStart w:id="271" w:name="_Toc7041"/>
      <w:bookmarkStart w:id="272" w:name="_Toc9500"/>
      <w:bookmarkStart w:id="273" w:name="_Toc28833"/>
      <w:bookmarkStart w:id="274" w:name="_Toc18662"/>
      <w:bookmarkStart w:id="275" w:name="_Toc13823"/>
      <w:bookmarkStart w:id="276" w:name="_Toc30483"/>
      <w:bookmarkStart w:id="277" w:name="_Toc93504288"/>
      <w:bookmarkStart w:id="278" w:name="_Toc21525"/>
      <w:r>
        <w:rPr>
          <w:rFonts w:ascii="Times New Roman" w:cs="Times New Roman" w:hAnsi="Times New Roman" w:hint="eastAsia"/>
          <w:sz w:val="31"/>
          <w:szCs w:val="31"/>
        </w:rPr>
        <w:t>第二节 加强海洋生态恢复修复</w:t>
      </w:r>
      <w:bookmarkEnd w:id="270"/>
      <w:bookmarkEnd w:id="271"/>
      <w:bookmarkEnd w:id="272"/>
      <w:bookmarkEnd w:id="273"/>
      <w:bookmarkEnd w:id="274"/>
      <w:bookmarkEnd w:id="275"/>
      <w:bookmarkEnd w:id="276"/>
      <w:bookmarkEnd w:id="277"/>
      <w:bookmarkEnd w:id="278"/>
    </w:p>
    <w:p>
      <w:pPr>
        <w:pStyle w:val="379"/>
        <w:overflowPunct w:val="0"/>
        <w:spacing w:line="596" w:lineRule="exact"/>
        <w:rPr>
          <w:rFonts w:ascii="仿宋_GB2312" w:cs="仿宋_GB2312" w:hint="eastAsia"/>
          <w:sz w:val="31"/>
          <w:szCs w:val="31"/>
        </w:rPr>
      </w:pPr>
      <w:r>
        <w:rPr>
          <w:rFonts w:ascii="仿宋_GB2312" w:cs="仿宋_GB2312" w:hint="eastAsia"/>
          <w:b/>
          <w:sz w:val="31"/>
          <w:szCs w:val="31"/>
        </w:rPr>
        <w:t>恢复修复典型海洋生态系统。</w:t>
      </w:r>
      <w:r>
        <w:rPr>
          <w:rFonts w:ascii="仿宋_GB2312" w:cs="仿宋_GB2312" w:hint="eastAsia"/>
          <w:sz w:val="31"/>
          <w:szCs w:val="31"/>
        </w:rPr>
        <w:t>充分利用海洋生态系统调查监测结果，加强生态修复前期论证和适宜性评价，准确识别和诊断生态问题，合理确定生态修复的目标任务。坚持陆海统筹、河海联动，以提升生态系统质量和稳定性为导向，整体推进红树林保护修复、海岸带保护修复等工程。强化海洋生态保护修复项目跟踪监测，掌握修复区域生态和减灾功能提升情况。完善重大生态修复工程论证、实施、管护、监测机制，确保海洋生态保护修复工程科学有效。积极探索以增强气候韧性和增加蓝色碳汇为导向的海洋生态保护修复新模式。</w:t>
      </w:r>
    </w:p>
    <w:p>
      <w:pPr>
        <w:pStyle w:val="379"/>
        <w:overflowPunct w:val="0"/>
        <w:spacing w:line="596" w:lineRule="exact"/>
        <w:rPr>
          <w:rFonts w:ascii="仿宋_GB2312" w:cs="仿宋_GB2312" w:hint="eastAsia"/>
          <w:sz w:val="31"/>
          <w:szCs w:val="31"/>
        </w:rPr>
      </w:pPr>
      <w:r>
        <w:rPr>
          <w:rFonts w:ascii="仿宋_GB2312" w:cs="仿宋_GB2312" w:hint="eastAsia"/>
          <w:b/>
          <w:sz w:val="31"/>
          <w:szCs w:val="31"/>
        </w:rPr>
        <w:t>强化滨海湿地保护修复。</w:t>
      </w:r>
      <w:r>
        <w:rPr>
          <w:rFonts w:ascii="仿宋_GB2312" w:cs="仿宋_GB2312" w:hint="eastAsia"/>
          <w:bCs/>
          <w:sz w:val="31"/>
          <w:szCs w:val="31"/>
        </w:rPr>
        <w:t>严格落实《中华人民共和国湿地保护法》《福建省湿地保护条例》，</w:t>
      </w:r>
      <w:r>
        <w:rPr>
          <w:rFonts w:ascii="仿宋_GB2312" w:cs="仿宋_GB2312" w:hint="eastAsia"/>
          <w:sz w:val="31"/>
          <w:szCs w:val="31"/>
        </w:rPr>
        <w:t>实施滨海湿地分级保护和湿地名录管理，实行湿地面积总量管控制度，严格控制建设项目占用湿地。坚持自然恢复为主、人工修复为辅，系统推进受损退化滨海湿地生态修复和综合治理。加快推进历史围填海遗留问题项目的生态修复。推进“蓝色海湾”综合整治工程和滨海湿地修复工程，加强厦门湾、诏安湾、泉州湾、三沙湾等海湾的综合整治，开展同安湾、兴化湾滨海湿地和闽江口、九龙江口、漳江口等河口湿地的保护修复。</w:t>
      </w:r>
    </w:p>
    <w:p>
      <w:pPr>
        <w:pStyle w:val="379"/>
        <w:overflowPunct w:val="0"/>
        <w:spacing w:line="596" w:lineRule="exact"/>
        <w:rPr>
          <w:rFonts w:ascii="仿宋_GB2312" w:cs="仿宋_GB2312" w:hint="eastAsia"/>
          <w:sz w:val="31"/>
          <w:szCs w:val="31"/>
        </w:rPr>
      </w:pPr>
      <w:r>
        <w:rPr>
          <w:rFonts w:ascii="仿宋_GB2312" w:cs="仿宋_GB2312" w:hint="eastAsia"/>
          <w:b/>
          <w:sz w:val="31"/>
          <w:szCs w:val="31"/>
        </w:rPr>
        <w:t>开展红树林保护修复专项行动。</w:t>
      </w:r>
      <w:r>
        <w:rPr>
          <w:rFonts w:ascii="仿宋_GB2312" w:cs="仿宋_GB2312" w:hint="eastAsia"/>
          <w:sz w:val="31"/>
          <w:szCs w:val="31"/>
        </w:rPr>
        <w:t>在泉州湾、九龙江口、漳江口、兴化湾、闽江口等重点河口实施红树林保护修复，恢复红树林生态景观带。落实《福建省红树林保护修复专项行动实施方案》，在红树林潜在适生区评估基础上，开展退化红树林生态修复和堤前非林地滩涂的红树林营造，提升红树林生态系统减灾功能和滨海湿地生态功能。2025年底前，完成修复现有红树林550公顷，营造红树林675公顷。</w:t>
      </w:r>
    </w:p>
    <w:p>
      <w:pPr>
        <w:pStyle w:val="379"/>
        <w:overflowPunct w:val="0"/>
        <w:spacing w:line="596" w:lineRule="exact"/>
        <w:rPr>
          <w:rFonts w:ascii="仿宋_GB2312" w:cs="仿宋_GB2312" w:hint="eastAsia"/>
          <w:sz w:val="31"/>
          <w:szCs w:val="31"/>
        </w:rPr>
      </w:pPr>
      <w:r>
        <w:rPr>
          <w:rFonts w:ascii="仿宋_GB2312" w:cs="仿宋_GB2312" w:hint="eastAsia"/>
          <w:b/>
          <w:bCs/>
          <w:sz w:val="31"/>
          <w:szCs w:val="31"/>
          <w:lang w:eastAsia="zh-CN"/>
        </w:rPr>
        <w:t>加快</w:t>
      </w:r>
      <w:r>
        <w:rPr>
          <w:rFonts w:ascii="仿宋_GB2312" w:cs="仿宋_GB2312" w:hint="eastAsia"/>
          <w:b/>
          <w:bCs/>
          <w:sz w:val="31"/>
          <w:szCs w:val="31"/>
        </w:rPr>
        <w:t>海岛生态修复。</w:t>
      </w:r>
      <w:r>
        <w:rPr>
          <w:rFonts w:ascii="仿宋_GB2312" w:cs="仿宋_GB2312" w:hint="eastAsia"/>
          <w:sz w:val="31"/>
          <w:szCs w:val="31"/>
        </w:rPr>
        <w:t>科学实施海岛生态系统保护与修复，对岛体、岸滩损坏严重、生态功能退化的海岛实施生态修复，修复受损海岛生境及周边海域生态环境；对鸟类和重要物种</w:t>
      </w:r>
      <w:r>
        <w:rPr>
          <w:rFonts w:ascii="仿宋_GB2312" w:cs="仿宋_GB2312" w:hint="eastAsia"/>
          <w:sz w:val="31"/>
          <w:szCs w:val="31"/>
          <w:lang w:eastAsia="zh-CN"/>
        </w:rPr>
        <w:t>迁徙</w:t>
      </w:r>
      <w:r>
        <w:rPr>
          <w:rFonts w:ascii="仿宋_GB2312" w:cs="仿宋_GB2312" w:hint="eastAsia"/>
          <w:sz w:val="31"/>
          <w:szCs w:val="31"/>
        </w:rPr>
        <w:t>通道上的海岛以及其他重要生态价值海岛，实施海岛珍稀濒危物种保育和栖息地修复。持续推进生态海岛建设，改善海岛生态环境与基础设施，恢复海岛地形地貌和生态系统，提升海岛生态功能和品质。严控新增用岛活动，加强海岛管理保护。</w:t>
      </w:r>
    </w:p>
    <w:p>
      <w:pPr>
        <w:pStyle w:val="404"/>
        <w:overflowPunct w:val="0"/>
        <w:spacing w:beforeLines="0" w:before="468" w:afterLines="0" w:after="468" w:line="596" w:lineRule="exact"/>
        <w:ind w:firstLineChars="0" w:firstLine="0"/>
        <w:rPr>
          <w:rFonts w:ascii="Times New Roman" w:cs="Times New Roman" w:hAnsi="Times New Roman" w:hint="eastAsia"/>
          <w:sz w:val="31"/>
          <w:szCs w:val="31"/>
        </w:rPr>
      </w:pPr>
      <w:bookmarkStart w:id="279" w:name="_Toc62053855"/>
      <w:bookmarkStart w:id="280" w:name="_Toc20624"/>
      <w:bookmarkStart w:id="281" w:name="_Toc87460063"/>
      <w:bookmarkStart w:id="282" w:name="_Toc9301"/>
      <w:bookmarkStart w:id="283" w:name="_Toc16929"/>
      <w:bookmarkStart w:id="284" w:name="_Toc10816"/>
      <w:bookmarkStart w:id="285" w:name="_Toc23377"/>
      <w:bookmarkStart w:id="286" w:name="_Toc21304"/>
      <w:bookmarkStart w:id="287" w:name="_Toc93504289"/>
      <w:bookmarkStart w:id="288" w:name="_Toc20082"/>
      <w:bookmarkStart w:id="289" w:name="_Toc62053271"/>
      <w:bookmarkStart w:id="290" w:name="_Toc6843"/>
      <w:bookmarkStart w:id="291" w:name="_Toc23631"/>
      <w:bookmarkEnd w:id="268"/>
      <w:bookmarkEnd w:id="269"/>
      <w:r>
        <w:rPr>
          <w:rFonts w:ascii="Times New Roman" w:cs="Times New Roman" w:hAnsi="Times New Roman" w:hint="eastAsia"/>
          <w:sz w:val="31"/>
          <w:szCs w:val="31"/>
        </w:rPr>
        <w:t>第三节 加强海洋生物资源养护</w:t>
      </w:r>
      <w:bookmarkStart w:id="292" w:name="_Toc62139819"/>
      <w:bookmarkStart w:id="293" w:name="_Toc62053856"/>
      <w:bookmarkStart w:id="294" w:name="_Toc62053272"/>
      <w:bookmarkEnd w:id="279"/>
      <w:bookmarkEnd w:id="280"/>
      <w:bookmarkEnd w:id="281"/>
      <w:bookmarkEnd w:id="282"/>
      <w:bookmarkEnd w:id="283"/>
      <w:bookmarkEnd w:id="284"/>
      <w:bookmarkEnd w:id="285"/>
      <w:bookmarkEnd w:id="286"/>
      <w:bookmarkEnd w:id="287"/>
      <w:bookmarkEnd w:id="288"/>
      <w:bookmarkEnd w:id="289"/>
      <w:bookmarkEnd w:id="290"/>
      <w:bookmarkEnd w:id="291"/>
    </w:p>
    <w:p>
      <w:pPr>
        <w:pStyle w:val="379"/>
        <w:overflowPunct w:val="0"/>
        <w:spacing w:line="596" w:lineRule="exact"/>
        <w:rPr>
          <w:rFonts w:ascii="仿宋_GB2312" w:cs="仿宋_GB2312" w:hint="eastAsia"/>
          <w:sz w:val="31"/>
          <w:szCs w:val="31"/>
        </w:rPr>
      </w:pPr>
      <w:r>
        <w:rPr>
          <w:rFonts w:ascii="仿宋_GB2312" w:cs="仿宋_GB2312" w:hint="eastAsia"/>
          <w:b/>
          <w:sz w:val="31"/>
          <w:szCs w:val="31"/>
        </w:rPr>
        <w:t>组织开展海洋生物多样性保护。</w:t>
      </w:r>
      <w:r>
        <w:rPr>
          <w:rFonts w:ascii="仿宋_GB2312" w:cs="仿宋_GB2312" w:hint="eastAsia"/>
          <w:bCs/>
          <w:sz w:val="31"/>
          <w:szCs w:val="31"/>
        </w:rPr>
        <w:t>全面加强各类海洋自然保护地监管，加快各类基础设施和管护设施建设，提升管护能力。开展海洋生物多样性调查和监测，建立健全海洋生物生态监测评估网络体系。</w:t>
      </w:r>
      <w:r>
        <w:rPr>
          <w:rFonts w:ascii="仿宋_GB2312" w:cs="仿宋_GB2312" w:hint="eastAsia"/>
          <w:sz w:val="31"/>
          <w:szCs w:val="31"/>
        </w:rPr>
        <w:t>对未纳入自然保护地体系的珍稀濒危海洋物种和关键海洋生态区开展抢救性保护。加强沿海地方区域标志性关键物种及栖息地的调查和保护监管，严防严控和整治外来物种入侵，强化互花米草入侵严重区域的综合治理。严格控制海洋捕捞强度，认真落实伏季休渔制度。加大涉渔“三无”船舶清理取缔力度，强化捕捞渔船双控管理，持续开展捕捞渔船更新改造工作。</w:t>
      </w:r>
    </w:p>
    <w:p>
      <w:pPr>
        <w:pStyle w:val="379"/>
        <w:overflowPunct w:val="0"/>
        <w:spacing w:line="596" w:lineRule="exact"/>
        <w:rPr>
          <w:rFonts w:ascii="仿宋_GB2312" w:cs="仿宋_GB2312" w:hint="eastAsia"/>
          <w:sz w:val="31"/>
          <w:szCs w:val="31"/>
        </w:rPr>
      </w:pPr>
      <w:r>
        <w:rPr>
          <w:rFonts w:ascii="仿宋_GB2312" w:cs="仿宋_GB2312" w:hint="eastAsia"/>
          <w:b/>
          <w:sz w:val="31"/>
          <w:szCs w:val="31"/>
        </w:rPr>
        <w:t>加强海洋生物资源增殖与保护。</w:t>
      </w:r>
      <w:r>
        <w:rPr>
          <w:rFonts w:ascii="仿宋_GB2312" w:cs="仿宋_GB2312" w:hint="eastAsia"/>
          <w:sz w:val="31"/>
          <w:szCs w:val="31"/>
        </w:rPr>
        <w:t>加强渔业资源调查监测，加大“三场一通道”（产卵场、索饵场、越冬场和洄游通道）等特殊区域的保护力度，加强渔业资源养护。实施大黄鱼、鲈鱼、鲷科鱼类、长毛对虾、日本对虾、西施舌、泥东风螺、中国鲎等水生生物经济物种、地方特有物种和珍稀濒危物种的增殖放流，加强放流物种、放流水域效果评估。大力推进宁德霞浦、莆田秀屿、福州连江和福清、漳州东山和诏安等海域人工鱼礁和海洋牧场建设，促进海洋重要渔业资源恢复。到2025年，全省建成6个国家级海洋牧场示范区。</w:t>
      </w:r>
      <w:bookmarkEnd w:id="292"/>
      <w:bookmarkEnd w:id="293"/>
      <w:bookmarkEnd w:id="294"/>
      <w:r>
        <w:rPr>
          <w:rFonts w:ascii="仿宋_GB2312" w:cs="仿宋_GB2312" w:hint="eastAsia"/>
          <w:sz w:val="31"/>
          <w:szCs w:val="31"/>
        </w:rPr>
        <w:t>积极探索开展滩涂和浅海贝藻类养殖、绿色海水养殖等海洋增汇新途径可行性研究，协同提升海洋生态系统质量和稳定性。</w:t>
      </w:r>
    </w:p>
    <w:p>
      <w:pPr>
        <w:pStyle w:val="379"/>
        <w:overflowPunct w:val="0"/>
        <w:rPr>
          <w:rFonts w:eastAsia="楷体"/>
          <w:sz w:val="21"/>
          <w:szCs w:val="22"/>
        </w:rPr>
      </w:pPr>
      <w:r>
        <mc:AlternateContent>
          <mc:Choice Requires="wps">
            <w:drawing>
              <wp:anchor distT="0" distB="0" distL="114300" distR="114300" simplePos="0" relativeHeight="32" behindDoc="0" locked="0" layoutInCell="1" hidden="0" allowOverlap="1">
                <wp:simplePos x="0" y="0"/>
                <wp:positionH relativeFrom="column">
                  <wp:posOffset>37432</wp:posOffset>
                </wp:positionH>
                <wp:positionV relativeFrom="paragraph">
                  <wp:posOffset>42576</wp:posOffset>
                </wp:positionV>
                <wp:extent cx="5274310" cy="7600315"/>
                <wp:effectExtent l="0" t="0" r="0" b="0"/>
                <wp:wrapTight wrapText="bothSides">
                  <wp:wrapPolygon>
                    <wp:start x="21592" y="-2"/>
                    <wp:lineTo x="0" y="0"/>
                    <wp:lineTo x="0" y="21600"/>
                    <wp:lineTo x="21592" y="21602"/>
                    <wp:lineTo x="8" y="21602"/>
                    <wp:lineTo x="21600" y="21600"/>
                    <wp:lineTo x="21600" y="0"/>
                    <wp:lineTo x="8" y="-2"/>
                    <wp:lineTo x="21592" y="-2"/>
                  </wp:wrapPolygon>
                </wp:wrapTight>
                <wp:docPr id="10" name="文本框 4"/>
                <wp:cNvGraphicFramePr>
                  <a:graphicFrameLocks noChangeAspect="0"/>
                </wp:cNvGraphicFramePr>
                <a:graphic>
                  <a:graphicData uri="http://schemas.microsoft.com/office/word/2010/wordprocessingShape">
                    <wps:wsp>
                      <wps:cNvSpPr/>
                      <wps:spPr>
                        <a:xfrm rot="0">
                          <a:off x="0" y="0"/>
                          <a:ext cx="5274310" cy="7600315"/>
                        </a:xfrm>
                        <a:prstGeom prst="rect"/>
                        <a:solidFill>
                          <a:srgbClr val="FFFFFF"/>
                        </a:solidFill>
                        <a:ln w="9525" cmpd="sng" cap="flat">
                          <a:solidFill>
                            <a:srgbClr val="000000"/>
                          </a:solidFill>
                          <a:prstDash val="solid"/>
                          <a:miter/>
                        </a:ln>
                      </wps:spPr>
                      <wps:txbx id="11">
                        <w:txbxContent>
                          <w:p>
                            <w:pPr>
                              <w:overflowPunct w:val="0"/>
                              <w:adjustRightInd w:val="0"/>
                              <w:snapToGrid w:val="0"/>
                              <w:ind w:firstLineChars="0" w:firstLine="0"/>
                              <w:jc w:val="center"/>
                              <w:rPr>
                                <w:rFonts w:ascii="楷体_GB2312" w:eastAsia="楷体_GB2312" w:cs="楷体_GB2312" w:hint="eastAsia"/>
                                <w:b/>
                                <w:sz w:val="32"/>
                                <w:szCs w:val="32"/>
                              </w:rPr>
                            </w:pPr>
                            <w:r>
                              <w:rPr>
                                <w:rFonts w:ascii="楷体_GB2312" w:eastAsia="楷体_GB2312" w:cs="楷体_GB2312" w:hint="eastAsia"/>
                                <w:b/>
                                <w:sz w:val="32"/>
                                <w:szCs w:val="32"/>
                              </w:rPr>
                              <w:t xml:space="preserve">专栏二 </w:t>
                            </w:r>
                            <w:r>
                              <w:rPr>
                                <w:rFonts w:ascii="楷体_GB2312" w:eastAsia="楷体_GB2312" w:cs="楷体_GB2312" w:hint="eastAsia"/>
                                <w:b/>
                                <w:sz w:val="32"/>
                                <w:szCs w:val="32"/>
                                <w:lang w:val="en-US" w:eastAsia="zh-CN"/>
                              </w:rPr>
                              <w:t>海洋</w:t>
                            </w:r>
                            <w:r>
                              <w:rPr>
                                <w:rFonts w:ascii="楷体_GB2312" w:eastAsia="楷体_GB2312" w:cs="楷体_GB2312" w:hint="eastAsia"/>
                                <w:b/>
                                <w:sz w:val="32"/>
                                <w:szCs w:val="32"/>
                              </w:rPr>
                              <w:t>生态保护和修复重点工程</w:t>
                            </w:r>
                          </w:p>
                          <w:p>
                            <w:pPr>
                              <w:adjustRightInd w:val="0"/>
                              <w:snapToGrid w:val="0"/>
                              <w:rPr>
                                <w:rFonts w:ascii="仿宋_GB2312" w:eastAsia="仿宋_GB2312" w:cs="仿宋_GB2312" w:hint="eastAsia"/>
                                <w:sz w:val="32"/>
                                <w:szCs w:val="32"/>
                              </w:rPr>
                            </w:pPr>
                          </w:p>
                          <w:p>
                            <w:pPr>
                              <w:adjustRightInd w:val="0"/>
                              <w:snapToGrid w:val="0"/>
                              <w:rPr>
                                <w:rFonts w:ascii="仿宋_GB2312" w:eastAsia="仿宋_GB2312" w:cs="仿宋_GB2312" w:hint="eastAsia"/>
                                <w:sz w:val="32"/>
                                <w:szCs w:val="32"/>
                              </w:rPr>
                            </w:pPr>
                            <w:r>
                              <w:rPr>
                                <w:rFonts w:ascii="仿宋_GB2312" w:eastAsia="仿宋_GB2312" w:cs="仿宋_GB2312" w:hint="eastAsia"/>
                                <w:sz w:val="32"/>
                                <w:szCs w:val="32"/>
                              </w:rPr>
                              <w:t>1.重要海湾河口生态保护和修复工程。项目范围涉及蕉城、福安、福鼎、霞浦</w:t>
                            </w:r>
                            <w:r>
                              <w:rPr>
                                <w:rFonts w:ascii="仿宋_GB2312" w:cs="仿宋_GB2312" w:hint="eastAsia"/>
                                <w:sz w:val="32"/>
                                <w:szCs w:val="32"/>
                                <w:lang w:eastAsia="zh-CN"/>
                              </w:rPr>
                              <w:t>、</w:t>
                            </w:r>
                            <w:r>
                              <w:rPr>
                                <w:rFonts w:ascii="仿宋_GB2312" w:eastAsia="仿宋_GB2312" w:cs="仿宋_GB2312" w:hint="eastAsia"/>
                                <w:sz w:val="32"/>
                                <w:szCs w:val="32"/>
                              </w:rPr>
                              <w:t>连江、马尾、长乐、福清、平潭、涵江、荔城、秀屿、惠安、丰泽、石狮、晋江、洛江、南安、翔安、集美、思明、湖里、海沧、同安、龙海、漳浦、云霄、东山等28个县（市、区），建设内容主要包括岸线岸滩恢复、海洋资源恢复、海洋典型生态系统改善等方面。</w:t>
                            </w:r>
                          </w:p>
                          <w:p>
                            <w:pPr>
                              <w:adjustRightInd w:val="0"/>
                              <w:snapToGrid w:val="0"/>
                              <w:rPr>
                                <w:rFonts w:ascii="仿宋_GB2312" w:eastAsia="仿宋_GB2312" w:cs="仿宋_GB2312" w:hint="eastAsia"/>
                                <w:sz w:val="32"/>
                                <w:szCs w:val="32"/>
                              </w:rPr>
                            </w:pPr>
                            <w:r>
                              <w:rPr>
                                <w:rFonts w:ascii="仿宋_GB2312" w:eastAsia="仿宋_GB2312" w:cs="仿宋_GB2312" w:hint="eastAsia"/>
                                <w:sz w:val="32"/>
                                <w:szCs w:val="32"/>
                              </w:rPr>
                              <w:t>2.滨海湿地生态修复工程（2021-2023年）。开展红树林生态保护与修复，在宜林滩涂上规划新造红树林面积628公顷，修复红树林面积413公顷。加强互花米草等外来物种入侵防治。</w:t>
                            </w:r>
                          </w:p>
                          <w:p>
                            <w:pPr>
                              <w:adjustRightInd w:val="0"/>
                              <w:snapToGrid w:val="0"/>
                              <w:rPr>
                                <w:rFonts w:ascii="仿宋_GB2312" w:eastAsia="仿宋_GB2312" w:cs="仿宋_GB2312" w:hint="eastAsia"/>
                                <w:sz w:val="32"/>
                                <w:szCs w:val="32"/>
                              </w:rPr>
                            </w:pPr>
                            <w:r>
                              <w:rPr>
                                <w:rFonts w:ascii="仿宋_GB2312" w:eastAsia="仿宋_GB2312" w:cs="仿宋_GB2312" w:hint="eastAsia"/>
                                <w:sz w:val="32"/>
                                <w:szCs w:val="32"/>
                              </w:rPr>
                              <w:t>3.沿海防护林体系建设工程。项目范围涉及福州、莆田、泉州、厦门、漳州、宁德市和平潭综合实验区，建设沿海防护林153万亩，沿海防护林体系建设工程区的森林覆盖率达到并稳定在62%以上。</w:t>
                            </w:r>
                          </w:p>
                          <w:p>
                            <w:pPr>
                              <w:adjustRightInd w:val="0"/>
                              <w:snapToGrid w:val="0"/>
                              <w:rPr>
                                <w:rFonts w:ascii="仿宋_GB2312" w:eastAsia="仿宋_GB2312" w:cs="仿宋_GB2312" w:hint="eastAsia"/>
                                <w:sz w:val="32"/>
                                <w:szCs w:val="32"/>
                              </w:rPr>
                            </w:pPr>
                            <w:r>
                              <w:rPr>
                                <w:rFonts w:ascii="仿宋_GB2312" w:eastAsia="仿宋_GB2312" w:cs="仿宋_GB2312" w:hint="eastAsia"/>
                                <w:sz w:val="32"/>
                                <w:szCs w:val="32"/>
                              </w:rPr>
                              <w:t>4.海堤除险加固</w:t>
                            </w:r>
                            <w:r>
                              <w:rPr>
                                <w:rFonts w:ascii="仿宋_GB2312" w:cs="仿宋_GB2312" w:hint="eastAsia"/>
                                <w:sz w:val="32"/>
                                <w:szCs w:val="32"/>
                                <w:lang w:val="en-US" w:eastAsia="zh-CN"/>
                              </w:rPr>
                              <w:t>工程</w:t>
                            </w:r>
                            <w:r>
                              <w:rPr>
                                <w:rFonts w:ascii="仿宋_GB2312" w:eastAsia="仿宋_GB2312" w:cs="仿宋_GB2312" w:hint="eastAsia"/>
                                <w:sz w:val="32"/>
                                <w:szCs w:val="32"/>
                              </w:rPr>
                              <w:t>。推进福州、厦门、宁德、莆田、泉州、漳州</w:t>
                            </w:r>
                            <w:r>
                              <w:rPr>
                                <w:rFonts w:ascii="仿宋_GB2312" w:cs="仿宋_GB2312" w:hint="eastAsia"/>
                                <w:sz w:val="32"/>
                                <w:szCs w:val="32"/>
                                <w:lang w:eastAsia="zh-CN"/>
                              </w:rPr>
                              <w:t>市</w:t>
                            </w:r>
                            <w:r>
                              <w:rPr>
                                <w:rFonts w:ascii="仿宋_GB2312" w:eastAsia="仿宋_GB2312" w:cs="仿宋_GB2312" w:hint="eastAsia"/>
                                <w:sz w:val="32"/>
                                <w:szCs w:val="32"/>
                              </w:rPr>
                              <w:t>和平潭综合实验区海堤除险加固。</w:t>
                            </w:r>
                          </w:p>
                        </w:txbxContent>
                      </wps:txbx>
                      <wps:bodyPr vert="horz" wrap="square" lIns="91440" tIns="45720" rIns="91440" bIns="45720" anchor="t" anchorCtr="0" upright="1">
                        <a:spAutoFit/>
                      </wps:bodyPr>
                    </wps:wsp>
                  </a:graphicData>
                </a:graphic>
              </wp:anchor>
            </w:drawing>
          </mc:Choice>
          <mc:Fallback>
            <w:pict>
              <v:rect type="#_x0000_t1" id="文本框 4 12" o:spid="_x0000_s12" fillcolor="#FFFFFF" stroked="t" wrapcoords="21592 -2 0 0 0 21600 21592 21602 8 21602 21600 21600 21600 0 8 -2 21592 -2" style="position:absolute;margin-left:2.9474554pt;margin-top:3.35245pt;width:415.3pt;height:598.45pt;z-index:32;mso-position-horizontal:absolute;mso-position-vertical:absolute;mso-wrap-style:square;">
                <v:stroke color="#000000"/>
                <v:textbox id="858" inset="2.54mm,1.27mm,2.54mm,1.27mm" o:insetmode="custom" style="layout-flow:horizontal;v-text-anchor:top;mso-fit-shape-to-text:t;">
                  <w:txbxContent>
                    <w:p>
                      <w:pPr>
                        <w:overflowPunct w:val="0"/>
                        <w:adjustRightInd w:val="0"/>
                        <w:snapToGrid w:val="0"/>
                        <w:ind w:firstLineChars="0" w:firstLine="0"/>
                        <w:jc w:val="center"/>
                        <w:rPr>
                          <w:rFonts w:ascii="楷体_GB2312" w:eastAsia="楷体_GB2312" w:cs="楷体_GB2312" w:hint="eastAsia"/>
                          <w:b/>
                          <w:sz w:val="32"/>
                          <w:szCs w:val="32"/>
                        </w:rPr>
                      </w:pPr>
                      <w:r>
                        <w:rPr>
                          <w:rFonts w:ascii="楷体_GB2312" w:eastAsia="楷体_GB2312" w:cs="楷体_GB2312" w:hint="eastAsia"/>
                          <w:b/>
                          <w:sz w:val="32"/>
                          <w:szCs w:val="32"/>
                        </w:rPr>
                        <w:t xml:space="preserve">专栏二 </w:t>
                      </w:r>
                      <w:r>
                        <w:rPr>
                          <w:rFonts w:ascii="楷体_GB2312" w:eastAsia="楷体_GB2312" w:cs="楷体_GB2312" w:hint="eastAsia"/>
                          <w:b/>
                          <w:sz w:val="32"/>
                          <w:szCs w:val="32"/>
                          <w:lang w:val="en-US" w:eastAsia="zh-CN"/>
                        </w:rPr>
                        <w:t>海洋</w:t>
                      </w:r>
                      <w:r>
                        <w:rPr>
                          <w:rFonts w:ascii="楷体_GB2312" w:eastAsia="楷体_GB2312" w:cs="楷体_GB2312" w:hint="eastAsia"/>
                          <w:b/>
                          <w:sz w:val="32"/>
                          <w:szCs w:val="32"/>
                        </w:rPr>
                        <w:t>生态保护和修复重点工程</w:t>
                      </w:r>
                    </w:p>
                    <w:p>
                      <w:pPr>
                        <w:adjustRightInd w:val="0"/>
                        <w:snapToGrid w:val="0"/>
                        <w:rPr>
                          <w:rFonts w:ascii="仿宋_GB2312" w:eastAsia="仿宋_GB2312" w:cs="仿宋_GB2312" w:hint="eastAsia"/>
                          <w:sz w:val="32"/>
                          <w:szCs w:val="32"/>
                        </w:rPr>
                      </w:pPr>
                    </w:p>
                    <w:p>
                      <w:pPr>
                        <w:adjustRightInd w:val="0"/>
                        <w:snapToGrid w:val="0"/>
                        <w:rPr>
                          <w:rFonts w:ascii="仿宋_GB2312" w:eastAsia="仿宋_GB2312" w:cs="仿宋_GB2312" w:hint="eastAsia"/>
                          <w:sz w:val="32"/>
                          <w:szCs w:val="32"/>
                        </w:rPr>
                      </w:pPr>
                      <w:r>
                        <w:rPr>
                          <w:rFonts w:ascii="仿宋_GB2312" w:eastAsia="仿宋_GB2312" w:cs="仿宋_GB2312" w:hint="eastAsia"/>
                          <w:sz w:val="32"/>
                          <w:szCs w:val="32"/>
                        </w:rPr>
                        <w:t>1.重要海湾河口生态保护和修复工程。项目范围涉及蕉城、福安、福鼎、霞浦</w:t>
                      </w:r>
                      <w:r>
                        <w:rPr>
                          <w:rFonts w:ascii="仿宋_GB2312" w:cs="仿宋_GB2312" w:hint="eastAsia"/>
                          <w:sz w:val="32"/>
                          <w:szCs w:val="32"/>
                          <w:lang w:eastAsia="zh-CN"/>
                        </w:rPr>
                        <w:t>、</w:t>
                      </w:r>
                      <w:r>
                        <w:rPr>
                          <w:rFonts w:ascii="仿宋_GB2312" w:eastAsia="仿宋_GB2312" w:cs="仿宋_GB2312" w:hint="eastAsia"/>
                          <w:sz w:val="32"/>
                          <w:szCs w:val="32"/>
                        </w:rPr>
                        <w:t>连江、马尾、长乐、福清、平潭、涵江、荔城、秀屿、惠安、丰泽、石狮、晋江、洛江、南安、翔安、集美、思明、湖里、海沧、同安、龙海、漳浦、云霄、东山等28个县（市、区），建设内容主要包括岸线岸滩恢复、海洋资源恢复、海洋典型生态系统改善等方面。</w:t>
                      </w:r>
                    </w:p>
                    <w:p>
                      <w:pPr>
                        <w:adjustRightInd w:val="0"/>
                        <w:snapToGrid w:val="0"/>
                        <w:rPr>
                          <w:rFonts w:ascii="仿宋_GB2312" w:eastAsia="仿宋_GB2312" w:cs="仿宋_GB2312" w:hint="eastAsia"/>
                          <w:sz w:val="32"/>
                          <w:szCs w:val="32"/>
                        </w:rPr>
                      </w:pPr>
                      <w:r>
                        <w:rPr>
                          <w:rFonts w:ascii="仿宋_GB2312" w:eastAsia="仿宋_GB2312" w:cs="仿宋_GB2312" w:hint="eastAsia"/>
                          <w:sz w:val="32"/>
                          <w:szCs w:val="32"/>
                        </w:rPr>
                        <w:t>2.滨海湿地生态修复工程（2021-2023年）。开展红树林生态保护与修复，在宜林滩涂上规划新造红树林面积628公顷，修复红树林面积413公顷。加强互花米草等外来物种入侵防治。</w:t>
                      </w:r>
                    </w:p>
                    <w:p>
                      <w:pPr>
                        <w:adjustRightInd w:val="0"/>
                        <w:snapToGrid w:val="0"/>
                        <w:rPr>
                          <w:rFonts w:ascii="仿宋_GB2312" w:eastAsia="仿宋_GB2312" w:cs="仿宋_GB2312" w:hint="eastAsia"/>
                          <w:sz w:val="32"/>
                          <w:szCs w:val="32"/>
                        </w:rPr>
                      </w:pPr>
                      <w:r>
                        <w:rPr>
                          <w:rFonts w:ascii="仿宋_GB2312" w:eastAsia="仿宋_GB2312" w:cs="仿宋_GB2312" w:hint="eastAsia"/>
                          <w:sz w:val="32"/>
                          <w:szCs w:val="32"/>
                        </w:rPr>
                        <w:t>3.沿海防护林体系建设工程。项目范围涉及福州、莆田、泉州、厦门、漳州、宁德市和平潭综合实验区，建设沿海防护林153万亩，沿海防护林体系建设工程区的森林覆盖率达到并稳定在62%以上。</w:t>
                      </w:r>
                    </w:p>
                    <w:p>
                      <w:pPr>
                        <w:adjustRightInd w:val="0"/>
                        <w:snapToGrid w:val="0"/>
                        <w:rPr>
                          <w:rFonts w:ascii="仿宋_GB2312" w:eastAsia="仿宋_GB2312" w:cs="仿宋_GB2312" w:hint="eastAsia"/>
                          <w:sz w:val="32"/>
                          <w:szCs w:val="32"/>
                        </w:rPr>
                      </w:pPr>
                      <w:r>
                        <w:rPr>
                          <w:rFonts w:ascii="仿宋_GB2312" w:eastAsia="仿宋_GB2312" w:cs="仿宋_GB2312" w:hint="eastAsia"/>
                          <w:sz w:val="32"/>
                          <w:szCs w:val="32"/>
                        </w:rPr>
                        <w:t>4.海堤除险加固</w:t>
                      </w:r>
                      <w:r>
                        <w:rPr>
                          <w:rFonts w:ascii="仿宋_GB2312" w:cs="仿宋_GB2312" w:hint="eastAsia"/>
                          <w:sz w:val="32"/>
                          <w:szCs w:val="32"/>
                          <w:lang w:val="en-US" w:eastAsia="zh-CN"/>
                        </w:rPr>
                        <w:t>工程</w:t>
                      </w:r>
                      <w:r>
                        <w:rPr>
                          <w:rFonts w:ascii="仿宋_GB2312" w:eastAsia="仿宋_GB2312" w:cs="仿宋_GB2312" w:hint="eastAsia"/>
                          <w:sz w:val="32"/>
                          <w:szCs w:val="32"/>
                        </w:rPr>
                        <w:t>。推进福州、厦门、宁德、莆田、泉州、漳州</w:t>
                      </w:r>
                      <w:r>
                        <w:rPr>
                          <w:rFonts w:ascii="仿宋_GB2312" w:cs="仿宋_GB2312" w:hint="eastAsia"/>
                          <w:sz w:val="32"/>
                          <w:szCs w:val="32"/>
                          <w:lang w:eastAsia="zh-CN"/>
                        </w:rPr>
                        <w:t>市</w:t>
                      </w:r>
                      <w:r>
                        <w:rPr>
                          <w:rFonts w:ascii="仿宋_GB2312" w:eastAsia="仿宋_GB2312" w:cs="仿宋_GB2312" w:hint="eastAsia"/>
                          <w:sz w:val="32"/>
                          <w:szCs w:val="32"/>
                        </w:rPr>
                        <w:t>和平潭综合实验区海堤除险加固。</w:t>
                      </w:r>
                    </w:p>
                  </w:txbxContent>
                </v:textbox>
                <w10:wrap type="tight"/>
              </v:rect>
            </w:pict>
          </mc:Fallback>
        </mc:AlternateContent>
      </w:r>
    </w:p>
    <w:p>
      <w:pPr>
        <w:pStyle w:val="403"/>
        <w:overflowPunct w:val="0"/>
        <w:snapToGrid w:val="0"/>
        <w:spacing w:beforeLines="0" w:before="0" w:afterLines="0" w:after="0"/>
        <w:rPr>
          <w:szCs w:val="32"/>
        </w:rPr>
      </w:pPr>
      <w:bookmarkStart w:id="295" w:name="_Toc356293253"/>
      <w:r>
        <w:br w:type="page"/>
      </w:r>
      <w:bookmarkStart w:id="296" w:name="_Toc22279"/>
      <w:bookmarkStart w:id="297" w:name="_Toc87460064"/>
      <w:bookmarkStart w:id="298" w:name="_Toc12382"/>
      <w:bookmarkStart w:id="299" w:name="_Toc26457"/>
      <w:bookmarkStart w:id="300" w:name="_Toc93504290"/>
      <w:bookmarkStart w:id="301" w:name="_Toc28133"/>
      <w:bookmarkStart w:id="302" w:name="_Toc26016"/>
      <w:bookmarkStart w:id="303" w:name="_Toc15774"/>
      <w:bookmarkStart w:id="304" w:name="_Toc1121"/>
      <w:bookmarkStart w:id="305" w:name="_Toc31566"/>
      <w:bookmarkStart w:id="306" w:name="_Toc5650"/>
      <w:r>
        <w:rPr>
          <w:rFonts w:hint="eastAsia"/>
          <w:szCs w:val="32"/>
        </w:rPr>
        <w:t>第六章 提升亲海品质，满足公众优美海洋生态环境需求</w:t>
      </w:r>
      <w:bookmarkEnd w:id="296"/>
      <w:bookmarkEnd w:id="297"/>
      <w:bookmarkEnd w:id="298"/>
      <w:bookmarkEnd w:id="299"/>
      <w:bookmarkEnd w:id="300"/>
      <w:bookmarkEnd w:id="301"/>
      <w:bookmarkEnd w:id="302"/>
      <w:bookmarkEnd w:id="303"/>
      <w:bookmarkEnd w:id="304"/>
      <w:bookmarkEnd w:id="305"/>
      <w:bookmarkEnd w:id="306"/>
    </w:p>
    <w:p>
      <w:pPr>
        <w:snapToGrid w:val="0"/>
        <w:rPr>
          <w:rFonts w:ascii="仿宋_GB2312" w:cs="仿宋_GB2312" w:hint="eastAsia"/>
          <w:sz w:val="32"/>
          <w:szCs w:val="32"/>
        </w:rPr>
      </w:pPr>
    </w:p>
    <w:p>
      <w:pPr>
        <w:snapToGrid w:val="0"/>
        <w:rPr>
          <w:rFonts w:ascii="仿宋_GB2312" w:cs="仿宋_GB2312" w:hint="eastAsia"/>
          <w:sz w:val="32"/>
          <w:szCs w:val="32"/>
        </w:rPr>
      </w:pPr>
      <w:r>
        <w:rPr>
          <w:rFonts w:ascii="仿宋_GB2312" w:cs="仿宋_GB2312" w:hint="eastAsia"/>
          <w:sz w:val="32"/>
          <w:szCs w:val="32"/>
        </w:rPr>
        <w:t>积极拓展亲海空间、提升亲海环境品质，加强亲海区环境综合治理，切实解决临海难亲海、亲海质量低等群众反映强烈的突出问题，切实改善亲海空间环境质量，不断提升公众临海亲海的获得感和幸福感。</w:t>
      </w:r>
    </w:p>
    <w:p>
      <w:pPr>
        <w:widowControl/>
        <w:snapToGrid w:val="0"/>
        <w:rPr>
          <w:rFonts w:ascii="Times New Roman" w:cs="Times New Roman" w:hAnsi="Times New Roman"/>
          <w:sz w:val="32"/>
          <w:szCs w:val="32"/>
        </w:rPr>
      </w:pPr>
    </w:p>
    <w:p>
      <w:pPr>
        <w:pStyle w:val="404"/>
        <w:overflowPunct w:val="0"/>
        <w:adjustRightInd w:val="0"/>
        <w:snapToGrid w:val="0"/>
        <w:spacing w:beforeLines="0" w:before="0" w:afterLines="0" w:after="0"/>
        <w:ind w:firstLineChars="0" w:firstLine="0"/>
        <w:rPr>
          <w:rFonts w:ascii="Times New Roman" w:cs="Times New Roman" w:hAnsi="Times New Roman" w:hint="eastAsia"/>
          <w:szCs w:val="32"/>
        </w:rPr>
      </w:pPr>
      <w:bookmarkStart w:id="307" w:name="_Toc22550"/>
      <w:bookmarkStart w:id="308" w:name="_Toc23300"/>
      <w:bookmarkStart w:id="309" w:name="_Toc19759"/>
      <w:bookmarkStart w:id="310" w:name="_Toc5804"/>
      <w:bookmarkStart w:id="311" w:name="_Toc19666"/>
      <w:bookmarkStart w:id="312" w:name="_Toc4579"/>
      <w:bookmarkStart w:id="313" w:name="_Toc16807"/>
      <w:bookmarkStart w:id="314" w:name="_Toc14626"/>
      <w:bookmarkStart w:id="315" w:name="_Toc93504291"/>
      <w:bookmarkStart w:id="316" w:name="_Toc14129"/>
      <w:bookmarkStart w:id="317" w:name="_Toc87460065"/>
      <w:r>
        <w:rPr>
          <w:rFonts w:ascii="Times New Roman" w:cs="Times New Roman" w:hAnsi="Times New Roman" w:hint="eastAsia"/>
          <w:szCs w:val="32"/>
        </w:rPr>
        <w:t>第一节 拓展公众亲海空间</w:t>
      </w:r>
      <w:bookmarkEnd w:id="307"/>
      <w:bookmarkEnd w:id="308"/>
      <w:bookmarkEnd w:id="309"/>
      <w:bookmarkEnd w:id="310"/>
      <w:bookmarkEnd w:id="311"/>
      <w:bookmarkEnd w:id="312"/>
      <w:bookmarkEnd w:id="313"/>
      <w:bookmarkEnd w:id="314"/>
      <w:bookmarkEnd w:id="315"/>
    </w:p>
    <w:p>
      <w:pPr>
        <w:snapToGrid w:val="0"/>
        <w:rPr>
          <w:rFonts w:ascii="Calibri" w:cs="Arial" w:hAnsi="Calibri"/>
          <w:b w:val="0"/>
          <w:sz w:val="32"/>
          <w:szCs w:val="32"/>
        </w:rPr>
      </w:pPr>
    </w:p>
    <w:p>
      <w:pPr>
        <w:pStyle w:val="379"/>
        <w:overflowPunct w:val="0"/>
        <w:adjustRightInd w:val="0"/>
        <w:snapToGrid w:val="0"/>
        <w:rPr>
          <w:rFonts w:ascii="仿宋_GB2312" w:cs="仿宋_GB2312" w:hint="eastAsia"/>
          <w:szCs w:val="32"/>
        </w:rPr>
      </w:pPr>
      <w:r>
        <w:rPr>
          <w:rFonts w:ascii="仿宋_GB2312" w:cs="仿宋_GB2312" w:hint="eastAsia"/>
          <w:b/>
          <w:szCs w:val="32"/>
        </w:rPr>
        <w:t>优化公众亲海空间布局。</w:t>
      </w:r>
      <w:r>
        <w:rPr>
          <w:rFonts w:ascii="仿宋_GB2312" w:cs="仿宋_GB2312" w:hint="eastAsia"/>
          <w:szCs w:val="32"/>
        </w:rPr>
        <w:t>优化海岸带生产、生活和生态空间布局。严控生产岸线，保护、增加自然岸线和生活岸线。以城市毗邻海湾海滩为重点，加强砂质岸滩和亲海岸线环境整治与修复，因地制宜拓展生态化亲海岸滩岸线。统筹规划和建设海水浴场，严格禁止破坏浴场沙滩地形地貌和环境</w:t>
      </w:r>
      <w:r>
        <w:rPr>
          <w:rFonts w:ascii="仿宋_GB2312" w:cs="仿宋_GB2312" w:hint="eastAsia"/>
          <w:szCs w:val="32"/>
          <w:lang w:eastAsia="zh-CN"/>
        </w:rPr>
        <w:t>景观</w:t>
      </w:r>
      <w:r>
        <w:rPr>
          <w:rFonts w:ascii="仿宋_GB2312" w:cs="仿宋_GB2312" w:hint="eastAsia"/>
          <w:szCs w:val="32"/>
        </w:rPr>
        <w:t>的行为，切实保障亲海岸线的公共开放性和可达性。</w:t>
      </w:r>
    </w:p>
    <w:p>
      <w:pPr>
        <w:pStyle w:val="379"/>
        <w:overflowPunct w:val="0"/>
        <w:adjustRightInd w:val="0"/>
        <w:snapToGrid w:val="0"/>
        <w:rPr>
          <w:rFonts w:ascii="仿宋_GB2312" w:cs="仿宋_GB2312" w:hint="eastAsia"/>
          <w:b/>
          <w:szCs w:val="32"/>
        </w:rPr>
      </w:pPr>
      <w:r>
        <w:rPr>
          <w:rFonts w:ascii="仿宋_GB2312" w:cs="仿宋_GB2312" w:hint="eastAsia"/>
          <w:b/>
          <w:szCs w:val="32"/>
        </w:rPr>
        <w:t>强化公众亲海岸线整治。</w:t>
      </w:r>
      <w:r>
        <w:rPr>
          <w:rFonts w:ascii="仿宋_GB2312" w:cs="仿宋_GB2312" w:hint="eastAsia"/>
          <w:bCs/>
          <w:szCs w:val="32"/>
        </w:rPr>
        <w:t>保护提升海洋休闲娱乐区、滨海风景名胜区、沙滩浴场、海洋公园等公共利用区海岸带生态功能和滨海景观，保障公众亲海空间。依法清除亲海岸滩岸线两侧的非法、不合理人工构筑物和设施，实施亲海岸段在线监控和精准</w:t>
      </w:r>
      <w:r>
        <w:rPr>
          <w:rFonts w:ascii="仿宋_GB2312" w:cs="仿宋_GB2312" w:hint="eastAsia"/>
          <w:bCs/>
          <w:szCs w:val="32"/>
          <w:lang w:eastAsia="zh-CN"/>
        </w:rPr>
        <w:t>管</w:t>
      </w:r>
      <w:r>
        <w:rPr>
          <w:rFonts w:ascii="仿宋_GB2312" w:cs="仿宋_GB2312" w:hint="eastAsia"/>
          <w:bCs/>
          <w:szCs w:val="32"/>
        </w:rPr>
        <w:t>理，促进水产养殖布局和设施景观化，打造生态休闲绿色海岸带。</w:t>
      </w:r>
    </w:p>
    <w:p>
      <w:pPr>
        <w:snapToGrid w:val="0"/>
        <w:rPr>
          <w:rFonts w:ascii="Calibri" w:cs="Arial" w:hAnsi="Calibri"/>
          <w:b/>
          <w:sz w:val="32"/>
          <w:szCs w:val="32"/>
        </w:rPr>
      </w:pPr>
      <w:bookmarkStart w:id="318" w:name="_Toc17068"/>
      <w:bookmarkStart w:id="319" w:name="_Toc15599"/>
      <w:bookmarkStart w:id="320" w:name="_Toc17391"/>
      <w:bookmarkStart w:id="321" w:name="_Toc24500"/>
      <w:bookmarkStart w:id="322" w:name="_Toc22204"/>
    </w:p>
    <w:p>
      <w:pPr>
        <w:pStyle w:val="404"/>
        <w:adjustRightInd w:val="0"/>
        <w:snapToGrid w:val="0"/>
        <w:spacing w:beforeLines="0" w:before="0" w:afterLines="0" w:after="0"/>
        <w:ind w:left="0" w:firstLineChars="0" w:firstLine="0"/>
        <w:rPr>
          <w:rFonts w:ascii="仿宋_GB2312" w:cs="仿宋_GB2312" w:hAnsi="仿宋_GB2312" w:hint="eastAsia"/>
          <w:szCs w:val="32"/>
        </w:rPr>
      </w:pPr>
      <w:bookmarkStart w:id="323" w:name="_Toc20348"/>
      <w:bookmarkStart w:id="324" w:name="_Toc5043"/>
      <w:bookmarkStart w:id="325" w:name="_Toc93504292"/>
      <w:bookmarkStart w:id="326" w:name="_Toc22140"/>
      <w:r>
        <w:rPr>
          <w:rFonts w:ascii="Times New Roman" w:cs="Times New Roman" w:hAnsi="Times New Roman" w:hint="eastAsia"/>
          <w:szCs w:val="32"/>
        </w:rPr>
        <w:t>第二节 改善亲海环境质量</w:t>
      </w:r>
      <w:bookmarkEnd w:id="318"/>
      <w:bookmarkEnd w:id="319"/>
      <w:bookmarkEnd w:id="320"/>
      <w:bookmarkEnd w:id="321"/>
      <w:bookmarkEnd w:id="322"/>
      <w:bookmarkEnd w:id="323"/>
      <w:bookmarkEnd w:id="324"/>
      <w:bookmarkEnd w:id="325"/>
      <w:bookmarkEnd w:id="326"/>
    </w:p>
    <w:p>
      <w:pPr>
        <w:snapToGrid w:val="0"/>
        <w:rPr>
          <w:rFonts w:ascii="Calibri" w:cs="Arial" w:hAnsi="Calibri"/>
          <w:b w:val="0"/>
          <w:sz w:val="32"/>
          <w:szCs w:val="32"/>
        </w:rPr>
      </w:pPr>
    </w:p>
    <w:p>
      <w:pPr>
        <w:pStyle w:val="379"/>
        <w:overflowPunct w:val="0"/>
        <w:adjustRightInd w:val="0"/>
        <w:snapToGrid w:val="0"/>
        <w:rPr>
          <w:rFonts w:ascii="仿宋_GB2312" w:cs="仿宋_GB2312" w:hint="eastAsia"/>
          <w:szCs w:val="32"/>
        </w:rPr>
      </w:pPr>
      <w:r>
        <w:rPr>
          <w:rFonts w:ascii="仿宋_GB2312" w:cs="仿宋_GB2312" w:hint="eastAsia"/>
          <w:b/>
          <w:szCs w:val="32"/>
        </w:rPr>
        <w:t>提升海水浴场环境质量。</w:t>
      </w:r>
      <w:r>
        <w:rPr>
          <w:rFonts w:ascii="仿宋_GB2312" w:cs="仿宋_GB2312" w:hint="eastAsia"/>
          <w:szCs w:val="32"/>
        </w:rPr>
        <w:t>利用无人机、卫星遥感、高清监控摄像、人工巡查等手段，强化岸线和海域监视监管，全面排查整治海水浴场、滨海旅游度假区周边入海污染源、海岸带“四乱”（乱占、乱采、乱堆、乱建），坚决取缔非法和设置不合理排污口，全面整治非法码头，常态化排查、整治、清退影响海水浴场和沙滩环境质量的滨海养殖区。加强海水浴场水质、赤潮灾害等监测预警和信息发布，加大海洋环保宣传力度，保障公众亲海人身安全。2025年，沿海设区市重点海水浴场水质优良比例达到90%以上。</w:t>
      </w:r>
    </w:p>
    <w:p>
      <w:pPr>
        <w:pStyle w:val="379"/>
        <w:overflowPunct w:val="0"/>
        <w:adjustRightInd w:val="0"/>
        <w:snapToGrid w:val="0"/>
        <w:rPr>
          <w:rFonts w:ascii="仿宋_GB2312" w:cs="Times New Roman" w:hint="eastAsia"/>
          <w:bCs/>
          <w:szCs w:val="32"/>
        </w:rPr>
      </w:pPr>
      <w:r>
        <w:rPr>
          <w:rFonts w:ascii="仿宋_GB2312" w:cs="Times New Roman" w:hint="eastAsia"/>
          <w:b/>
          <w:szCs w:val="32"/>
        </w:rPr>
        <w:t>开展海漂垃圾综合治理。</w:t>
      </w:r>
      <w:r>
        <w:rPr>
          <w:rFonts w:ascii="仿宋_GB2312" w:cs="Times New Roman" w:hint="eastAsia"/>
          <w:bCs/>
          <w:szCs w:val="32"/>
        </w:rPr>
        <w:t>建立完善“岸上管、流域拦、海面清”的海漂垃圾综合治理机制。夯实海漂垃圾分类减量化</w:t>
      </w:r>
      <w:r>
        <w:rPr>
          <w:rFonts w:ascii="仿宋_GB2312" w:cs="Times New Roman" w:hint="eastAsia"/>
          <w:bCs/>
          <w:szCs w:val="32"/>
          <w:lang w:eastAsia="zh-CN"/>
        </w:rPr>
        <w:t>基础</w:t>
      </w:r>
      <w:r>
        <w:rPr>
          <w:rFonts w:ascii="仿宋_GB2312" w:cs="Times New Roman" w:hint="eastAsia"/>
          <w:bCs/>
          <w:szCs w:val="32"/>
        </w:rPr>
        <w:t>，加强海漂垃圾的源头管控和治理。加强巡河管护，严控陆源垃圾入海。强化海上垃圾行业治理，以渔排渔船渔港为重点，推进渔业垃圾减量化，加快海上养殖转型升级，督促引导养殖、捕捞渔船配备垃圾收储装置，做好渔港环境清洁整治和水域日常保洁。加快建设完善海湾沿岸、河流两岸镇村垃圾收集、转运设施，完善</w:t>
      </w:r>
      <w:r>
        <w:rPr>
          <w:rFonts w:ascii="仿宋_GB2312" w:cs="Times New Roman" w:hint="eastAsia"/>
          <w:bCs/>
          <w:szCs w:val="32"/>
          <w:lang w:eastAsia="zh-CN"/>
        </w:rPr>
        <w:t>海上环卫</w:t>
      </w:r>
      <w:r>
        <w:rPr>
          <w:rFonts w:ascii="仿宋_GB2312" w:cs="Times New Roman" w:hint="eastAsia"/>
          <w:bCs/>
          <w:szCs w:val="32"/>
        </w:rPr>
        <w:t>配套基础设施，在海上养殖集中区、重点渔港区，规范选址建设一批环卫船舶靠泊点和上岸垃圾集中堆场。规范处置上岸垃圾，构建完整的海漂垃圾收集、打捞、运输、处理体系，持续推进海漂垃圾清理和分类整治。引导公众有序参与净滩净海公益活动，推动社会共治。</w:t>
      </w:r>
    </w:p>
    <w:p>
      <w:pPr>
        <w:snapToGrid w:val="0"/>
        <w:rPr>
          <w:rFonts w:ascii="Calibri" w:cs="Arial" w:hAnsi="Calibri"/>
          <w:b/>
          <w:sz w:val="32"/>
          <w:szCs w:val="32"/>
        </w:rPr>
      </w:pPr>
      <w:bookmarkStart w:id="327" w:name="_Toc15783"/>
      <w:bookmarkStart w:id="328" w:name="_Toc32577"/>
      <w:bookmarkStart w:id="329" w:name="_Toc26253"/>
      <w:bookmarkStart w:id="330" w:name="_Toc16551"/>
      <w:bookmarkStart w:id="331" w:name="_Toc6250"/>
    </w:p>
    <w:p>
      <w:pPr>
        <w:pStyle w:val="404"/>
        <w:overflowPunct w:val="0"/>
        <w:adjustRightInd w:val="0"/>
        <w:snapToGrid w:val="0"/>
        <w:spacing w:beforeLines="0" w:before="0" w:afterLines="0" w:after="0"/>
        <w:ind w:firstLineChars="0" w:firstLine="0"/>
        <w:rPr>
          <w:rFonts w:ascii="Times New Roman" w:cs="Times New Roman" w:hAnsi="Times New Roman" w:hint="eastAsia"/>
          <w:szCs w:val="32"/>
        </w:rPr>
      </w:pPr>
      <w:bookmarkStart w:id="332" w:name="_Toc18414"/>
      <w:bookmarkStart w:id="333" w:name="_Toc93504293"/>
      <w:bookmarkStart w:id="334" w:name="_Toc20795"/>
      <w:bookmarkStart w:id="335" w:name="_Toc7682"/>
      <w:r>
        <w:rPr>
          <w:rFonts w:ascii="Times New Roman" w:cs="Times New Roman" w:hAnsi="Times New Roman" w:hint="eastAsia"/>
          <w:szCs w:val="32"/>
        </w:rPr>
        <w:t>第三节 提升公众服务功能</w:t>
      </w:r>
      <w:bookmarkEnd w:id="327"/>
      <w:bookmarkEnd w:id="328"/>
      <w:bookmarkEnd w:id="329"/>
      <w:bookmarkEnd w:id="330"/>
      <w:bookmarkEnd w:id="331"/>
      <w:bookmarkEnd w:id="332"/>
      <w:bookmarkEnd w:id="333"/>
      <w:bookmarkEnd w:id="334"/>
      <w:bookmarkEnd w:id="335"/>
    </w:p>
    <w:p>
      <w:pPr>
        <w:snapToGrid w:val="0"/>
        <w:rPr>
          <w:rFonts w:ascii="Calibri" w:cs="Arial" w:hAnsi="Calibri"/>
          <w:b w:val="0"/>
          <w:sz w:val="32"/>
          <w:szCs w:val="32"/>
        </w:rPr>
      </w:pPr>
    </w:p>
    <w:p>
      <w:pPr>
        <w:pStyle w:val="379"/>
        <w:overflowPunct w:val="0"/>
        <w:adjustRightInd w:val="0"/>
        <w:snapToGrid w:val="0"/>
        <w:rPr>
          <w:rFonts w:ascii="仿宋_GB2312" w:cs="Times New Roman" w:hint="eastAsia"/>
          <w:b/>
          <w:bCs/>
          <w:szCs w:val="32"/>
        </w:rPr>
      </w:pPr>
      <w:r>
        <w:rPr>
          <w:rFonts w:ascii="仿宋_GB2312" w:cs="Times New Roman" w:hint="eastAsia"/>
          <w:b/>
          <w:szCs w:val="32"/>
        </w:rPr>
        <w:t>实施</w:t>
      </w:r>
      <w:r>
        <w:rPr>
          <w:rFonts w:ascii="仿宋_GB2312" w:cs="Times New Roman" w:hint="eastAsia"/>
          <w:b/>
          <w:szCs w:val="32"/>
          <w:lang w:eastAsia="zh-CN"/>
        </w:rPr>
        <w:t>海</w:t>
      </w:r>
      <w:r>
        <w:rPr>
          <w:rFonts w:ascii="仿宋_GB2312" w:cs="Times New Roman" w:hint="eastAsia"/>
          <w:b/>
          <w:szCs w:val="32"/>
        </w:rPr>
        <w:t>岸带美化提升工程。</w:t>
      </w:r>
      <w:r>
        <w:rPr>
          <w:szCs w:val="32"/>
        </w:rPr>
        <w:t>依托滨海湿地公园、生态廊道、滨海</w:t>
      </w:r>
      <w:r>
        <w:rPr>
          <w:rFonts w:hint="eastAsia"/>
          <w:szCs w:val="32"/>
        </w:rPr>
        <w:t>步</w:t>
      </w:r>
      <w:r>
        <w:rPr>
          <w:szCs w:val="32"/>
        </w:rPr>
        <w:t>道等自然景观，构建通山达海、城海相融的亲海风景体系。</w:t>
      </w:r>
      <w:r>
        <w:rPr>
          <w:rFonts w:ascii="仿宋_GB2312" w:cs="Times New Roman" w:hint="eastAsia"/>
          <w:bCs/>
          <w:szCs w:val="32"/>
        </w:rPr>
        <w:t>开展陆域景观绿化，海域沿岸生态化修复、沙滩养护与修复、红树林种植、滨海湿地建设、景观设施建设等亲海空间生态整治修复工作</w:t>
      </w:r>
      <w:r>
        <w:rPr>
          <w:rFonts w:ascii="仿宋_GB2312" w:cs="Times New Roman" w:hint="eastAsia"/>
          <w:szCs w:val="32"/>
        </w:rPr>
        <w:t>，推进滨海风景道和浪漫海岸线建设，打造美丽海岸带。2025年底前，沿海设区市和平潭综合实验区各建设1个以上滨海沙滩景观带样板。</w:t>
      </w:r>
    </w:p>
    <w:p>
      <w:pPr>
        <w:pStyle w:val="379"/>
        <w:overflowPunct w:val="0"/>
        <w:adjustRightInd w:val="0"/>
        <w:snapToGrid w:val="0"/>
        <w:rPr>
          <w:rFonts w:ascii="仿宋_GB2312" w:cs="Times New Roman" w:hint="eastAsia"/>
          <w:szCs w:val="32"/>
        </w:rPr>
      </w:pPr>
      <w:r>
        <w:rPr>
          <w:rFonts w:ascii="仿宋_GB2312" w:cs="Times New Roman" w:hint="eastAsia"/>
          <w:b/>
          <w:bCs/>
          <w:szCs w:val="32"/>
        </w:rPr>
        <w:t>完善亲海配套设施建设。</w:t>
      </w:r>
      <w:r>
        <w:rPr>
          <w:szCs w:val="32"/>
        </w:rPr>
        <w:t>坚持</w:t>
      </w:r>
      <w:r>
        <w:rPr>
          <w:rFonts w:ascii="仿宋_GB2312" w:cs="仿宋_GB2312" w:hint="eastAsia"/>
          <w:szCs w:val="32"/>
        </w:rPr>
        <w:t>“亲海”而不“侵海”，</w:t>
      </w:r>
      <w:r>
        <w:rPr>
          <w:rFonts w:ascii="仿宋_GB2312" w:cs="Times New Roman" w:hint="eastAsia"/>
          <w:szCs w:val="32"/>
        </w:rPr>
        <w:t>加大公众亲海空间公共服务设施建设力度，合理安排公共基础设施建设，打造多样化公众亲海平台。完善配套环保基础设施建设，提供座椅、避雨亭、淡水池、公共厕所等休憩和卫生设施，设置标识标志，提升公众亲海体验。加强海洋民俗、渔家文化等海洋文明传承，形成一批海洋文化景点、海洋文化产业，彰显海洋特色，提升亲海文化品质，打造环境优美、休闲游憩的绿色新海岸线，拓展亲海空间和公共服务功能。</w:t>
      </w:r>
    </w:p>
    <w:p>
      <w:pPr>
        <w:pStyle w:val="379"/>
        <w:overflowPunct w:val="0"/>
        <w:adjustRightInd w:val="0"/>
        <w:snapToGrid w:val="0"/>
        <w:rPr>
          <w:rFonts w:ascii="仿宋_GB2312" w:cs="Times New Roman" w:hint="eastAsia"/>
          <w:szCs w:val="32"/>
        </w:rPr>
      </w:pPr>
    </w:p>
    <w:p>
      <w:pPr>
        <w:pStyle w:val="379"/>
        <w:overflowPunct w:val="0"/>
        <w:adjustRightInd w:val="0"/>
        <w:snapToGrid w:val="0"/>
        <w:ind w:firstLineChars="62" w:firstLine="198"/>
        <w:rPr>
          <w:rFonts w:ascii="仿宋_GB2312" w:cs="Times New Roman" w:hint="eastAsia"/>
          <w:szCs w:val="32"/>
        </w:rPr>
      </w:pPr>
      <w:bookmarkEnd w:id="316"/>
      <w:bookmarkEnd w:id="317"/>
      <w:r>
        <w:rPr>
          <w:rFonts w:ascii="仿宋_GB2312" w:cs="Times New Roman" w:hint="eastAsia"/>
          <w:szCs w:val="32"/>
        </w:rPr>
        <mc:AlternateContent>
          <mc:Choice Requires="wps">
            <w:drawing>
              <wp:inline distT="0" distB="0" distL="114298" distR="114298">
                <wp:extent cx="5274310" cy="6811009"/>
                <wp:effectExtent l="0" t="0" r="0" b="0"/>
                <wp:docPr id="13" name="矩形"/>
                <wp:cNvGraphicFramePr>
                  <a:graphicFrameLocks noChangeAspect="0"/>
                </wp:cNvGraphicFramePr>
                <a:graphic>
                  <a:graphicData uri="http://schemas.microsoft.com/office/word/2010/wordprocessingShape">
                    <wps:wsp>
                      <wps:cNvSpPr/>
                      <wps:spPr>
                        <a:xfrm rot="0">
                          <a:off x="0" y="0"/>
                          <a:ext cx="5274310" cy="6811009"/>
                        </a:xfrm>
                        <a:prstGeom prst="rect"/>
                        <a:solidFill>
                          <a:srgbClr val="FFFFFF"/>
                        </a:solidFill>
                        <a:ln w="9525" cmpd="sng" cap="flat">
                          <a:solidFill>
                            <a:srgbClr val="000000"/>
                          </a:solidFill>
                          <a:prstDash val="solid"/>
                          <a:miter/>
                        </a:ln>
                      </wps:spPr>
                      <wps:txbx id="14">
                        <w:txbxContent>
                          <w:p>
                            <w:pPr>
                              <w:overflowPunct w:val="0"/>
                              <w:adjustRightInd w:val="0"/>
                              <w:snapToGrid w:val="0"/>
                              <w:ind w:firstLineChars="0" w:firstLine="0"/>
                              <w:jc w:val="center"/>
                              <w:rPr>
                                <w:rFonts w:ascii="楷体_GB2312" w:eastAsia="楷体_GB2312" w:cs="楷体_GB2312" w:hint="eastAsia"/>
                                <w:b/>
                                <w:sz w:val="32"/>
                                <w:szCs w:val="32"/>
                              </w:rPr>
                            </w:pPr>
                            <w:bookmarkStart w:id="336" w:name="_Toc67501888"/>
                            <w:bookmarkStart w:id="337" w:name="_Toc67415984"/>
                            <w:r>
                              <w:rPr>
                                <w:rFonts w:ascii="楷体_GB2312" w:eastAsia="楷体_GB2312" w:cs="楷体_GB2312" w:hint="eastAsia"/>
                                <w:b/>
                                <w:sz w:val="32"/>
                                <w:szCs w:val="32"/>
                              </w:rPr>
                              <w:t>专栏三</w:t>
                            </w:r>
                            <w:bookmarkEnd w:id="336"/>
                            <w:bookmarkEnd w:id="337"/>
                            <w:r>
                              <w:rPr>
                                <w:rFonts w:ascii="楷体_GB2312" w:eastAsia="楷体_GB2312" w:cs="楷体_GB2312" w:hint="eastAsia"/>
                                <w:b/>
                                <w:sz w:val="32"/>
                                <w:szCs w:val="32"/>
                              </w:rPr>
                              <w:t xml:space="preserve"> 亲海岸滩“净滩净海”工程</w:t>
                            </w:r>
                          </w:p>
                          <w:p>
                            <w:pPr>
                              <w:adjustRightInd w:val="0"/>
                              <w:snapToGrid w:val="0"/>
                              <w:rPr>
                                <w:rFonts w:ascii="仿宋_GB2312" w:cs="仿宋_GB2312" w:hint="eastAsia"/>
                                <w:sz w:val="32"/>
                                <w:szCs w:val="32"/>
                              </w:rPr>
                            </w:pPr>
                            <w:r>
                              <w:rPr>
                                <w:rFonts w:ascii="仿宋_GB2312" w:cs="仿宋_GB2312" w:hint="eastAsia"/>
                                <w:sz w:val="32"/>
                                <w:szCs w:val="32"/>
                              </w:rPr>
                              <w:t>以沿海地级以上城市的城镇生活区、滨海旅游休闲娱乐区、海水浴场等区域为重点，开展50个以上公众亲海区的岸滩和海漂垃圾整治，打造清洁海湾、洁净海面。</w:t>
                            </w:r>
                          </w:p>
                          <w:p>
                            <w:pPr>
                              <w:adjustRightInd w:val="0"/>
                              <w:snapToGrid w:val="0"/>
                              <w:rPr>
                                <w:rFonts w:ascii="仿宋_GB2312" w:cs="仿宋_GB2312" w:hint="eastAsia"/>
                                <w:sz w:val="32"/>
                                <w:szCs w:val="32"/>
                              </w:rPr>
                            </w:pPr>
                            <w:r>
                              <w:rPr>
                                <w:rFonts w:ascii="仿宋_GB2312" w:cs="仿宋_GB2312" w:hint="eastAsia"/>
                                <w:sz w:val="32"/>
                                <w:szCs w:val="32"/>
                              </w:rPr>
                              <w:t>整治修复亲海岸滩，清退非法、不合理的海岸工程、海水养殖、入海排污口等，治理“脏、乱、差”的</w:t>
                            </w:r>
                            <w:r>
                              <w:rPr>
                                <w:rFonts w:ascii="仿宋_GB2312" w:cs="仿宋_GB2312" w:hint="eastAsia"/>
                                <w:sz w:val="32"/>
                                <w:szCs w:val="32"/>
                                <w:lang w:val="en-US" w:eastAsia="zh-CN"/>
                              </w:rPr>
                              <w:t>岸滩</w:t>
                            </w:r>
                            <w:r>
                              <w:rPr>
                                <w:rFonts w:ascii="仿宋_GB2312" w:cs="仿宋_GB2312" w:hint="eastAsia"/>
                                <w:sz w:val="32"/>
                                <w:szCs w:val="32"/>
                              </w:rPr>
                              <w:t>，整治修复沙滩，提升海水浴场水质。</w:t>
                            </w:r>
                          </w:p>
                          <w:p>
                            <w:pPr>
                              <w:adjustRightInd w:val="0"/>
                              <w:snapToGrid w:val="0"/>
                              <w:rPr>
                                <w:rFonts w:ascii="仿宋_GB2312" w:cs="仿宋_GB2312" w:hint="eastAsia"/>
                                <w:sz w:val="32"/>
                                <w:szCs w:val="32"/>
                              </w:rPr>
                            </w:pPr>
                            <w:r>
                              <w:rPr>
                                <w:rFonts w:ascii="仿宋_GB2312" w:cs="仿宋_GB2312" w:hint="eastAsia"/>
                                <w:sz w:val="32"/>
                                <w:szCs w:val="32"/>
                              </w:rPr>
                              <w:t>完善公众亲海公共服务功能，推进配套环保基础设施、公共服务设施等基础设施建设，开展公众亲海区环境监测预报和信息发布，开展避雨亭、冲水点、公共标识标志等公共基础设施建设，提升亲海空间品质和公共服务功能。</w:t>
                            </w:r>
                          </w:p>
                          <w:p>
                            <w:pPr>
                              <w:adjustRightInd w:val="0"/>
                              <w:snapToGrid w:val="0"/>
                              <w:rPr>
                                <w:rFonts w:ascii="仿宋_GB2312" w:cs="仿宋_GB2312" w:hint="eastAsia"/>
                                <w:sz w:val="32"/>
                                <w:szCs w:val="32"/>
                              </w:rPr>
                            </w:pPr>
                            <w:r>
                              <w:rPr>
                                <w:rFonts w:ascii="仿宋_GB2312" w:cs="仿宋_GB2312" w:hint="eastAsia"/>
                                <w:sz w:val="32"/>
                                <w:szCs w:val="32"/>
                              </w:rPr>
                              <w:t>实施海漂垃圾综合治理工程。对入海口、养殖集中区、滨海旅游度假区等重点岸段，开展定期随机抽查，强化海漂垃圾源头管控。建立海上环卫机制，每个沿海设区市和平潭综合实验区以市场化形式建成1支以上专业化海上环卫队伍，加强高效率打捞船舶配备，健全海漂垃圾综合治理长效机制。</w:t>
                            </w:r>
                          </w:p>
                        </w:txbxContent>
                      </wps:txbx>
                      <wps:bodyPr vert="horz" wrap="square" lIns="91440" tIns="45720" rIns="91440" bIns="45720" anchor="t" anchorCtr="0" upright="1">
                        <a:spAutoFit/>
                      </wps:bodyPr>
                    </wps:wsp>
                  </a:graphicData>
                </a:graphic>
              </wp:inline>
            </w:drawing>
          </mc:Choice>
          <mc:Fallback>
            <w:pict>
              <v:rect type="#_x0000_t1" id="矩形 15" o:spid="_x0000_s15" fillcolor="#FFFFFF" stroked="t" style="width:415.3pt;height:536.3pt;mso-wrap-style:square;">
                <v:stroke color="#000000"/>
                <v:textbox id="859" inset="2.54mm,1.27mm,2.54mm,1.27mm" o:insetmode="custom" style="layout-flow:horizontal;v-text-anchor:top;mso-fit-shape-to-text:t;">
                  <w:txbxContent>
                    <w:p>
                      <w:pPr>
                        <w:overflowPunct w:val="0"/>
                        <w:adjustRightInd w:val="0"/>
                        <w:snapToGrid w:val="0"/>
                        <w:ind w:firstLineChars="0" w:firstLine="0"/>
                        <w:jc w:val="center"/>
                        <w:rPr>
                          <w:rFonts w:ascii="楷体_GB2312" w:eastAsia="楷体_GB2312" w:cs="楷体_GB2312" w:hint="eastAsia"/>
                          <w:b/>
                          <w:sz w:val="32"/>
                          <w:szCs w:val="32"/>
                        </w:rPr>
                      </w:pPr>
                      <w:bookmarkStart w:id="336" w:name="_Toc67501888"/>
                      <w:bookmarkStart w:id="337" w:name="_Toc67415984"/>
                      <w:r>
                        <w:rPr>
                          <w:rFonts w:ascii="楷体_GB2312" w:eastAsia="楷体_GB2312" w:cs="楷体_GB2312" w:hint="eastAsia"/>
                          <w:b/>
                          <w:sz w:val="32"/>
                          <w:szCs w:val="32"/>
                        </w:rPr>
                        <w:t>专栏三</w:t>
                      </w:r>
                      <w:bookmarkEnd w:id="336"/>
                      <w:bookmarkEnd w:id="337"/>
                      <w:r>
                        <w:rPr>
                          <w:rFonts w:ascii="楷体_GB2312" w:eastAsia="楷体_GB2312" w:cs="楷体_GB2312" w:hint="eastAsia"/>
                          <w:b/>
                          <w:sz w:val="32"/>
                          <w:szCs w:val="32"/>
                        </w:rPr>
                        <w:t xml:space="preserve"> 亲海岸滩“净滩净海”工程</w:t>
                      </w:r>
                    </w:p>
                    <w:p>
                      <w:pPr>
                        <w:adjustRightInd w:val="0"/>
                        <w:snapToGrid w:val="0"/>
                        <w:rPr>
                          <w:rFonts w:ascii="仿宋_GB2312" w:cs="仿宋_GB2312" w:hint="eastAsia"/>
                          <w:sz w:val="32"/>
                          <w:szCs w:val="32"/>
                        </w:rPr>
                      </w:pPr>
                      <w:r>
                        <w:rPr>
                          <w:rFonts w:ascii="仿宋_GB2312" w:cs="仿宋_GB2312" w:hint="eastAsia"/>
                          <w:sz w:val="32"/>
                          <w:szCs w:val="32"/>
                        </w:rPr>
                        <w:t>以沿海地级以上城市的城镇生活区、滨海旅游休闲娱乐区、海水浴场等区域为重点，开展50个以上公众亲海区的岸滩和海漂垃圾整治，打造清洁海湾、洁净海面。</w:t>
                      </w:r>
                    </w:p>
                    <w:p>
                      <w:pPr>
                        <w:adjustRightInd w:val="0"/>
                        <w:snapToGrid w:val="0"/>
                        <w:rPr>
                          <w:rFonts w:ascii="仿宋_GB2312" w:cs="仿宋_GB2312" w:hint="eastAsia"/>
                          <w:sz w:val="32"/>
                          <w:szCs w:val="32"/>
                        </w:rPr>
                      </w:pPr>
                      <w:r>
                        <w:rPr>
                          <w:rFonts w:ascii="仿宋_GB2312" w:cs="仿宋_GB2312" w:hint="eastAsia"/>
                          <w:sz w:val="32"/>
                          <w:szCs w:val="32"/>
                        </w:rPr>
                        <w:t>整治修复亲海岸滩，清退非法、不合理的海岸工程、海水养殖、入海排污口等，治理“脏、乱、差”的</w:t>
                      </w:r>
                      <w:r>
                        <w:rPr>
                          <w:rFonts w:ascii="仿宋_GB2312" w:cs="仿宋_GB2312" w:hint="eastAsia"/>
                          <w:sz w:val="32"/>
                          <w:szCs w:val="32"/>
                          <w:lang w:val="en-US" w:eastAsia="zh-CN"/>
                        </w:rPr>
                        <w:t>岸滩</w:t>
                      </w:r>
                      <w:r>
                        <w:rPr>
                          <w:rFonts w:ascii="仿宋_GB2312" w:cs="仿宋_GB2312" w:hint="eastAsia"/>
                          <w:sz w:val="32"/>
                          <w:szCs w:val="32"/>
                        </w:rPr>
                        <w:t>，整治修复沙滩，提升海水浴场水质。</w:t>
                      </w:r>
                    </w:p>
                    <w:p>
                      <w:pPr>
                        <w:adjustRightInd w:val="0"/>
                        <w:snapToGrid w:val="0"/>
                        <w:rPr>
                          <w:rFonts w:ascii="仿宋_GB2312" w:cs="仿宋_GB2312" w:hint="eastAsia"/>
                          <w:sz w:val="32"/>
                          <w:szCs w:val="32"/>
                        </w:rPr>
                      </w:pPr>
                      <w:r>
                        <w:rPr>
                          <w:rFonts w:ascii="仿宋_GB2312" w:cs="仿宋_GB2312" w:hint="eastAsia"/>
                          <w:sz w:val="32"/>
                          <w:szCs w:val="32"/>
                        </w:rPr>
                        <w:t>完善公众亲海公共服务功能，推进配套环保基础设施、公共服务设施等基础设施建设，开展公众亲海区环境监测预报和信息发布，开展避雨亭、冲水点、公共标识标志等公共基础设施建设，提升亲海空间品质和公共服务功能。</w:t>
                      </w:r>
                    </w:p>
                    <w:p>
                      <w:pPr>
                        <w:adjustRightInd w:val="0"/>
                        <w:snapToGrid w:val="0"/>
                        <w:rPr>
                          <w:rFonts w:ascii="仿宋_GB2312" w:cs="仿宋_GB2312" w:hint="eastAsia"/>
                          <w:sz w:val="32"/>
                          <w:szCs w:val="32"/>
                        </w:rPr>
                      </w:pPr>
                      <w:r>
                        <w:rPr>
                          <w:rFonts w:ascii="仿宋_GB2312" w:cs="仿宋_GB2312" w:hint="eastAsia"/>
                          <w:sz w:val="32"/>
                          <w:szCs w:val="32"/>
                        </w:rPr>
                        <w:t>实施海漂垃圾综合治理工程。对入海口、养殖集中区、滨海旅游度假区等重点岸段，开展定期随机抽查，强化海漂垃圾源头管控。建立海上环卫机制，每个沿海设区市和平潭综合实验区以市场化形式建成1支以上专业化海上环卫队伍，加强高效率打捞船舶配备，健全海漂垃圾综合治理长效机制。</w:t>
                      </w:r>
                    </w:p>
                  </w:txbxContent>
                </v:textbox>
                <w10:anchorLock/>
              </v:rect>
            </w:pict>
          </mc:Fallback>
        </mc:AlternateContent>
      </w:r>
    </w:p>
    <w:p>
      <w:pPr>
        <w:pStyle w:val="403"/>
        <w:overflowPunct w:val="0"/>
        <w:snapToGrid w:val="0"/>
        <w:spacing w:beforeLines="0" w:before="0" w:afterLines="0" w:after="0"/>
        <w:rPr>
          <w:szCs w:val="32"/>
        </w:rPr>
      </w:pPr>
      <w:r>
        <w:rPr>
          <w:szCs w:val="32"/>
        </w:rPr>
        <w:br w:type="page"/>
      </w:r>
      <w:bookmarkStart w:id="338" w:name="_Toc168"/>
      <w:bookmarkStart w:id="339" w:name="_Toc21785"/>
      <w:bookmarkStart w:id="340" w:name="_Toc24620"/>
      <w:bookmarkStart w:id="341" w:name="_Toc11237"/>
      <w:bookmarkStart w:id="342" w:name="_Toc17412"/>
      <w:bookmarkStart w:id="343" w:name="_Toc20575"/>
      <w:bookmarkStart w:id="344" w:name="_Toc87460068"/>
      <w:bookmarkStart w:id="345" w:name="_Toc21312"/>
      <w:bookmarkStart w:id="346" w:name="_Toc22822"/>
      <w:bookmarkStart w:id="347" w:name="_Toc93504294"/>
      <w:bookmarkStart w:id="348" w:name="_Toc20537"/>
      <w:r>
        <w:rPr>
          <w:rFonts w:hint="eastAsia"/>
          <w:szCs w:val="32"/>
        </w:rPr>
        <w:t>第七章 健全风险防控，提升海洋环境风险应急能力</w:t>
      </w:r>
      <w:bookmarkEnd w:id="338"/>
      <w:bookmarkEnd w:id="339"/>
      <w:bookmarkEnd w:id="340"/>
      <w:bookmarkEnd w:id="341"/>
      <w:bookmarkEnd w:id="342"/>
      <w:bookmarkEnd w:id="343"/>
      <w:bookmarkEnd w:id="344"/>
      <w:bookmarkEnd w:id="345"/>
      <w:bookmarkEnd w:id="346"/>
      <w:bookmarkEnd w:id="347"/>
      <w:bookmarkEnd w:id="348"/>
    </w:p>
    <w:p>
      <w:pPr>
        <w:pStyle w:val="379"/>
        <w:adjustRightInd w:val="0"/>
        <w:snapToGrid w:val="0"/>
        <w:rPr>
          <w:rFonts w:ascii="仿宋_GB2312" w:cs="Times New Roman" w:hint="eastAsia"/>
          <w:szCs w:val="32"/>
        </w:rPr>
      </w:pPr>
    </w:p>
    <w:p>
      <w:pPr>
        <w:pStyle w:val="379"/>
        <w:adjustRightInd w:val="0"/>
        <w:snapToGrid w:val="0"/>
        <w:rPr>
          <w:rFonts w:ascii="仿宋_GB2312" w:cs="Times New Roman" w:hint="eastAsia"/>
          <w:szCs w:val="32"/>
        </w:rPr>
      </w:pPr>
      <w:r>
        <w:rPr>
          <w:rFonts w:ascii="仿宋_GB2312" w:cs="Times New Roman" w:hint="eastAsia"/>
          <w:szCs w:val="32"/>
        </w:rPr>
        <w:t>牢固树立环境安全底线思维，强化海洋环境风险防控，构建环境风险常态化监管体系，提升海上溢油及化学品泄漏突发环境事件应急处置能力建设，加强海洋放射性安全监管，建立海洋环境风险损害赔偿制度，健全海洋环境应急体系，有效防范和化解海洋环境风险。</w:t>
      </w:r>
    </w:p>
    <w:p>
      <w:pPr>
        <w:pStyle w:val="379"/>
        <w:adjustRightInd w:val="0"/>
        <w:snapToGrid w:val="0"/>
        <w:rPr>
          <w:rFonts w:ascii="仿宋_GB2312" w:cs="Times New Roman" w:hint="eastAsia"/>
          <w:szCs w:val="32"/>
        </w:rPr>
      </w:pPr>
    </w:p>
    <w:p>
      <w:pPr>
        <w:pStyle w:val="404"/>
        <w:overflowPunct w:val="0"/>
        <w:adjustRightInd w:val="0"/>
        <w:snapToGrid w:val="0"/>
        <w:spacing w:beforeLines="0" w:before="0" w:afterLines="0" w:after="0"/>
        <w:ind w:firstLineChars="0" w:firstLine="0"/>
        <w:rPr>
          <w:rFonts w:ascii="Times New Roman" w:cs="Times New Roman" w:hAnsi="Times New Roman" w:hint="eastAsia"/>
          <w:szCs w:val="32"/>
        </w:rPr>
      </w:pPr>
      <w:bookmarkStart w:id="349" w:name="_Toc19725"/>
      <w:bookmarkStart w:id="350" w:name="_Toc20158"/>
      <w:bookmarkStart w:id="351" w:name="_Toc18984"/>
      <w:bookmarkStart w:id="352" w:name="_Toc7202"/>
      <w:bookmarkStart w:id="353" w:name="_Toc1047"/>
      <w:bookmarkStart w:id="354" w:name="_Toc7948"/>
      <w:bookmarkStart w:id="355" w:name="_Toc8037"/>
      <w:bookmarkStart w:id="356" w:name="_Toc93504295"/>
      <w:bookmarkStart w:id="357" w:name="_Toc21511"/>
      <w:r>
        <w:rPr>
          <w:rFonts w:ascii="Times New Roman" w:cs="Times New Roman" w:hAnsi="Times New Roman" w:hint="eastAsia"/>
          <w:szCs w:val="32"/>
        </w:rPr>
        <w:t>第一节 加强海洋环境风险源头防范</w:t>
      </w:r>
      <w:bookmarkEnd w:id="349"/>
      <w:bookmarkEnd w:id="350"/>
      <w:bookmarkEnd w:id="351"/>
      <w:bookmarkEnd w:id="352"/>
      <w:bookmarkEnd w:id="353"/>
      <w:bookmarkEnd w:id="354"/>
      <w:bookmarkEnd w:id="355"/>
      <w:bookmarkEnd w:id="356"/>
      <w:bookmarkEnd w:id="357"/>
    </w:p>
    <w:p>
      <w:pPr>
        <w:pStyle w:val="379"/>
        <w:overflowPunct w:val="0"/>
        <w:adjustRightInd w:val="0"/>
        <w:snapToGrid w:val="0"/>
        <w:rPr>
          <w:rFonts w:ascii="仿宋_GB2312" w:cs="Times New Roman" w:hint="eastAsia"/>
          <w:b/>
          <w:bCs/>
          <w:szCs w:val="32"/>
        </w:rPr>
      </w:pPr>
    </w:p>
    <w:p>
      <w:pPr>
        <w:pStyle w:val="379"/>
        <w:overflowPunct w:val="0"/>
        <w:adjustRightInd w:val="0"/>
        <w:snapToGrid w:val="0"/>
        <w:rPr>
          <w:rFonts w:ascii="仿宋_GB2312" w:cs="Times New Roman" w:hint="eastAsia"/>
          <w:szCs w:val="32"/>
        </w:rPr>
      </w:pPr>
      <w:r>
        <w:rPr>
          <w:rFonts w:ascii="仿宋_GB2312" w:cs="Times New Roman" w:hint="eastAsia"/>
          <w:b/>
          <w:bCs/>
          <w:szCs w:val="32"/>
        </w:rPr>
        <w:t>强化涉海重点区域环境风险防控。</w:t>
      </w:r>
      <w:r>
        <w:rPr>
          <w:rFonts w:ascii="仿宋_GB2312" w:cs="Times New Roman" w:hint="eastAsia"/>
          <w:szCs w:val="32"/>
        </w:rPr>
        <w:t>在赤潮高发区、油气储运、危化品港口码头与仓储区、海洋生态敏感区等重点区域开展海洋环境风险源排查和综合风险评估，建立涉海风险源清单和管理台账。持续对古雷</w:t>
      </w:r>
      <w:r>
        <w:rPr>
          <w:rFonts w:ascii="仿宋_GB2312" w:cs="Times New Roman" w:hint="eastAsia"/>
          <w:szCs w:val="32"/>
          <w:lang w:eastAsia="zh-CN"/>
        </w:rPr>
        <w:t>石化基地</w:t>
      </w:r>
      <w:r>
        <w:rPr>
          <w:rFonts w:ascii="仿宋_GB2312" w:cs="Times New Roman" w:hint="eastAsia"/>
          <w:szCs w:val="32"/>
        </w:rPr>
        <w:t>、湄洲湾</w:t>
      </w:r>
      <w:r>
        <w:rPr>
          <w:rFonts w:ascii="仿宋_GB2312" w:cs="Times New Roman" w:hint="eastAsia"/>
          <w:szCs w:val="32"/>
          <w:lang w:eastAsia="zh-CN"/>
        </w:rPr>
        <w:t>石化基地</w:t>
      </w:r>
      <w:r>
        <w:rPr>
          <w:rFonts w:ascii="仿宋_GB2312" w:cs="Times New Roman" w:hint="eastAsia"/>
          <w:szCs w:val="32"/>
        </w:rPr>
        <w:t>等重点临海石化基地，江阴化工新材料专区、连江可门化工新材料产业园等临海化工产业园区，古雷港区、江阴港区等涉及危化品运输的港口码头，开展突发环境事件应急预案制修编和备案工作。定期开展重点海域环境质量跟踪监测、应急演练和评估工作，建立重点化工园区环境风险预警平台，提高陆海联动的污染事故应急处理能力。</w:t>
      </w:r>
    </w:p>
    <w:p>
      <w:pPr>
        <w:snapToGrid w:val="0"/>
        <w:rPr>
          <w:rFonts w:eastAsia="楷体_GB2312"/>
          <w:b/>
          <w:bCs/>
          <w:sz w:val="32"/>
          <w:szCs w:val="32"/>
        </w:rPr>
      </w:pPr>
      <w:r>
        <w:rPr>
          <w:rFonts w:ascii="仿宋_GB2312" w:cs="仿宋_GB2312" w:hint="eastAsia"/>
          <w:b/>
          <w:sz w:val="32"/>
          <w:szCs w:val="32"/>
        </w:rPr>
        <w:t>构建风险预警防控与监管体系。</w:t>
      </w:r>
      <w:r>
        <w:rPr>
          <w:rFonts w:ascii="仿宋_GB2312" w:cs="仿宋_GB2312" w:hint="eastAsia"/>
          <w:sz w:val="32"/>
          <w:szCs w:val="32"/>
        </w:rPr>
        <w:t>健全完善覆盖近岸海域的环境风险防范体系，加强</w:t>
      </w:r>
      <w:r>
        <w:rPr>
          <w:rFonts w:ascii="仿宋_GB2312" w:cs="仿宋_GB2312" w:hint="eastAsia"/>
          <w:bCs/>
          <w:sz w:val="32"/>
          <w:szCs w:val="32"/>
        </w:rPr>
        <w:t>沿海石化、危化品码头、石油平台、海上船舶、核电等重点领域环境风险的</w:t>
      </w:r>
      <w:r>
        <w:rPr>
          <w:rFonts w:ascii="仿宋_GB2312" w:cs="仿宋_GB2312" w:hint="eastAsia"/>
          <w:sz w:val="32"/>
          <w:szCs w:val="32"/>
        </w:rPr>
        <w:t>事前监管与防控，加强污染物泄漏预警预报设施建设。定期开展重点涉海环境风险源专项执法检查，对存在风险隐患企业，停产整顿、限期整改。加强</w:t>
      </w:r>
      <w:r>
        <w:rPr>
          <w:rFonts w:ascii="仿宋_GB2312" w:cs="仿宋_GB2312" w:hint="eastAsia"/>
          <w:sz w:val="32"/>
          <w:szCs w:val="32"/>
          <w:lang w:eastAsia="zh-CN"/>
        </w:rPr>
        <w:t>“</w:t>
      </w:r>
      <w:r>
        <w:rPr>
          <w:rFonts w:ascii="仿宋_GB2312" w:cs="仿宋_GB2312" w:hint="eastAsia"/>
          <w:sz w:val="32"/>
          <w:szCs w:val="32"/>
        </w:rPr>
        <w:t>互联网+</w:t>
      </w:r>
      <w:r>
        <w:rPr>
          <w:rFonts w:ascii="仿宋_GB2312" w:cs="仿宋_GB2312" w:hint="eastAsia"/>
          <w:sz w:val="32"/>
          <w:szCs w:val="32"/>
          <w:lang w:eastAsia="zh-CN"/>
        </w:rPr>
        <w:t>”</w:t>
      </w:r>
      <w:r>
        <w:rPr>
          <w:rFonts w:ascii="仿宋_GB2312" w:cs="仿宋_GB2312" w:hint="eastAsia"/>
          <w:sz w:val="32"/>
          <w:szCs w:val="32"/>
        </w:rPr>
        <w:t>、大数据、无人机等高新技术应用，建立海洋环境风险动态管控平台和监视监测系统，加强重点区域全天候、立体化风险监视监控能力建设，提高海洋生态灾害和重大环境风险防控效率。2023年底前，全省沿海地区完成海洋环境风险源排查。</w:t>
      </w:r>
    </w:p>
    <w:p>
      <w:pPr>
        <w:snapToGrid w:val="0"/>
        <w:rPr>
          <w:rFonts w:ascii="Calibri" w:cs="Arial" w:hAnsi="Calibri"/>
          <w:b/>
          <w:sz w:val="32"/>
          <w:szCs w:val="32"/>
        </w:rPr>
      </w:pPr>
      <w:bookmarkStart w:id="358" w:name="_Toc20523"/>
      <w:bookmarkStart w:id="359" w:name="_Toc11436"/>
      <w:bookmarkStart w:id="360" w:name="_Toc25612"/>
      <w:bookmarkStart w:id="361" w:name="_Toc22762"/>
      <w:bookmarkStart w:id="362" w:name="_Toc17449"/>
    </w:p>
    <w:p>
      <w:pPr>
        <w:pStyle w:val="404"/>
        <w:overflowPunct w:val="0"/>
        <w:adjustRightInd w:val="0"/>
        <w:snapToGrid w:val="0"/>
        <w:spacing w:beforeLines="0" w:before="0" w:afterLines="0" w:after="0"/>
        <w:ind w:firstLineChars="0" w:firstLine="0"/>
        <w:rPr>
          <w:rFonts w:ascii="Times New Roman" w:cs="Times New Roman" w:hAnsi="Times New Roman" w:hint="eastAsia"/>
          <w:szCs w:val="32"/>
        </w:rPr>
      </w:pPr>
      <w:bookmarkStart w:id="363" w:name="_Toc27390"/>
      <w:bookmarkStart w:id="364" w:name="_Toc93504296"/>
      <w:bookmarkStart w:id="365" w:name="_Toc7422"/>
      <w:bookmarkStart w:id="366" w:name="_Toc22814"/>
      <w:r>
        <w:rPr>
          <w:rFonts w:ascii="Times New Roman" w:cs="Times New Roman" w:hAnsi="Times New Roman" w:hint="eastAsia"/>
          <w:szCs w:val="32"/>
        </w:rPr>
        <w:t>第二节 强化应急响应协同处置能力建设</w:t>
      </w:r>
      <w:bookmarkEnd w:id="358"/>
      <w:bookmarkEnd w:id="359"/>
      <w:bookmarkEnd w:id="360"/>
      <w:bookmarkEnd w:id="361"/>
      <w:bookmarkEnd w:id="362"/>
      <w:bookmarkEnd w:id="363"/>
      <w:bookmarkEnd w:id="364"/>
      <w:bookmarkEnd w:id="365"/>
      <w:bookmarkEnd w:id="366"/>
    </w:p>
    <w:p>
      <w:pPr>
        <w:pStyle w:val="379"/>
        <w:overflowPunct w:val="0"/>
        <w:adjustRightInd w:val="0"/>
        <w:snapToGrid w:val="0"/>
        <w:rPr>
          <w:rFonts w:ascii="仿宋_GB2312" w:cs="Times New Roman" w:hint="eastAsia"/>
          <w:b/>
          <w:szCs w:val="32"/>
        </w:rPr>
      </w:pPr>
    </w:p>
    <w:p>
      <w:pPr>
        <w:pStyle w:val="379"/>
        <w:overflowPunct w:val="0"/>
        <w:adjustRightInd w:val="0"/>
        <w:snapToGrid w:val="0"/>
        <w:rPr>
          <w:rFonts w:ascii="仿宋_GB2312" w:cs="Times New Roman" w:hint="eastAsia"/>
          <w:szCs w:val="32"/>
        </w:rPr>
      </w:pPr>
      <w:r>
        <w:rPr>
          <w:rFonts w:ascii="仿宋_GB2312" w:cs="Times New Roman" w:hint="eastAsia"/>
          <w:b/>
          <w:szCs w:val="32"/>
        </w:rPr>
        <w:t>建立海上溢油及化学品泄漏应急处置协作机制。</w:t>
      </w:r>
      <w:r>
        <w:rPr>
          <w:rFonts w:ascii="仿宋_GB2312" w:cs="Times New Roman" w:hint="eastAsia"/>
          <w:szCs w:val="32"/>
        </w:rPr>
        <w:t>搭建各级海上搜救中心与地方政府以及海事、应急、港口、交通运输、生态环境、海洋</w:t>
      </w:r>
      <w:r>
        <w:rPr>
          <w:rFonts w:ascii="仿宋_GB2312" w:cs="Times New Roman" w:hint="eastAsia"/>
          <w:szCs w:val="32"/>
          <w:lang w:eastAsia="zh-CN"/>
        </w:rPr>
        <w:t>渔业</w:t>
      </w:r>
      <w:r>
        <w:rPr>
          <w:rFonts w:ascii="仿宋_GB2312" w:cs="Times New Roman" w:hint="eastAsia"/>
          <w:szCs w:val="32"/>
        </w:rPr>
        <w:t>、海警、公安等成员单位之间的应急通信平台，建立完善海上溢油突发环境事件应急处置联动协作机制。进一步明确近岸海域、港口、海岸溢油及化学品泄漏污染治理责任主体，细化职责分工，有效推进各方落实主体责任。</w:t>
      </w:r>
    </w:p>
    <w:p>
      <w:pPr>
        <w:pStyle w:val="379"/>
        <w:overflowPunct w:val="0"/>
        <w:adjustRightInd w:val="0"/>
        <w:snapToGrid w:val="0"/>
        <w:rPr>
          <w:rFonts w:ascii="仿宋_GB2312" w:cs="Times New Roman"/>
          <w:szCs w:val="32"/>
        </w:rPr>
      </w:pPr>
      <w:r>
        <w:rPr>
          <w:rFonts w:ascii="仿宋_GB2312" w:cs="Times New Roman" w:hint="eastAsia"/>
          <w:b/>
          <w:szCs w:val="32"/>
        </w:rPr>
        <w:t>提升海洋突发环境事件应急处置能力建设。</w:t>
      </w:r>
      <w:r>
        <w:rPr>
          <w:rFonts w:ascii="仿宋_GB2312" w:cs="Times New Roman" w:hint="eastAsia"/>
          <w:szCs w:val="32"/>
        </w:rPr>
        <w:t>编制实施《福建省海上溢油应急预案》《福建省防治船舶及其有关作业活动污染海洋环境应急能力建设规划》，评估修订《福建海域船舶污染应急预案》，</w:t>
      </w:r>
      <w:r>
        <w:rPr>
          <w:rFonts w:ascii="仿宋_GB2312" w:cs="Times New Roman" w:hint="eastAsia"/>
          <w:bCs/>
          <w:szCs w:val="32"/>
        </w:rPr>
        <w:t>完善应急物资装备储备及保障体系，组建专业化海上溢油应急队伍，健全海上溢油监视监测系统，</w:t>
      </w:r>
      <w:r>
        <w:rPr>
          <w:rFonts w:ascii="仿宋_GB2312" w:cs="Times New Roman" w:hint="eastAsia"/>
          <w:szCs w:val="32"/>
        </w:rPr>
        <w:t>提升海上船舶溢油风险事故防范能力</w:t>
      </w:r>
      <w:r>
        <w:rPr>
          <w:rFonts w:ascii="仿宋_GB2312" w:cs="Times New Roman" w:hint="eastAsia"/>
          <w:bCs/>
          <w:szCs w:val="32"/>
        </w:rPr>
        <w:t>。</w:t>
      </w:r>
      <w:r>
        <w:rPr>
          <w:rFonts w:ascii="仿宋_GB2312" w:cs="Times New Roman" w:hint="eastAsia"/>
          <w:szCs w:val="32"/>
        </w:rPr>
        <w:t>福州、宁德、莆田等地新建海上溢油应急设备库，配置大型专业溢油应急处置船舶，拓展船舶溢油设备库和船舶污染清除单位功能。漳州、泉州、厦门等溢油应急设备库增配危化品应急设备，增加危化品应急处置功能。加强海洋生态灾害应急体系建设，强化海水浴场、电厂取排水口等海洋生态灾害高风险区域的联防联控，及时发布赤潮等灾害预警信息并启动应急响应。2023年底前，进一步完善生态灾害早期预警和应急体系，基本构建分工明确、协调联动的跨区域合作机制。</w:t>
      </w:r>
    </w:p>
    <w:p>
      <w:pPr>
        <w:pStyle w:val="379"/>
        <w:overflowPunct w:val="0"/>
        <w:adjustRightInd w:val="0"/>
        <w:snapToGrid w:val="0"/>
        <w:rPr>
          <w:rFonts w:ascii="仿宋_GB2312" w:cs="Times New Roman" w:hint="eastAsia"/>
          <w:szCs w:val="32"/>
        </w:rPr>
      </w:pPr>
      <w:r>
        <w:rPr>
          <w:rFonts w:ascii="仿宋_GB2312" w:cs="Times New Roman" w:hint="eastAsia"/>
          <w:b/>
          <w:szCs w:val="32"/>
        </w:rPr>
        <w:t>强化核电站核与辐射安全监管。</w:t>
      </w:r>
      <w:r>
        <w:rPr>
          <w:rFonts w:ascii="仿宋_GB2312" w:cs="Times New Roman" w:hint="eastAsia"/>
          <w:szCs w:val="32"/>
        </w:rPr>
        <w:t>持续开展放射源安全检查和执法专项行动，对放射源使用单位监督检查实现100%全覆盖。强化沿海核电站核安全监管，加快推进放射性污染防治，持续开展宁德核电、霞浦核电、福清核电站、漳州核电的核与辐射安全隐患排查，强化高风险移动放射源安全监管。持续开展核与辐射安全监管信息化建设，以监管对象、监管措施、科普宣传为重点，构建全过程电子化核与辐射监管工作方式，全面、动态汇聚数据，督促基层生态环境部门、核技术利用单位强化系统应用，突出数据应用分析。</w:t>
      </w:r>
    </w:p>
    <w:p>
      <w:pPr>
        <w:pStyle w:val="379"/>
        <w:overflowPunct w:val="0"/>
        <w:adjustRightInd w:val="0"/>
        <w:snapToGrid w:val="0"/>
        <w:rPr>
          <w:rFonts w:ascii="仿宋_GB2312" w:cs="Times New Roman" w:hint="eastAsia"/>
          <w:szCs w:val="32"/>
        </w:rPr>
      </w:pPr>
    </w:p>
    <w:p>
      <w:pPr>
        <w:pStyle w:val="404"/>
        <w:overflowPunct w:val="0"/>
        <w:adjustRightInd w:val="0"/>
        <w:snapToGrid w:val="0"/>
        <w:spacing w:beforeLines="0" w:before="0" w:afterLines="0" w:after="0"/>
        <w:ind w:firstLineChars="0" w:firstLine="0"/>
        <w:rPr>
          <w:rFonts w:ascii="Times New Roman" w:cs="Times New Roman" w:hAnsi="Times New Roman" w:hint="eastAsia"/>
          <w:szCs w:val="32"/>
        </w:rPr>
      </w:pPr>
      <w:bookmarkStart w:id="367" w:name="_Toc22209"/>
      <w:bookmarkStart w:id="368" w:name="_Toc9727"/>
      <w:bookmarkStart w:id="369" w:name="_Toc25463"/>
      <w:bookmarkStart w:id="370" w:name="_Toc8130"/>
      <w:bookmarkStart w:id="371" w:name="_Toc29650"/>
      <w:bookmarkStart w:id="372" w:name="_Toc2168"/>
      <w:bookmarkStart w:id="373" w:name="_Toc5438"/>
      <w:bookmarkStart w:id="374" w:name="_Toc548"/>
      <w:bookmarkStart w:id="375" w:name="_Toc93504297"/>
      <w:r>
        <w:rPr>
          <w:rFonts w:ascii="Times New Roman" w:cs="Times New Roman" w:hAnsi="Times New Roman" w:hint="eastAsia"/>
          <w:szCs w:val="32"/>
        </w:rPr>
        <w:t>第三节 健全海洋生态环境损害赔偿制度</w:t>
      </w:r>
      <w:bookmarkEnd w:id="367"/>
      <w:bookmarkEnd w:id="368"/>
      <w:bookmarkEnd w:id="369"/>
      <w:bookmarkEnd w:id="370"/>
      <w:bookmarkEnd w:id="371"/>
      <w:bookmarkEnd w:id="372"/>
      <w:bookmarkEnd w:id="373"/>
      <w:bookmarkEnd w:id="374"/>
      <w:bookmarkEnd w:id="375"/>
    </w:p>
    <w:p>
      <w:pPr>
        <w:snapToGrid w:val="0"/>
        <w:rPr>
          <w:rFonts w:ascii="Calibri" w:hAnsi="Calibri"/>
          <w:sz w:val="32"/>
          <w:szCs w:val="32"/>
        </w:rPr>
      </w:pPr>
    </w:p>
    <w:p>
      <w:pPr>
        <w:pStyle w:val="379"/>
        <w:adjustRightInd w:val="0"/>
        <w:snapToGrid w:val="0"/>
        <w:rPr>
          <w:rFonts w:ascii="仿宋_GB2312" w:cs="Times New Roman"/>
          <w:szCs w:val="32"/>
        </w:rPr>
      </w:pPr>
      <w:r>
        <w:rPr>
          <w:rFonts w:ascii="仿宋_GB2312" w:hint="eastAsia"/>
          <w:szCs w:val="32"/>
        </w:rPr>
        <w:t>研究制定海洋生态环境损害评估与赔偿相关制度。建立健全溢油、危险化学品泄漏等突发事故对海洋生态环境损害的鉴定评估技术与评估标准体系，推动海洋生态环境影响评价与海洋生态损害评估相关法律依据和标准政策的制</w:t>
      </w:r>
      <w:r>
        <w:rPr>
          <w:rFonts w:ascii="仿宋_GB2312" w:hint="eastAsia"/>
          <w:szCs w:val="32"/>
          <w:lang w:eastAsia="zh-CN"/>
        </w:rPr>
        <w:t>修订</w:t>
      </w:r>
      <w:r>
        <w:rPr>
          <w:rFonts w:ascii="仿宋_GB2312" w:hint="eastAsia"/>
          <w:szCs w:val="32"/>
        </w:rPr>
        <w:t>和实施，明确索赔主体、受损主体、赔偿主体、索赔程序及损害赔偿范围等，落实各方责任，依法开展突发环境事故海洋生态损害索赔和受损海域生态修复等工作。探索建立陆海统筹的环境污染强制责任保险制度，逐步将海洋环境风险因素纳入承保前的环境风险评估。2025年底前，基本构建责权明确、技术规范、保障有力的海洋生态环境损害赔偿制度。</w:t>
      </w:r>
    </w:p>
    <w:p>
      <w:pPr>
        <w:pStyle w:val="403"/>
        <w:overflowPunct w:val="0"/>
        <w:snapToGrid w:val="0"/>
        <w:spacing w:beforeLines="0" w:before="0" w:afterLines="0" w:after="0"/>
        <w:rPr>
          <w:szCs w:val="32"/>
        </w:rPr>
      </w:pPr>
      <w:bookmarkStart w:id="376" w:name="_Toc3472"/>
      <w:r>
        <w:rPr>
          <w:rFonts w:ascii="仿宋_GB2312" w:cs="Times New Roman" w:hAnsi="仿宋_GB2312" w:hint="eastAsia"/>
          <w:szCs w:val="32"/>
        </w:rPr>
        <mc:AlternateContent>
          <mc:Choice Requires="wps">
            <w:drawing>
              <wp:anchor distT="0" distB="0" distL="114298" distR="114298" simplePos="0" relativeHeight="31" behindDoc="1" locked="0" layoutInCell="1" hidden="0" allowOverlap="1">
                <wp:simplePos x="0" y="0"/>
                <wp:positionH relativeFrom="column">
                  <wp:posOffset>172685</wp:posOffset>
                </wp:positionH>
                <wp:positionV relativeFrom="paragraph">
                  <wp:posOffset>125156</wp:posOffset>
                </wp:positionV>
                <wp:extent cx="5274310" cy="8074024"/>
                <wp:effectExtent l="0" t="0" r="0" b="0"/>
                <wp:wrapTopAndBottom/>
                <wp:docPr id="16" name="文本框 40"/>
                <wp:cNvGraphicFramePr>
                  <a:graphicFrameLocks noChangeAspect="0"/>
                </wp:cNvGraphicFramePr>
                <a:graphic>
                  <a:graphicData uri="http://schemas.microsoft.com/office/word/2010/wordprocessingShape">
                    <wps:wsp>
                      <wps:cNvSpPr/>
                      <wps:spPr>
                        <a:xfrm rot="0">
                          <a:off x="0" y="0"/>
                          <a:ext cx="5274310" cy="8074024"/>
                        </a:xfrm>
                        <a:prstGeom prst="rect"/>
                        <a:solidFill>
                          <a:srgbClr val="FFFFFF"/>
                        </a:solidFill>
                        <a:ln w="9525" cmpd="sng" cap="flat">
                          <a:solidFill>
                            <a:srgbClr val="000000"/>
                          </a:solidFill>
                          <a:prstDash val="solid"/>
                          <a:miter/>
                        </a:ln>
                      </wps:spPr>
                      <wps:txbx id="17">
                        <w:txbxContent>
                          <w:p>
                            <w:pPr>
                              <w:overflowPunct w:val="0"/>
                              <w:adjustRightInd w:val="0"/>
                              <w:snapToGrid w:val="0"/>
                              <w:ind w:firstLineChars="0" w:firstLine="0"/>
                              <w:jc w:val="center"/>
                              <w:rPr>
                                <w:rFonts w:ascii="楷体_GB2312" w:eastAsia="楷体_GB2312" w:cs="楷体_GB2312" w:hint="eastAsia"/>
                                <w:b/>
                                <w:sz w:val="32"/>
                                <w:szCs w:val="32"/>
                              </w:rPr>
                            </w:pPr>
                            <w:r>
                              <w:rPr>
                                <w:rFonts w:ascii="楷体_GB2312" w:eastAsia="楷体_GB2312" w:cs="楷体_GB2312" w:hint="eastAsia"/>
                                <w:b/>
                                <w:sz w:val="32"/>
                                <w:szCs w:val="32"/>
                              </w:rPr>
                              <w:t>专栏四 海洋环境风险防范和应急响应重点工程</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提升地方海上溢油应急响应和协同处置能力和水平，加强危化品泄漏应急响应处置能力。</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1．宁德市三都澳、福州市松下港区、莆田市分别新建地方溢油应急设备库1座</w:t>
                            </w:r>
                            <w:r>
                              <w:rPr>
                                <w:rFonts w:ascii="仿宋_GB2312" w:cs="仿宋_GB2312" w:hint="eastAsia"/>
                                <w:sz w:val="32"/>
                                <w:szCs w:val="32"/>
                                <w:lang w:eastAsia="zh-CN"/>
                              </w:rPr>
                              <w:t>，</w:t>
                            </w:r>
                            <w:r>
                              <w:rPr>
                                <w:rFonts w:ascii="仿宋_GB2312" w:cs="仿宋_GB2312" w:hint="eastAsia"/>
                                <w:sz w:val="32"/>
                                <w:szCs w:val="32"/>
                              </w:rPr>
                              <w:t>包括陆域土建配套工程、应急设备配置等。</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2．提升罗源湾港区可门作业区、江阴港区壁头作业区溢油及危化品泄漏应急响应能力和水平。建设溢油应急子系统、危险化学品应急子系统、溢油应急船和围油栏布放艇和应急设备库房。溢油、危化品泄漏应急建设目标分别为500吨、150吨的规模。</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3．提升泉港、泉惠石化园区、漳州古雷石化园区危化品泄漏风险事故防范和应急响应能力。在泉港、泉惠石化园区分别建设有毒有害气体环境风险预警系统，综合实现监控、预警、应急处置等功能。在漳州古雷新建中型国家级船舶溢油应急设备库1座，一次性船舶溢油综合清除控制能力达到500吨。</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4.实施海洋环境风险处置工程。构建流域、河口、近岸海域污染防治联动机制，协同推进入海河流和排污口精准治理，加强对海洋船舶污染、码头污染、养殖污染、海洋倾废和赤潮灾害的监测防治。增强海洋环境风险防范和灾害应对能力，健全突发环境事件风险动态评估和常态化防控机制，加强海上溢油、危险化学品泄漏等风险管控。完善海洋防灾减灾设施，建设生态海堤，提升抵御台风、风暴潮等海洋灾害能力，筑牢海上安全防线。</w:t>
                            </w:r>
                          </w:p>
                        </w:txbxContent>
                      </wps:txbx>
                      <wps:bodyPr vert="horz" wrap="square" lIns="91440" tIns="45720" rIns="91440" bIns="45720" anchor="t" anchorCtr="0" upright="1">
                        <a:spAutoFit/>
                      </wps:bodyPr>
                    </wps:wsp>
                  </a:graphicData>
                </a:graphic>
              </wp:anchor>
            </w:drawing>
          </mc:Choice>
          <mc:Fallback>
            <w:pict>
              <v:rect type="#_x0000_t1" id="文本框 40 18" o:spid="_x0000_s18" fillcolor="#FFFFFF" stroked="t" style="position:absolute;margin-left:13.597291pt;margin-top:9.85485pt;width:415.3pt;height:635.75pt;z-index:31;mso-position-horizontal:absolute;mso-position-vertical:absolute;mso-wrap-distance-left:8.999863pt;mso-wrap-distance-right:8.999863pt;mso-wrap-style:square;">
                <v:stroke color="#000000"/>
                <v:textbox id="860" inset="2.54mm,1.27mm,2.54mm,1.27mm" o:insetmode="custom" style="layout-flow:horizontal;v-text-anchor:top;mso-fit-shape-to-text:t;">
                  <w:txbxContent>
                    <w:p>
                      <w:pPr>
                        <w:overflowPunct w:val="0"/>
                        <w:adjustRightInd w:val="0"/>
                        <w:snapToGrid w:val="0"/>
                        <w:ind w:firstLineChars="0" w:firstLine="0"/>
                        <w:jc w:val="center"/>
                        <w:rPr>
                          <w:rFonts w:ascii="楷体_GB2312" w:eastAsia="楷体_GB2312" w:cs="楷体_GB2312" w:hint="eastAsia"/>
                          <w:b/>
                          <w:sz w:val="32"/>
                          <w:szCs w:val="32"/>
                        </w:rPr>
                      </w:pPr>
                      <w:r>
                        <w:rPr>
                          <w:rFonts w:ascii="楷体_GB2312" w:eastAsia="楷体_GB2312" w:cs="楷体_GB2312" w:hint="eastAsia"/>
                          <w:b/>
                          <w:sz w:val="32"/>
                          <w:szCs w:val="32"/>
                        </w:rPr>
                        <w:t>专栏四 海洋环境风险防范和应急响应重点工程</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提升地方海上溢油应急响应和协同处置能力和水平，加强危化品泄漏应急响应处置能力。</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1．宁德市三都澳、福州市松下港区、莆田市分别新建地方溢油应急设备库1座</w:t>
                      </w:r>
                      <w:r>
                        <w:rPr>
                          <w:rFonts w:ascii="仿宋_GB2312" w:cs="仿宋_GB2312" w:hint="eastAsia"/>
                          <w:sz w:val="32"/>
                          <w:szCs w:val="32"/>
                          <w:lang w:eastAsia="zh-CN"/>
                        </w:rPr>
                        <w:t>，</w:t>
                      </w:r>
                      <w:r>
                        <w:rPr>
                          <w:rFonts w:ascii="仿宋_GB2312" w:cs="仿宋_GB2312" w:hint="eastAsia"/>
                          <w:sz w:val="32"/>
                          <w:szCs w:val="32"/>
                        </w:rPr>
                        <w:t>包括陆域土建配套工程、应急设备配置等。</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2．提升罗源湾港区可门作业区、江阴港区壁头作业区溢油及危化品泄漏应急响应能力和水平。建设溢油应急子系统、危险化学品应急子系统、溢油应急船和围油栏布放艇和应急设备库房。溢油、危化品泄漏应急建设目标分别为500吨、150吨的规模。</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3．提升泉港、泉惠石化园区、漳州古雷石化园区危化品泄漏风险事故防范和应急响应能力。在泉港、泉惠石化园区分别建设有毒有害气体环境风险预警系统，综合实现监控、预警、应急处置等功能。在漳州古雷新建中型国家级船舶溢油应急设备库1座，一次性船舶溢油综合清除控制能力达到500吨。</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4.实施海洋环境风险处置工程。构建流域、河口、近岸海域污染防治联动机制，协同推进入海河流和排污口精准治理，加强对海洋船舶污染、码头污染、养殖污染、海洋倾废和赤潮灾害的监测防治。增强海洋环境风险防范和灾害应对能力，健全突发环境事件风险动态评估和常态化防控机制，加强海上溢油、危险化学品泄漏等风险管控。完善海洋防灾减灾设施，建设生态海堤，提升抵御台风、风暴潮等海洋灾害能力，筑牢海上安全防线。</w:t>
                      </w:r>
                    </w:p>
                  </w:txbxContent>
                </v:textbox>
                <w10:wrap type="topAndBottom"/>
              </v:rect>
            </w:pict>
          </mc:Fallback>
        </mc:AlternateContent>
      </w:r>
      <w:r>
        <w:rPr>
          <w:szCs w:val="32"/>
        </w:rPr>
        <w:br w:type="page"/>
      </w:r>
      <w:bookmarkStart w:id="377" w:name="_Toc29066"/>
      <w:bookmarkStart w:id="378" w:name="_Toc14277"/>
      <w:bookmarkStart w:id="379" w:name="_Toc18298"/>
      <w:bookmarkStart w:id="380" w:name="_Toc21316"/>
      <w:bookmarkStart w:id="381" w:name="_Toc93504299"/>
      <w:bookmarkStart w:id="382" w:name="_Toc30410"/>
      <w:bookmarkStart w:id="383" w:name="_Toc17177"/>
      <w:bookmarkStart w:id="384" w:name="_Toc13490"/>
      <w:bookmarkStart w:id="385" w:name="_Toc87460072"/>
      <w:bookmarkStart w:id="386" w:name="_Toc14344"/>
      <w:r>
        <w:rPr>
          <w:rFonts w:hint="eastAsia"/>
          <w:szCs w:val="32"/>
        </w:rPr>
        <w:t>第八章 深化陆海统筹，建立健全海洋生态环境治理体系</w:t>
      </w:r>
      <w:bookmarkEnd w:id="376"/>
      <w:bookmarkEnd w:id="377"/>
      <w:bookmarkEnd w:id="378"/>
      <w:bookmarkEnd w:id="379"/>
      <w:bookmarkEnd w:id="380"/>
      <w:bookmarkEnd w:id="381"/>
      <w:bookmarkEnd w:id="382"/>
      <w:bookmarkEnd w:id="383"/>
      <w:bookmarkEnd w:id="384"/>
    </w:p>
    <w:p>
      <w:pPr>
        <w:pStyle w:val="379"/>
        <w:overflowPunct w:val="0"/>
        <w:adjustRightInd w:val="0"/>
        <w:snapToGrid w:val="0"/>
        <w:rPr>
          <w:rFonts w:ascii="仿宋_GB2312" w:cs="Times New Roman" w:hint="eastAsia"/>
          <w:bCs/>
          <w:szCs w:val="32"/>
        </w:rPr>
      </w:pPr>
    </w:p>
    <w:p>
      <w:pPr>
        <w:pStyle w:val="379"/>
        <w:overflowPunct w:val="0"/>
        <w:adjustRightInd w:val="0"/>
        <w:snapToGrid w:val="0"/>
        <w:rPr>
          <w:rFonts w:ascii="仿宋_GB2312" w:cs="Times New Roman"/>
          <w:bCs/>
          <w:szCs w:val="32"/>
        </w:rPr>
      </w:pPr>
      <w:r>
        <w:rPr>
          <w:rFonts w:ascii="仿宋_GB2312" w:cs="Times New Roman" w:hint="eastAsia"/>
          <w:bCs/>
          <w:szCs w:val="32"/>
        </w:rPr>
        <w:t>坚持陆海统筹、河海联动、系统治理，以海洋治理制度为重心，不断创新制度模式，建立健全陆海统筹的</w:t>
      </w:r>
      <w:r>
        <w:rPr>
          <w:rFonts w:ascii="仿宋_GB2312" w:cs="Times New Roman" w:hint="eastAsia"/>
          <w:bCs/>
          <w:szCs w:val="32"/>
          <w:lang w:eastAsia="zh-CN"/>
        </w:rPr>
        <w:t>海</w:t>
      </w:r>
      <w:r>
        <w:rPr>
          <w:rFonts w:ascii="仿宋_GB2312" w:cs="Times New Roman" w:hint="eastAsia"/>
          <w:bCs/>
          <w:szCs w:val="32"/>
        </w:rPr>
        <w:t>洋生态环境治理体制机制，</w:t>
      </w:r>
      <w:r>
        <w:rPr>
          <w:rFonts w:ascii="Times New Roman" w:cs="Times New Roman" w:hAnsi="Times New Roman" w:hint="eastAsia"/>
          <w:szCs w:val="32"/>
        </w:rPr>
        <w:t>提升海洋生态环境监管能力，加快</w:t>
      </w:r>
      <w:r>
        <w:rPr>
          <w:rFonts w:ascii="仿宋_GB2312" w:cs="Times New Roman" w:hint="eastAsia"/>
          <w:bCs/>
          <w:szCs w:val="32"/>
        </w:rPr>
        <w:t>推进海洋生态环境治理体系和治理能力现代化。</w:t>
      </w:r>
    </w:p>
    <w:p>
      <w:pPr>
        <w:snapToGrid w:val="0"/>
        <w:rPr>
          <w:rFonts w:ascii="Calibri" w:cs="Arial" w:hAnsi="Calibri"/>
          <w:sz w:val="32"/>
          <w:szCs w:val="32"/>
        </w:rPr>
      </w:pPr>
      <w:bookmarkStart w:id="387" w:name="_Toc24508"/>
      <w:bookmarkStart w:id="388" w:name="_Toc11770"/>
      <w:bookmarkStart w:id="389" w:name="_Toc23292"/>
      <w:bookmarkStart w:id="390" w:name="_Toc10577"/>
      <w:bookmarkStart w:id="391" w:name="_Toc30262"/>
    </w:p>
    <w:p>
      <w:pPr>
        <w:pStyle w:val="404"/>
        <w:overflowPunct w:val="0"/>
        <w:adjustRightInd w:val="0"/>
        <w:snapToGrid w:val="0"/>
        <w:spacing w:beforeLines="0" w:before="0" w:afterLines="0" w:after="0"/>
        <w:ind w:firstLineChars="0" w:firstLine="0"/>
        <w:rPr>
          <w:rFonts w:ascii="Times New Roman" w:cs="Times New Roman" w:hAnsi="Times New Roman" w:hint="eastAsia"/>
          <w:szCs w:val="32"/>
        </w:rPr>
      </w:pPr>
      <w:bookmarkStart w:id="392" w:name="_Toc7322"/>
      <w:bookmarkStart w:id="393" w:name="_Toc7189"/>
      <w:bookmarkStart w:id="394" w:name="_Toc93504300"/>
      <w:bookmarkStart w:id="395" w:name="_Toc9820"/>
      <w:r>
        <w:rPr>
          <w:rFonts w:ascii="Times New Roman" w:cs="Times New Roman" w:hAnsi="Times New Roman" w:hint="eastAsia"/>
          <w:szCs w:val="32"/>
        </w:rPr>
        <w:t>第一节 建立陆海统筹生态环境治理制度</w:t>
      </w:r>
      <w:bookmarkEnd w:id="387"/>
      <w:bookmarkEnd w:id="388"/>
      <w:bookmarkEnd w:id="389"/>
      <w:bookmarkEnd w:id="390"/>
      <w:bookmarkEnd w:id="391"/>
      <w:bookmarkEnd w:id="392"/>
      <w:bookmarkEnd w:id="393"/>
      <w:bookmarkEnd w:id="394"/>
      <w:bookmarkEnd w:id="395"/>
    </w:p>
    <w:p>
      <w:pPr>
        <w:pStyle w:val="379"/>
        <w:overflowPunct w:val="0"/>
        <w:adjustRightInd w:val="0"/>
        <w:snapToGrid w:val="0"/>
        <w:rPr>
          <w:rFonts w:ascii="仿宋_GB2312" w:cs="Times New Roman" w:hint="eastAsia"/>
          <w:b/>
          <w:szCs w:val="32"/>
        </w:rPr>
      </w:pPr>
    </w:p>
    <w:p>
      <w:pPr>
        <w:pStyle w:val="379"/>
        <w:overflowPunct w:val="0"/>
        <w:adjustRightInd w:val="0"/>
        <w:snapToGrid w:val="0"/>
        <w:rPr>
          <w:rFonts w:ascii="仿宋_GB2312" w:cs="Times New Roman"/>
          <w:b/>
          <w:szCs w:val="32"/>
        </w:rPr>
      </w:pPr>
      <w:r>
        <w:rPr>
          <w:rFonts w:ascii="仿宋_GB2312" w:cs="Times New Roman" w:hint="eastAsia"/>
          <w:b/>
          <w:szCs w:val="32"/>
        </w:rPr>
        <w:t>完善海洋生态保护主体责任。</w:t>
      </w:r>
      <w:r>
        <w:rPr>
          <w:rFonts w:ascii="仿宋_GB2312" w:cs="Times New Roman" w:hint="eastAsia"/>
          <w:bCs/>
          <w:szCs w:val="32"/>
        </w:rPr>
        <w:t>贯彻落实“中央统筹、省负总责、市县抓落实”的海洋生态环境保护长效工作机制，落实落细沿海地方党委、政府的主体责任和行业主管部门的常态化监管责任，健全陆海统筹、区域联动、部门协同的综合协调机制，进一步完善齐抓共管、各负其责的大生态环保格局。贯彻落实区域综合协调和监督管理责任，加强区域陆海污染防治和生态保护修复的协调联动、责任衔接和统一监管。</w:t>
      </w:r>
    </w:p>
    <w:p>
      <w:pPr>
        <w:pStyle w:val="379"/>
        <w:overflowPunct w:val="0"/>
        <w:adjustRightInd w:val="0"/>
        <w:snapToGrid w:val="0"/>
        <w:rPr>
          <w:rFonts w:ascii="仿宋_GB2312" w:cs="Times New Roman"/>
          <w:bCs/>
          <w:szCs w:val="32"/>
        </w:rPr>
      </w:pPr>
      <w:r>
        <w:rPr>
          <w:rFonts w:ascii="仿宋_GB2312" w:cs="Times New Roman" w:hint="eastAsia"/>
          <w:b/>
          <w:szCs w:val="32"/>
        </w:rPr>
        <w:t>建立生态环境分区引导机制。</w:t>
      </w:r>
      <w:r>
        <w:rPr>
          <w:rFonts w:ascii="仿宋_GB2312" w:cs="Times New Roman" w:hint="eastAsia"/>
          <w:bCs/>
          <w:szCs w:val="32"/>
        </w:rPr>
        <w:t>立足资源环境承载能力，落实“三线一单”，建立动态更新和调整机制，完善海洋生态环境分区管控体系。落实“三线一单”生态环境分区制度，强化从源头到末端的生态环境治理联防联控，</w:t>
      </w:r>
      <w:r>
        <w:rPr>
          <w:rFonts w:ascii="仿宋_GB2312" w:cs="Times New Roman"/>
          <w:bCs/>
          <w:szCs w:val="32"/>
        </w:rPr>
        <w:t>推动陆域和海域在管控条件、准入类型等方面的有机整合，指导沿海地区开展规划环评和建设项目环评，促进沿海产业合理布局。</w:t>
      </w:r>
    </w:p>
    <w:p>
      <w:pPr>
        <w:pStyle w:val="379"/>
        <w:overflowPunct w:val="0"/>
        <w:adjustRightInd w:val="0"/>
        <w:snapToGrid w:val="0"/>
        <w:rPr>
          <w:rFonts w:ascii="仿宋_GB2312" w:cs="Times New Roman"/>
          <w:bCs/>
          <w:szCs w:val="32"/>
        </w:rPr>
      </w:pPr>
      <w:r>
        <w:rPr>
          <w:rFonts w:ascii="仿宋_GB2312" w:cs="Times New Roman" w:hint="eastAsia"/>
          <w:b/>
          <w:szCs w:val="32"/>
        </w:rPr>
        <w:t>严格落实海洋生态红线制度。</w:t>
      </w:r>
      <w:r>
        <w:rPr>
          <w:rFonts w:ascii="仿宋_GB2312" w:cs="Times New Roman" w:hint="eastAsia"/>
          <w:bCs/>
          <w:szCs w:val="32"/>
        </w:rPr>
        <w:t>严守海洋生态红线，确保海洋生态保护红线的保护面积不减少、保护性质不改变、生态功能不退化、管理要求不降低，建立海域生态红线区长效管理机制，切实加强对海洋红线管控范围内岸线保护、环境治理、生态修复的资金投入，有效维护海洋生态系统的完整性和稳定性，保障沿海地区经济社会可持续发展。</w:t>
      </w:r>
    </w:p>
    <w:p>
      <w:pPr>
        <w:snapToGrid w:val="0"/>
        <w:rPr>
          <w:rFonts w:ascii="Calibri" w:cs="Arial" w:hAnsi="Calibri"/>
          <w:b/>
          <w:sz w:val="32"/>
          <w:szCs w:val="32"/>
        </w:rPr>
      </w:pPr>
      <w:bookmarkStart w:id="396" w:name="_Toc28307"/>
      <w:bookmarkStart w:id="397" w:name="_Toc17148"/>
      <w:bookmarkStart w:id="398" w:name="_Toc5839"/>
      <w:bookmarkStart w:id="399" w:name="_Toc20112"/>
      <w:bookmarkStart w:id="400" w:name="_Toc23535"/>
    </w:p>
    <w:p>
      <w:pPr>
        <w:pStyle w:val="404"/>
        <w:overflowPunct w:val="0"/>
        <w:adjustRightInd w:val="0"/>
        <w:snapToGrid w:val="0"/>
        <w:spacing w:beforeLines="0" w:before="0" w:afterLines="0" w:after="0"/>
        <w:ind w:firstLineChars="0" w:firstLine="0"/>
        <w:rPr>
          <w:rFonts w:ascii="Times New Roman" w:cs="Times New Roman" w:hAnsi="Times New Roman" w:hint="eastAsia"/>
          <w:szCs w:val="32"/>
        </w:rPr>
      </w:pPr>
      <w:bookmarkStart w:id="401" w:name="_Toc22099"/>
      <w:bookmarkStart w:id="402" w:name="_Toc93504301"/>
      <w:bookmarkStart w:id="403" w:name="_Toc10194"/>
      <w:bookmarkStart w:id="404" w:name="_Toc19"/>
      <w:r>
        <w:rPr>
          <w:rFonts w:ascii="Times New Roman" w:cs="Times New Roman" w:hAnsi="Times New Roman" w:hint="eastAsia"/>
          <w:szCs w:val="32"/>
        </w:rPr>
        <w:t>第二节 健全海洋生态环境治理体制机制</w:t>
      </w:r>
      <w:bookmarkEnd w:id="396"/>
      <w:bookmarkEnd w:id="397"/>
      <w:bookmarkEnd w:id="398"/>
      <w:bookmarkEnd w:id="399"/>
      <w:bookmarkEnd w:id="400"/>
      <w:bookmarkEnd w:id="401"/>
      <w:bookmarkEnd w:id="402"/>
      <w:bookmarkEnd w:id="403"/>
      <w:bookmarkEnd w:id="404"/>
    </w:p>
    <w:p>
      <w:pPr>
        <w:snapToGrid w:val="0"/>
        <w:rPr>
          <w:rFonts w:ascii="Calibri" w:cs="Arial" w:hAnsi="Calibri"/>
          <w:b w:val="0"/>
          <w:sz w:val="32"/>
          <w:szCs w:val="32"/>
        </w:rPr>
      </w:pPr>
    </w:p>
    <w:p>
      <w:pPr>
        <w:pStyle w:val="379"/>
        <w:overflowPunct w:val="0"/>
        <w:adjustRightInd w:val="0"/>
        <w:snapToGrid w:val="0"/>
        <w:rPr>
          <w:rFonts w:ascii="仿宋_GB2312" w:cs="Times New Roman" w:hint="eastAsia"/>
          <w:bCs/>
          <w:szCs w:val="32"/>
        </w:rPr>
      </w:pPr>
      <w:r>
        <w:rPr>
          <w:rFonts w:ascii="仿宋_GB2312" w:cs="Times New Roman" w:hint="eastAsia"/>
          <w:b/>
          <w:szCs w:val="32"/>
        </w:rPr>
        <w:t>建立健全海洋综合执法监管机制。</w:t>
      </w:r>
      <w:r>
        <w:rPr>
          <w:rFonts w:ascii="仿宋_GB2312" w:cs="Times New Roman" w:hint="eastAsia"/>
          <w:bCs/>
          <w:szCs w:val="32"/>
        </w:rPr>
        <w:t>加强</w:t>
      </w:r>
      <w:r>
        <w:rPr>
          <w:rFonts w:ascii="仿宋_GB2312" w:cs="Times New Roman"/>
          <w:bCs/>
          <w:szCs w:val="32"/>
        </w:rPr>
        <w:t>涉海部门的</w:t>
      </w:r>
      <w:r>
        <w:rPr>
          <w:rFonts w:ascii="仿宋_GB2312" w:cs="Times New Roman" w:hint="eastAsia"/>
          <w:bCs/>
          <w:szCs w:val="32"/>
        </w:rPr>
        <w:t>协调</w:t>
      </w:r>
      <w:r>
        <w:rPr>
          <w:rFonts w:ascii="仿宋_GB2312" w:cs="Times New Roman"/>
          <w:bCs/>
          <w:szCs w:val="32"/>
        </w:rPr>
        <w:t>配合，</w:t>
      </w:r>
      <w:r>
        <w:rPr>
          <w:rFonts w:ascii="仿宋_GB2312" w:cs="Times New Roman" w:hint="eastAsia"/>
          <w:bCs/>
          <w:szCs w:val="32"/>
        </w:rPr>
        <w:t>建立健全陆海统筹、统一高效的跨部门海洋综合执法体制机制。加大</w:t>
      </w:r>
      <w:r>
        <w:rPr>
          <w:rFonts w:ascii="仿宋_GB2312" w:cs="Times New Roman" w:hint="eastAsia"/>
          <w:bCs/>
          <w:szCs w:val="32"/>
          <w:lang w:eastAsia="zh-CN"/>
        </w:rPr>
        <w:t>涉海</w:t>
      </w:r>
      <w:r>
        <w:rPr>
          <w:rFonts w:ascii="仿宋_GB2312" w:cs="Times New Roman" w:hint="eastAsia"/>
          <w:bCs/>
          <w:szCs w:val="32"/>
        </w:rPr>
        <w:t>项目审批源头把控力度，推动环评审批、海域使用权审批、海岛管理数据库等涉海监管信息系统的衔接共享。推进执法信息化基地</w:t>
      </w:r>
      <w:r>
        <w:rPr>
          <w:rFonts w:ascii="仿宋_GB2312" w:cs="Times New Roman"/>
          <w:bCs/>
          <w:szCs w:val="32"/>
        </w:rPr>
        <w:t>、码头、执法</w:t>
      </w:r>
      <w:r>
        <w:rPr>
          <w:rFonts w:ascii="仿宋_GB2312" w:cs="Times New Roman" w:hint="eastAsia"/>
          <w:bCs/>
          <w:szCs w:val="32"/>
        </w:rPr>
        <w:t>船艇及</w:t>
      </w:r>
      <w:r>
        <w:rPr>
          <w:rFonts w:ascii="仿宋_GB2312" w:cs="Times New Roman"/>
          <w:bCs/>
          <w:szCs w:val="32"/>
        </w:rPr>
        <w:t>无人机等</w:t>
      </w:r>
      <w:r>
        <w:rPr>
          <w:rFonts w:ascii="仿宋_GB2312" w:cs="Times New Roman" w:hint="eastAsia"/>
          <w:bCs/>
          <w:szCs w:val="32"/>
        </w:rPr>
        <w:t>设施建设，做到“天上看、海上查、网上管”，实现用海项目动态监管全覆盖。完善海洋渔业综合执法管理系统，严厉打击</w:t>
      </w:r>
      <w:r>
        <w:rPr>
          <w:rFonts w:ascii="仿宋_GB2312" w:cs="Times New Roman"/>
          <w:bCs/>
          <w:szCs w:val="32"/>
        </w:rPr>
        <w:t>各类涉海涉渔违法行为，</w:t>
      </w:r>
      <w:r>
        <w:rPr>
          <w:rFonts w:ascii="仿宋_GB2312" w:cs="Times New Roman" w:hint="eastAsia"/>
          <w:bCs/>
          <w:szCs w:val="32"/>
        </w:rPr>
        <w:t>提高执法效能。</w:t>
      </w:r>
    </w:p>
    <w:p>
      <w:pPr>
        <w:pStyle w:val="379"/>
        <w:overflowPunct w:val="0"/>
        <w:adjustRightInd w:val="0"/>
        <w:snapToGrid w:val="0"/>
        <w:rPr>
          <w:rFonts w:ascii="仿宋_GB2312" w:cs="Times New Roman" w:hint="eastAsia"/>
          <w:bCs/>
          <w:szCs w:val="32"/>
        </w:rPr>
      </w:pPr>
      <w:r>
        <w:rPr>
          <w:rFonts w:ascii="仿宋_GB2312" w:cs="Times New Roman" w:hint="eastAsia"/>
          <w:b/>
          <w:szCs w:val="32"/>
        </w:rPr>
        <w:t>建立陆海统筹生态环境治理制度。</w:t>
      </w:r>
      <w:r>
        <w:rPr>
          <w:rFonts w:ascii="仿宋_GB2312" w:cs="Times New Roman" w:hint="eastAsia"/>
          <w:bCs/>
          <w:szCs w:val="32"/>
        </w:rPr>
        <w:t>沿海地区切实落实海湾生态环境保护与治理责任，实现流域海域污染联防联控。以解决海岸带突出生态环境问题为抓手，强化岸滩垃圾、排口等环境要素巡查监管，加快制定职责任务清单，统筹落实好陆海污染物排放和海洋空间资源管控、海洋生态保护修复、海洋景观整治等任务。</w:t>
      </w:r>
    </w:p>
    <w:p>
      <w:pPr>
        <w:pStyle w:val="379"/>
        <w:overflowPunct w:val="0"/>
        <w:adjustRightInd w:val="0"/>
        <w:snapToGrid w:val="0"/>
        <w:rPr>
          <w:rFonts w:ascii="仿宋_GB2312" w:cs="Times New Roman"/>
          <w:bCs/>
          <w:szCs w:val="32"/>
        </w:rPr>
      </w:pPr>
      <w:r>
        <w:rPr>
          <w:rFonts w:ascii="仿宋_GB2312" w:cs="Times New Roman" w:hint="eastAsia"/>
          <w:b/>
          <w:szCs w:val="32"/>
        </w:rPr>
        <w:t>完善“海上环卫”工作机制。</w:t>
      </w:r>
      <w:r>
        <w:rPr>
          <w:rFonts w:ascii="仿宋_GB2312" w:cs="Times New Roman" w:hint="eastAsia"/>
          <w:bCs/>
          <w:szCs w:val="32"/>
        </w:rPr>
        <w:t>沿海地区组建完善“海上环卫”机构，作为海上打捞、岸线保洁、垃圾分类和规范处置的实施主体，推行企业化运营、专业化管理。统筹推进海漂垃圾治理，增强海漂垃圾污染防治能力，实现岸滩、河流入海口和近岸海域垃圾治理常态化，着力打造清洁海滩和洁净海面。积极运用卫星遥感、无人机、视频监控等手段，及时发现和掌握海漂垃圾动态，指导科学部署环卫保洁力量。推</w:t>
      </w:r>
      <w:r>
        <w:rPr>
          <w:rFonts w:ascii="仿宋_GB2312" w:cs="Times New Roman" w:hint="eastAsia"/>
          <w:bCs/>
          <w:szCs w:val="32"/>
          <w:lang w:eastAsia="zh-CN"/>
        </w:rPr>
        <w:t>动</w:t>
      </w:r>
      <w:r>
        <w:rPr>
          <w:rFonts w:ascii="仿宋_GB2312" w:cs="Times New Roman" w:hint="eastAsia"/>
          <w:bCs/>
          <w:szCs w:val="32"/>
        </w:rPr>
        <w:t>“海上环卫”高效率打捞船舶和潮间带滩涂垃圾机械化收集设备的研发，提升垃圾无害化处理和可再生利用工艺。</w:t>
      </w:r>
    </w:p>
    <w:p>
      <w:pPr>
        <w:pStyle w:val="379"/>
        <w:overflowPunct w:val="0"/>
        <w:adjustRightInd w:val="0"/>
        <w:snapToGrid w:val="0"/>
        <w:rPr>
          <w:rFonts w:ascii="仿宋_GB2312" w:cs="Times New Roman"/>
          <w:bCs/>
          <w:szCs w:val="32"/>
        </w:rPr>
      </w:pPr>
      <w:r>
        <w:rPr>
          <w:rFonts w:ascii="仿宋_GB2312" w:cs="Times New Roman"/>
          <w:b/>
          <w:szCs w:val="32"/>
        </w:rPr>
        <w:t>优化安全应急处置机制</w:t>
      </w:r>
      <w:r>
        <w:rPr>
          <w:rFonts w:ascii="仿宋_GB2312" w:cs="Times New Roman" w:hint="eastAsia"/>
          <w:b/>
          <w:szCs w:val="32"/>
        </w:rPr>
        <w:t>。</w:t>
      </w:r>
      <w:r>
        <w:rPr>
          <w:rFonts w:ascii="仿宋_GB2312" w:cs="Times New Roman" w:hint="eastAsia"/>
          <w:bCs/>
          <w:szCs w:val="32"/>
        </w:rPr>
        <w:t>推进全省海洋灾害综合风险普查和评估，</w:t>
      </w:r>
      <w:r>
        <w:rPr>
          <w:rFonts w:ascii="仿宋_GB2312" w:cs="Times New Roman"/>
          <w:bCs/>
          <w:szCs w:val="32"/>
        </w:rPr>
        <w:t>形成省、市、县三级海洋灾害综合风险评估和防治区划。</w:t>
      </w:r>
      <w:r>
        <w:rPr>
          <w:rFonts w:ascii="仿宋_GB2312" w:cs="Times New Roman" w:hint="eastAsia"/>
          <w:bCs/>
          <w:szCs w:val="32"/>
        </w:rPr>
        <w:t>健全海洋安全应急体制机制，提升各级海洋灾害应急指挥机构协调能力，深化应急管理、海洋渔业、水利、生态环境、气象、海事、海警等部门间的协同合作，形成应急处置合力，建立重点海域船舶污染和安全应急处置联动机制，建成海陆空立体化应急救援体系。强化对港口港区、沿海社区、海岛村镇和海上作业渔船的信息服务，确保沿海重点区域、重大项目、重要目标安全保障高效有力。</w:t>
      </w:r>
    </w:p>
    <w:p>
      <w:pPr>
        <w:pStyle w:val="379"/>
        <w:overflowPunct w:val="0"/>
        <w:adjustRightInd w:val="0"/>
        <w:snapToGrid w:val="0"/>
        <w:rPr>
          <w:rFonts w:ascii="仿宋_GB2312" w:cs="Times New Roman"/>
          <w:bCs/>
          <w:szCs w:val="32"/>
        </w:rPr>
      </w:pPr>
      <w:r>
        <w:rPr>
          <w:rFonts w:ascii="仿宋_GB2312" w:cs="Times New Roman" w:hint="eastAsia"/>
          <w:b/>
          <w:szCs w:val="32"/>
        </w:rPr>
        <w:t>建立海洋生态补偿机制。</w:t>
      </w:r>
      <w:r>
        <w:rPr>
          <w:rFonts w:ascii="仿宋_GB2312" w:cs="Times New Roman" w:hint="eastAsia"/>
          <w:bCs/>
          <w:szCs w:val="32"/>
        </w:rPr>
        <w:t>按照“谁使用、谁补偿”的原则，探索资金补偿、实物补偿、政策扶持、就业培训等多样化的生态补偿方式，推动制定海洋开发利用活动生态保护补偿管理办法。建立海洋生态补偿评估技术和补偿标准体系，为增强海洋生态补偿科学化提供技术保障，构建政府主导、企业主体、社会组织和公众积极参与的海洋生态补偿治理体系。</w:t>
      </w:r>
    </w:p>
    <w:p>
      <w:pPr>
        <w:snapToGrid w:val="0"/>
        <w:rPr>
          <w:rFonts w:ascii="Calibri" w:cs="Arial" w:hAnsi="Calibri"/>
          <w:b/>
          <w:sz w:val="32"/>
          <w:szCs w:val="32"/>
        </w:rPr>
      </w:pPr>
      <w:bookmarkStart w:id="405" w:name="_Toc23459"/>
      <w:bookmarkStart w:id="406" w:name="_Toc9019"/>
      <w:bookmarkStart w:id="407" w:name="_Toc2549"/>
      <w:bookmarkStart w:id="408" w:name="_Toc23099"/>
      <w:bookmarkStart w:id="409" w:name="_Toc6902"/>
    </w:p>
    <w:p>
      <w:pPr>
        <w:pStyle w:val="404"/>
        <w:overflowPunct w:val="0"/>
        <w:adjustRightInd w:val="0"/>
        <w:snapToGrid w:val="0"/>
        <w:spacing w:beforeLines="0" w:before="0" w:afterLines="0" w:after="0"/>
        <w:ind w:firstLineChars="0" w:firstLine="0"/>
        <w:rPr>
          <w:rFonts w:ascii="Times New Roman" w:cs="Times New Roman" w:hAnsi="Times New Roman" w:hint="eastAsia"/>
          <w:szCs w:val="32"/>
        </w:rPr>
      </w:pPr>
      <w:bookmarkStart w:id="410" w:name="_Toc1550"/>
      <w:bookmarkStart w:id="411" w:name="_Toc7516"/>
      <w:bookmarkStart w:id="412" w:name="_Toc93504302"/>
      <w:bookmarkStart w:id="413" w:name="_Toc4742"/>
      <w:r>
        <w:rPr>
          <w:rFonts w:ascii="Times New Roman" w:cs="Times New Roman" w:hAnsi="Times New Roman" w:hint="eastAsia"/>
          <w:szCs w:val="32"/>
        </w:rPr>
        <w:t>第三节 提升海洋生态环境监测监管能力</w:t>
      </w:r>
      <w:bookmarkEnd w:id="405"/>
      <w:bookmarkEnd w:id="406"/>
      <w:bookmarkEnd w:id="407"/>
      <w:bookmarkEnd w:id="408"/>
      <w:bookmarkEnd w:id="409"/>
      <w:bookmarkEnd w:id="410"/>
      <w:bookmarkEnd w:id="411"/>
      <w:bookmarkEnd w:id="412"/>
      <w:bookmarkEnd w:id="413"/>
    </w:p>
    <w:p>
      <w:pPr>
        <w:pStyle w:val="379"/>
        <w:overflowPunct w:val="0"/>
        <w:adjustRightInd w:val="0"/>
        <w:snapToGrid w:val="0"/>
        <w:rPr>
          <w:rFonts w:ascii="仿宋_GB2312" w:cs="仿宋_GB2312" w:hint="eastAsia"/>
          <w:b/>
          <w:szCs w:val="32"/>
        </w:rPr>
      </w:pPr>
    </w:p>
    <w:p>
      <w:pPr>
        <w:pStyle w:val="379"/>
        <w:overflowPunct w:val="0"/>
        <w:adjustRightInd w:val="0"/>
        <w:snapToGrid w:val="0"/>
        <w:rPr>
          <w:rFonts w:ascii="仿宋_GB2312" w:cs="仿宋_GB2312" w:hint="eastAsia"/>
          <w:bCs/>
          <w:szCs w:val="32"/>
        </w:rPr>
      </w:pPr>
      <w:r>
        <w:rPr>
          <w:rFonts w:ascii="仿宋_GB2312" w:cs="仿宋_GB2312" w:hint="eastAsia"/>
          <w:b/>
          <w:szCs w:val="32"/>
        </w:rPr>
        <w:t>健全海洋生态环境监管体系。</w:t>
      </w:r>
      <w:r>
        <w:rPr>
          <w:rFonts w:ascii="仿宋_GB2312" w:cs="仿宋_GB2312" w:hint="eastAsia"/>
          <w:bCs/>
          <w:szCs w:val="32"/>
        </w:rPr>
        <w:t>落实国家关于推进沿海地方各级监测监管机构基础能力建设的指导性意见，加强海洋监测船舶、实验室、卫星遥感、现场快速检测和在线监测等能力建设，补齐基础性、关键性能力短板。合理配置海洋生态环境监管力量，加强基层环保执法和联合执法力量，健全巡查执法、司法保障等配套监管措施，完善海洋生态环境执法监管体系。</w:t>
      </w:r>
    </w:p>
    <w:p>
      <w:pPr>
        <w:pStyle w:val="379"/>
        <w:overflowPunct w:val="0"/>
        <w:adjustRightInd w:val="0"/>
        <w:snapToGrid w:val="0"/>
        <w:rPr>
          <w:rFonts w:ascii="仿宋_GB2312" w:cs="仿宋_GB2312" w:hint="eastAsia"/>
          <w:bCs/>
          <w:szCs w:val="32"/>
        </w:rPr>
      </w:pPr>
      <w:r>
        <w:rPr>
          <w:rFonts w:ascii="仿宋_GB2312" w:cs="仿宋_GB2312" w:hint="eastAsia"/>
          <w:b/>
          <w:szCs w:val="32"/>
        </w:rPr>
        <w:t>完善海洋生态环境监测体系</w:t>
      </w:r>
      <w:r>
        <w:rPr>
          <w:rFonts w:ascii="仿宋_GB2312" w:cs="仿宋_GB2312" w:hint="eastAsia"/>
          <w:b/>
          <w:bCs/>
          <w:szCs w:val="32"/>
        </w:rPr>
        <w:t>。</w:t>
      </w:r>
      <w:r>
        <w:rPr>
          <w:rFonts w:ascii="仿宋_GB2312" w:cs="仿宋_GB2312" w:hint="eastAsia"/>
          <w:szCs w:val="32"/>
        </w:rPr>
        <w:t>在临海石化园区、核电等周边重点海域建设海洋生态环境自动监测站，扩展完善海域水环境自动监测网络，</w:t>
      </w:r>
      <w:r>
        <w:rPr>
          <w:rFonts w:ascii="仿宋_GB2312" w:cs="仿宋_GB2312" w:hint="eastAsia"/>
          <w:bCs/>
          <w:szCs w:val="32"/>
        </w:rPr>
        <w:t>为海洋环境监管提供支撑。在长表岛、三沙湾、苏澳海域、南日岛附近海域等赤潮多发区增设赤潮在线监测点位，在南日岛等国家海洋牧场和三都澳等绿色养殖示范区，加密新建水质在线监测系统，提升赤潮灾害监测和应急处置能力。开展海洋微塑料、海洋新型污染物等海洋专项监测。建立重点临海石化基地突发海洋环境污染事故应急系统，提高突发环境事件应急响应能力。加强红树林、珊瑚礁等典型海洋生态系统，以及岸线岸滩侵蚀的监视监测，提升重点海域健康状态监管能力和信息化管理水平。</w:t>
      </w:r>
    </w:p>
    <w:p>
      <w:pPr>
        <w:snapToGrid w:val="0"/>
        <w:rPr>
          <w:rFonts w:ascii="仿宋" w:eastAsia="仿宋" w:hint="eastAsia"/>
          <w:sz w:val="32"/>
          <w:szCs w:val="32"/>
        </w:rPr>
      </w:pPr>
      <w:r>
        <w:rPr>
          <w:rFonts w:ascii="仿宋_GB2312" w:cs="仿宋_GB2312" w:hint="eastAsia"/>
          <w:b/>
          <w:sz w:val="32"/>
          <w:szCs w:val="32"/>
        </w:rPr>
        <w:t>强化海洋生态环境智慧监管</w:t>
      </w:r>
      <w:r>
        <w:rPr>
          <w:rFonts w:ascii="仿宋_GB2312" w:cs="仿宋_GB2312" w:hint="eastAsia"/>
          <w:b/>
          <w:bCs/>
          <w:sz w:val="32"/>
          <w:szCs w:val="32"/>
        </w:rPr>
        <w:t>。</w:t>
      </w:r>
      <w:r>
        <w:rPr>
          <w:rFonts w:ascii="仿宋_GB2312" w:cs="仿宋_GB2312" w:hint="eastAsia"/>
          <w:sz w:val="32"/>
          <w:szCs w:val="32"/>
        </w:rPr>
        <w:t>进一步完善</w:t>
      </w:r>
      <w:r>
        <w:rPr>
          <w:rFonts w:ascii="仿宋_GB2312" w:cs="仿宋_GB2312" w:hint="eastAsia"/>
          <w:bCs/>
          <w:sz w:val="32"/>
          <w:szCs w:val="32"/>
        </w:rPr>
        <w:t>生态云平台</w:t>
      </w:r>
      <w:r>
        <w:rPr>
          <w:rFonts w:ascii="仿宋_GB2312" w:cs="仿宋_GB2312" w:hint="eastAsia"/>
          <w:sz w:val="32"/>
          <w:szCs w:val="32"/>
        </w:rPr>
        <w:t>“海洋信息一张图”，综合应用定点连续监测、现场快速</w:t>
      </w:r>
      <w:r>
        <w:rPr>
          <w:rFonts w:ascii="仿宋_GB2312" w:cs="仿宋_GB2312" w:hint="eastAsia"/>
          <w:sz w:val="32"/>
          <w:szCs w:val="32"/>
          <w:lang w:eastAsia="zh-CN"/>
        </w:rPr>
        <w:t>检</w:t>
      </w:r>
      <w:r>
        <w:rPr>
          <w:rFonts w:ascii="仿宋_GB2312" w:cs="仿宋_GB2312" w:hint="eastAsia"/>
          <w:sz w:val="32"/>
          <w:szCs w:val="32"/>
        </w:rPr>
        <w:t>测、视频监视监控等先进技术，以及</w:t>
      </w:r>
      <w:r>
        <w:rPr>
          <w:rFonts w:ascii="仿宋_GB2312" w:cs="仿宋_GB2312" w:hint="eastAsia"/>
          <w:sz w:val="32"/>
          <w:szCs w:val="32"/>
          <w:lang w:eastAsia="zh-CN"/>
        </w:rPr>
        <w:t>“</w:t>
      </w:r>
      <w:r>
        <w:rPr>
          <w:rFonts w:ascii="仿宋_GB2312" w:cs="仿宋_GB2312" w:hint="eastAsia"/>
          <w:sz w:val="32"/>
          <w:szCs w:val="32"/>
        </w:rPr>
        <w:t>互联网+</w:t>
      </w:r>
      <w:r>
        <w:rPr>
          <w:rFonts w:ascii="仿宋_GB2312" w:cs="仿宋_GB2312" w:hint="eastAsia"/>
          <w:sz w:val="32"/>
          <w:szCs w:val="32"/>
          <w:lang w:eastAsia="zh-CN"/>
        </w:rPr>
        <w:t>”</w:t>
      </w:r>
      <w:r>
        <w:rPr>
          <w:rFonts w:ascii="仿宋_GB2312" w:cs="仿宋_GB2312" w:hint="eastAsia"/>
          <w:sz w:val="32"/>
          <w:szCs w:val="32"/>
        </w:rPr>
        <w:t>、大数据、云计算、智能化等科技手段，</w:t>
      </w:r>
      <w:r>
        <w:rPr>
          <w:rFonts w:ascii="仿宋_GB2312" w:cs="仿宋_GB2312" w:hint="eastAsia"/>
          <w:bCs/>
          <w:sz w:val="32"/>
          <w:szCs w:val="32"/>
        </w:rPr>
        <w:t>强化海洋环境分析研判，精准发现问题和制定整治措施，实现智慧化监管。建设海上平台，加大无人机、无人船等应急机动监测和海洋卫星遥感手段应用，为赤潮灾害的监视监测、巡查和应急处置提供支撑。开展海洋生态环境大数据分析、赤潮发生概率大数据分析、海洋生态动力学模型等研究，探索业务化海洋生态预警，为海洋生态风险防控提供支持。</w:t>
      </w:r>
      <w:bookmarkEnd w:id="385"/>
      <w:bookmarkEnd w:id="386"/>
    </w:p>
    <w:p>
      <w:pPr>
        <w:snapToGrid w:val="0"/>
        <w:ind w:firstLineChars="0" w:firstLine="0"/>
        <w:rPr>
          <w:rFonts w:eastAsia="楷体"/>
          <w:sz w:val="32"/>
          <w:szCs w:val="32"/>
        </w:rPr>
      </w:pPr>
      <w:r>
        <w:rPr>
          <w:sz w:val="32"/>
          <w:szCs w:val="32"/>
        </w:rPr>
        <mc:AlternateContent>
          <mc:Choice Requires="wps">
            <w:drawing>
              <wp:inline distT="0" distB="0" distL="114298" distR="114298">
                <wp:extent cx="5274310" cy="8389620"/>
                <wp:effectExtent l="0" t="0" r="0" b="0"/>
                <wp:docPr id="19" name="矩形"/>
                <wp:cNvGraphicFramePr>
                  <a:graphicFrameLocks noChangeAspect="0"/>
                </wp:cNvGraphicFramePr>
                <a:graphic>
                  <a:graphicData uri="http://schemas.microsoft.com/office/word/2010/wordprocessingShape">
                    <wps:wsp>
                      <wps:cNvSpPr/>
                      <wps:spPr>
                        <a:xfrm rot="0">
                          <a:off x="0" y="0"/>
                          <a:ext cx="5274310" cy="8389620"/>
                        </a:xfrm>
                        <a:prstGeom prst="rect"/>
                        <a:solidFill>
                          <a:srgbClr val="FFFFFF"/>
                        </a:solidFill>
                        <a:ln w="9525" cmpd="sng" cap="flat">
                          <a:solidFill>
                            <a:srgbClr val="000000"/>
                          </a:solidFill>
                          <a:prstDash val="solid"/>
                          <a:miter/>
                        </a:ln>
                      </wps:spPr>
                      <wps:txbx id="20">
                        <w:txbxContent>
                          <w:p>
                            <w:pPr>
                              <w:overflowPunct w:val="0"/>
                              <w:adjustRightInd w:val="0"/>
                              <w:snapToGrid w:val="0"/>
                              <w:ind w:firstLineChars="0" w:firstLine="0"/>
                              <w:jc w:val="center"/>
                              <w:rPr>
                                <w:rFonts w:ascii="楷体_GB2312" w:eastAsia="楷体_GB2312" w:cs="楷体_GB2312" w:hint="eastAsia"/>
                                <w:b/>
                                <w:sz w:val="32"/>
                                <w:szCs w:val="32"/>
                              </w:rPr>
                            </w:pPr>
                            <w:r>
                              <w:rPr>
                                <w:rFonts w:ascii="楷体_GB2312" w:eastAsia="楷体_GB2312" w:cs="楷体_GB2312" w:hint="eastAsia"/>
                                <w:b/>
                                <w:sz w:val="32"/>
                                <w:szCs w:val="32"/>
                              </w:rPr>
                              <w:t>专栏五 海洋监测监管能力提升重点工程</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1.海洋生态环境实时监测能力提升工程。依托已有海洋站（点）搭载化学要素监测设备，实现“一站多能”。在三都澳、闽江口、江阴、湄洲湾、古雷、诏安、东山等敏感度、风险较大或污染较重的重点海域，新建、升级或改造浮标站，加强海洋化学、生物生态等要素监测能力。</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2.海洋观测网提升与综合保障工程。在沿海重要海湾优化布局海洋观（监）测网，优化整合、新增建设一批海洋潮位站、岸基雷达、浮标、海床基观（监）测系统和海上观（监）测平台等。</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3.智慧海洋大数据中心建设工程。打造海洋生态监测数据共享平台，形成融合海洋基础地理、水文数据、气象数据、海洋环境、生态、渔业等的海洋大数据体系。</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4.海洋观测科研试验平台建设工程。依托国家野外台站新建闽南近海海洋观测网岸基中心，在兄弟屿建设综合观测浮标，在漳州核电站附近海域新建一座浮标站，在苏峰山景区建设2-3个高分辨率岸滩监视监测系统等，为邻近闽南海洋养殖、海洋防灾减灾、海洋生态保护与修复、海洋航运、海岸带保护等方面提供服务和安全保障。</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5.台湾海峡近海海域目标环境主动观测和综合感知网建设工程。建设近海海面目标和环境动力学观监测网、综合态势感知大数据算法算力和应用服务平台，包括近海雷达站、地波雷达站、船载/平台、水面无人机、无人艇移动感知系统等，实现对近海20海里海上目标及态势感知，对近海100公里海表层动力学环境流场、浪场、风场的大面积、高精度观测。</w:t>
                            </w:r>
                          </w:p>
                        </w:txbxContent>
                      </wps:txbx>
                      <wps:bodyPr vert="horz" wrap="square" lIns="91440" tIns="45720" rIns="91440" bIns="45720" anchor="t" anchorCtr="0" upright="1">
                        <a:spAutoFit/>
                      </wps:bodyPr>
                    </wps:wsp>
                  </a:graphicData>
                </a:graphic>
              </wp:inline>
            </w:drawing>
          </mc:Choice>
          <mc:Fallback>
            <w:pict>
              <v:rect type="#_x0000_t1" id="矩形 21" o:spid="_x0000_s21" fillcolor="#FFFFFF" stroked="t" style="width:415.3pt;height:660.6pt;mso-wrap-style:square;">
                <v:stroke color="#000000"/>
                <v:textbox id="861" inset="2.54mm,1.27mm,2.54mm,1.27mm" o:insetmode="custom" style="layout-flow:horizontal;v-text-anchor:top;mso-fit-shape-to-text:t;">
                  <w:txbxContent>
                    <w:p>
                      <w:pPr>
                        <w:overflowPunct w:val="0"/>
                        <w:adjustRightInd w:val="0"/>
                        <w:snapToGrid w:val="0"/>
                        <w:ind w:firstLineChars="0" w:firstLine="0"/>
                        <w:jc w:val="center"/>
                        <w:rPr>
                          <w:rFonts w:ascii="楷体_GB2312" w:eastAsia="楷体_GB2312" w:cs="楷体_GB2312" w:hint="eastAsia"/>
                          <w:b/>
                          <w:sz w:val="32"/>
                          <w:szCs w:val="32"/>
                        </w:rPr>
                      </w:pPr>
                      <w:r>
                        <w:rPr>
                          <w:rFonts w:ascii="楷体_GB2312" w:eastAsia="楷体_GB2312" w:cs="楷体_GB2312" w:hint="eastAsia"/>
                          <w:b/>
                          <w:sz w:val="32"/>
                          <w:szCs w:val="32"/>
                        </w:rPr>
                        <w:t>专栏五 海洋监测监管能力提升重点工程</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1.海洋生态环境实时监测能力提升工程。依托已有海洋站（点）搭载化学要素监测设备，实现“一站多能”。在三都澳、闽江口、江阴、湄洲湾、古雷、诏安、东山等敏感度、风险较大或污染较重的重点海域，新建、升级或改造浮标站，加强海洋化学、生物生态等要素监测能力。</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2.海洋观测网提升与综合保障工程。在沿海重要海湾优化布局海洋观（监）测网，优化整合、新增建设一批海洋潮位站、岸基雷达、浮标、海床基观（监）测系统和海上观（监）测平台等。</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3.智慧海洋大数据中心建设工程。打造海洋生态监测数据共享平台，形成融合海洋基础地理、水文数据、气象数据、海洋环境、生态、渔业等的海洋大数据体系。</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4.海洋观测科研试验平台建设工程。依托国家野外台站新建闽南近海海洋观测网岸基中心，在兄弟屿建设综合观测浮标，在漳州核电站附近海域新建一座浮标站，在苏峰山景区建设2-3个高分辨率岸滩监视监测系统等，为邻近闽南海洋养殖、海洋防灾减灾、海洋生态保护与修复、海洋航运、海岸带保护等方面提供服务和安全保障。</w:t>
                      </w:r>
                    </w:p>
                    <w:p>
                      <w:pPr>
                        <w:adjustRightInd w:val="0"/>
                        <w:snapToGrid w:val="0"/>
                        <w:spacing w:line="288" w:lineRule="auto"/>
                        <w:rPr>
                          <w:rFonts w:ascii="仿宋_GB2312" w:cs="仿宋_GB2312" w:hint="eastAsia"/>
                          <w:sz w:val="32"/>
                          <w:szCs w:val="32"/>
                        </w:rPr>
                      </w:pPr>
                      <w:r>
                        <w:rPr>
                          <w:rFonts w:ascii="仿宋_GB2312" w:cs="仿宋_GB2312" w:hint="eastAsia"/>
                          <w:sz w:val="32"/>
                          <w:szCs w:val="32"/>
                        </w:rPr>
                        <w:t>5.台湾海峡近海海域目标环境主动观测和综合感知网建设工程。建设近海海面目标和环境动力学观监测网、综合态势感知大数据算法算力和应用服务平台，包括近海雷达站、地波雷达站、船载/平台、水面无人机、无人艇移动感知系统等，实现对近海20海里海上目标及态势感知，对近海100公里海表层动力学环境流场、浪场、风场的大面积、高精度观测。</w:t>
                      </w:r>
                    </w:p>
                  </w:txbxContent>
                </v:textbox>
                <w10:anchorLock/>
              </v:rect>
            </w:pict>
          </mc:Fallback>
        </mc:AlternateContent>
      </w:r>
    </w:p>
    <w:p>
      <w:pPr>
        <w:pStyle w:val="403"/>
        <w:overflowPunct w:val="0"/>
        <w:snapToGrid w:val="0"/>
        <w:spacing w:beforeLines="0" w:before="0" w:afterLines="0" w:after="0"/>
        <w:rPr>
          <w:szCs w:val="32"/>
        </w:rPr>
      </w:pPr>
      <w:bookmarkStart w:id="414" w:name="_Toc63867458"/>
      <w:bookmarkStart w:id="415" w:name="_Toc63864014"/>
      <w:bookmarkStart w:id="416" w:name="_Toc12531"/>
      <w:bookmarkStart w:id="417" w:name="_Toc14661"/>
      <w:bookmarkStart w:id="418" w:name="_Toc19749"/>
      <w:bookmarkStart w:id="419" w:name="_Toc93504303"/>
      <w:bookmarkStart w:id="420" w:name="_Toc318290200"/>
      <w:bookmarkStart w:id="421" w:name="_Toc14974"/>
      <w:bookmarkStart w:id="422" w:name="_Toc320111200"/>
      <w:bookmarkStart w:id="423" w:name="_Toc87460076"/>
      <w:bookmarkEnd w:id="295"/>
      <w:bookmarkEnd w:id="414"/>
      <w:bookmarkEnd w:id="415"/>
      <w:r>
        <w:rPr>
          <w:rFonts w:ascii="Times New Roman" w:cs="Times New Roman" w:hAnsi="Times New Roman" w:hint="eastAsia"/>
          <w:bCs/>
          <w:kern w:val="44"/>
          <w:szCs w:val="32"/>
        </w:rPr>
        <w:t xml:space="preserve">第九章 </w:t>
      </w:r>
      <w:r>
        <w:rPr>
          <w:rFonts w:ascii="Times New Roman" w:cs="Times New Roman" w:hAnsi="Times New Roman"/>
          <w:bCs/>
          <w:kern w:val="44"/>
          <w:szCs w:val="32"/>
        </w:rPr>
        <w:t>保障措施</w:t>
      </w:r>
      <w:bookmarkEnd w:id="416"/>
      <w:bookmarkEnd w:id="417"/>
      <w:bookmarkEnd w:id="418"/>
      <w:bookmarkEnd w:id="419"/>
    </w:p>
    <w:p>
      <w:pPr>
        <w:overflowPunct w:val="0"/>
        <w:adjustRightInd w:val="0"/>
        <w:snapToGrid w:val="0"/>
        <w:rPr>
          <w:rFonts w:hint="eastAsia"/>
          <w:sz w:val="32"/>
          <w:szCs w:val="32"/>
        </w:rPr>
      </w:pPr>
    </w:p>
    <w:p>
      <w:pPr>
        <w:overflowPunct w:val="0"/>
        <w:adjustRightInd w:val="0"/>
        <w:snapToGrid w:val="0"/>
        <w:rPr>
          <w:rFonts w:hint="eastAsia"/>
          <w:sz w:val="32"/>
          <w:szCs w:val="32"/>
        </w:rPr>
      </w:pPr>
      <w:r>
        <w:rPr>
          <w:rFonts w:hint="eastAsia"/>
          <w:sz w:val="32"/>
          <w:szCs w:val="32"/>
        </w:rPr>
        <w:t>加强组织领导，明确目标责任和考核机制，加大投资力度，强化宣传教育和公众参与，确保规划顺利实施、目标圆满实现、各项任务全面完成。</w:t>
      </w:r>
    </w:p>
    <w:p>
      <w:pPr>
        <w:overflowPunct w:val="0"/>
        <w:adjustRightInd w:val="0"/>
        <w:snapToGrid w:val="0"/>
        <w:rPr>
          <w:rFonts w:hint="eastAsia"/>
          <w:sz w:val="32"/>
          <w:szCs w:val="32"/>
        </w:rPr>
      </w:pPr>
    </w:p>
    <w:p>
      <w:pPr>
        <w:pStyle w:val="404"/>
        <w:overflowPunct w:val="0"/>
        <w:adjustRightInd w:val="0"/>
        <w:snapToGrid w:val="0"/>
        <w:spacing w:beforeLines="0" w:before="0" w:afterLines="0" w:after="0"/>
        <w:ind w:firstLineChars="0" w:firstLine="0"/>
        <w:rPr>
          <w:rFonts w:ascii="Times New Roman" w:cs="Times New Roman" w:hAnsi="Times New Roman"/>
          <w:szCs w:val="32"/>
        </w:rPr>
      </w:pPr>
      <w:bookmarkStart w:id="424" w:name="_Toc93504304"/>
      <w:bookmarkStart w:id="425" w:name="_Toc15501"/>
      <w:bookmarkStart w:id="426" w:name="_Toc11440"/>
      <w:bookmarkStart w:id="427" w:name="_Toc22310"/>
      <w:r>
        <w:rPr>
          <w:rFonts w:ascii="Times New Roman" w:cs="Times New Roman" w:hAnsi="Times New Roman"/>
          <w:szCs w:val="32"/>
        </w:rPr>
        <w:t>第</w:t>
      </w:r>
      <w:r>
        <w:rPr>
          <w:rFonts w:ascii="Times New Roman" w:cs="Times New Roman" w:hAnsi="Times New Roman" w:hint="eastAsia"/>
          <w:szCs w:val="32"/>
        </w:rPr>
        <w:t>一</w:t>
      </w:r>
      <w:r>
        <w:rPr>
          <w:rFonts w:ascii="Times New Roman" w:cs="Times New Roman" w:hAnsi="Times New Roman"/>
          <w:szCs w:val="32"/>
        </w:rPr>
        <w:t>节 加强组织</w:t>
      </w:r>
      <w:bookmarkEnd w:id="424"/>
      <w:bookmarkEnd w:id="425"/>
      <w:bookmarkEnd w:id="426"/>
      <w:r>
        <w:rPr>
          <w:rFonts w:ascii="Times New Roman" w:cs="Times New Roman" w:hAnsi="Times New Roman"/>
          <w:szCs w:val="32"/>
        </w:rPr>
        <w:t>实施</w:t>
      </w:r>
      <w:bookmarkEnd w:id="427"/>
    </w:p>
    <w:p>
      <w:pPr>
        <w:overflowPunct w:val="0"/>
        <w:adjustRightInd w:val="0"/>
        <w:snapToGrid w:val="0"/>
        <w:rPr>
          <w:rFonts w:hint="eastAsia"/>
          <w:sz w:val="32"/>
          <w:szCs w:val="32"/>
        </w:rPr>
      </w:pPr>
    </w:p>
    <w:p>
      <w:pPr>
        <w:overflowPunct w:val="0"/>
        <w:adjustRightInd w:val="0"/>
        <w:snapToGrid w:val="0"/>
        <w:rPr>
          <w:rFonts w:hint="eastAsia"/>
          <w:sz w:val="32"/>
          <w:szCs w:val="32"/>
        </w:rPr>
      </w:pPr>
      <w:r>
        <w:rPr>
          <w:rFonts w:hint="eastAsia"/>
          <w:sz w:val="32"/>
          <w:szCs w:val="32"/>
        </w:rPr>
        <w:t>沿海</w:t>
      </w:r>
      <w:r>
        <w:rPr>
          <w:sz w:val="32"/>
          <w:szCs w:val="32"/>
        </w:rPr>
        <w:t>各级</w:t>
      </w:r>
      <w:r>
        <w:rPr>
          <w:rFonts w:hint="eastAsia"/>
          <w:sz w:val="32"/>
          <w:szCs w:val="32"/>
        </w:rPr>
        <w:t>人民</w:t>
      </w:r>
      <w:r>
        <w:rPr>
          <w:sz w:val="32"/>
          <w:szCs w:val="32"/>
        </w:rPr>
        <w:t>政府是规划实施的责任主体，</w:t>
      </w:r>
      <w:r>
        <w:rPr>
          <w:rFonts w:hint="eastAsia"/>
          <w:sz w:val="32"/>
          <w:szCs w:val="32"/>
        </w:rPr>
        <w:t>要加强组织领导、统筹协调和责任分工，落实“党政同责”“一岗双责”，层层</w:t>
      </w:r>
      <w:r>
        <w:rPr>
          <w:sz w:val="32"/>
          <w:szCs w:val="32"/>
        </w:rPr>
        <w:t>分解落实</w:t>
      </w:r>
      <w:r>
        <w:rPr>
          <w:rFonts w:hint="eastAsia"/>
          <w:sz w:val="32"/>
          <w:szCs w:val="32"/>
        </w:rPr>
        <w:t>规划各项目标指标任务，</w:t>
      </w:r>
      <w:r>
        <w:rPr>
          <w:sz w:val="32"/>
          <w:szCs w:val="32"/>
        </w:rPr>
        <w:t>做到“守土有责、守土负责、守土尽责”。</w:t>
      </w:r>
      <w:r>
        <w:rPr>
          <w:rFonts w:hint="eastAsia"/>
          <w:sz w:val="32"/>
          <w:szCs w:val="32"/>
        </w:rPr>
        <w:t>各有关部门要肩负起所承担的海洋生态环境保护职责，强化部门协作和督促指导，确保规划顺利实施。生态环境部门要加强海洋生态环境保护工作的统一指导、协调和监督，建立健全与</w:t>
      </w:r>
      <w:r>
        <w:rPr>
          <w:rFonts w:hint="eastAsia"/>
          <w:sz w:val="32"/>
          <w:szCs w:val="32"/>
          <w:lang w:eastAsia="zh-CN"/>
        </w:rPr>
        <w:t>发展改革</w:t>
      </w:r>
      <w:r>
        <w:rPr>
          <w:rFonts w:hint="eastAsia"/>
          <w:sz w:val="32"/>
          <w:szCs w:val="32"/>
        </w:rPr>
        <w:t>、自然资源、海洋渔业、住建、交通运输、农业农村、林业、海警、海事等相关部门统筹协调机制，定期研究解决重大问题，科学决策、精准施策，合力推进规划目标任务顺利完成。创新海洋生态环境监管工作机制，监督各有关企业落实海洋生态环境保护的主体责任。</w:t>
      </w:r>
    </w:p>
    <w:p>
      <w:pPr>
        <w:overflowPunct w:val="0"/>
        <w:adjustRightInd w:val="0"/>
        <w:snapToGrid w:val="0"/>
        <w:rPr>
          <w:sz w:val="32"/>
          <w:szCs w:val="32"/>
        </w:rPr>
      </w:pPr>
    </w:p>
    <w:p>
      <w:pPr>
        <w:pStyle w:val="16"/>
        <w:overflowPunct w:val="0"/>
        <w:adjustRightInd w:val="0"/>
        <w:snapToGrid w:val="0"/>
      </w:pPr>
    </w:p>
    <w:p>
      <w:pPr>
        <w:pStyle w:val="404"/>
        <w:overflowPunct w:val="0"/>
        <w:adjustRightInd w:val="0"/>
        <w:snapToGrid w:val="0"/>
        <w:spacing w:beforeLines="0" w:before="0" w:afterLines="0" w:after="0"/>
        <w:ind w:firstLineChars="0" w:firstLine="0"/>
        <w:rPr>
          <w:rFonts w:ascii="Times New Roman" w:cs="Times New Roman" w:hAnsi="Times New Roman"/>
          <w:szCs w:val="32"/>
        </w:rPr>
      </w:pPr>
      <w:bookmarkStart w:id="428" w:name="_Toc18649"/>
      <w:bookmarkStart w:id="429" w:name="_Toc2493"/>
      <w:bookmarkStart w:id="430" w:name="_Toc93504305"/>
      <w:bookmarkStart w:id="431" w:name="_Toc21926"/>
      <w:r>
        <w:rPr>
          <w:rFonts w:ascii="Times New Roman" w:cs="Times New Roman" w:hAnsi="Times New Roman"/>
          <w:szCs w:val="32"/>
        </w:rPr>
        <w:t>第</w:t>
      </w:r>
      <w:r>
        <w:rPr>
          <w:rFonts w:ascii="Times New Roman" w:cs="Times New Roman" w:hAnsi="Times New Roman" w:hint="eastAsia"/>
          <w:szCs w:val="32"/>
        </w:rPr>
        <w:t>二</w:t>
      </w:r>
      <w:r>
        <w:rPr>
          <w:rFonts w:ascii="Times New Roman" w:cs="Times New Roman" w:hAnsi="Times New Roman"/>
          <w:szCs w:val="32"/>
        </w:rPr>
        <w:t xml:space="preserve">节 </w:t>
      </w:r>
      <w:r>
        <w:rPr>
          <w:rFonts w:ascii="Times New Roman" w:cs="Times New Roman" w:hAnsi="Times New Roman" w:hint="eastAsia"/>
          <w:szCs w:val="32"/>
        </w:rPr>
        <w:t>强化</w:t>
      </w:r>
      <w:r>
        <w:rPr>
          <w:rFonts w:ascii="Times New Roman" w:cs="Times New Roman" w:hAnsi="Times New Roman"/>
          <w:b/>
          <w:szCs w:val="32"/>
          <w:lang w:val="en-US" w:eastAsia="zh-CN"/>
        </w:rPr>
        <w:t>资金</w:t>
      </w:r>
      <w:r>
        <w:rPr>
          <w:rFonts w:ascii="Times New Roman" w:cs="Times New Roman" w:hAnsi="Times New Roman" w:hint="eastAsia"/>
          <w:szCs w:val="32"/>
        </w:rPr>
        <w:t>保障</w:t>
      </w:r>
      <w:bookmarkEnd w:id="428"/>
      <w:bookmarkEnd w:id="429"/>
      <w:bookmarkEnd w:id="430"/>
      <w:bookmarkEnd w:id="431"/>
    </w:p>
    <w:p>
      <w:pPr>
        <w:overflowPunct w:val="0"/>
        <w:adjustRightInd w:val="0"/>
        <w:snapToGrid w:val="0"/>
        <w:rPr>
          <w:rFonts w:hint="eastAsia"/>
          <w:sz w:val="32"/>
          <w:szCs w:val="32"/>
        </w:rPr>
      </w:pPr>
    </w:p>
    <w:p>
      <w:pPr>
        <w:overflowPunct w:val="0"/>
        <w:adjustRightInd w:val="0"/>
        <w:snapToGrid w:val="0"/>
        <w:rPr>
          <w:rFonts w:hint="eastAsia"/>
          <w:sz w:val="32"/>
          <w:szCs w:val="32"/>
        </w:rPr>
      </w:pPr>
      <w:r>
        <w:rPr>
          <w:rFonts w:hint="eastAsia"/>
          <w:sz w:val="32"/>
          <w:szCs w:val="32"/>
        </w:rPr>
        <w:t>坚持资金投入同“十四五”海洋生态环境保护任务相匹配，积极争取中央海洋生态保护修复资金，统筹保障近岸海域污染防治、“美丽海湾”保护与建设、海洋治理能力提升等工作。围绕规划目标和主要任务，推进建设一批海洋领域重大工程项目。合理安排支出规模和结构，财政性资金优先投向规划确定的重大任务和重大工程项目。完善市场化投融资机制，建立“政府引导、企业为主、社会参与”的多元化筹资机制，鼓励专业化公司承担海洋生态</w:t>
      </w:r>
      <w:r>
        <w:rPr>
          <w:rFonts w:hint="eastAsia"/>
          <w:sz w:val="32"/>
          <w:szCs w:val="32"/>
          <w:lang w:eastAsia="zh-CN"/>
        </w:rPr>
        <w:t>环境</w:t>
      </w:r>
      <w:r>
        <w:rPr>
          <w:rFonts w:hint="eastAsia"/>
          <w:sz w:val="32"/>
          <w:szCs w:val="32"/>
        </w:rPr>
        <w:t>治理设施的建设或运营，积极探索建立海洋生态环境责任保险制度等。</w:t>
      </w:r>
    </w:p>
    <w:p>
      <w:pPr>
        <w:overflowPunct w:val="0"/>
        <w:adjustRightInd w:val="0"/>
        <w:snapToGrid w:val="0"/>
        <w:rPr>
          <w:rFonts w:hint="eastAsia"/>
          <w:sz w:val="32"/>
          <w:szCs w:val="32"/>
        </w:rPr>
      </w:pPr>
    </w:p>
    <w:p>
      <w:pPr>
        <w:pStyle w:val="404"/>
        <w:overflowPunct w:val="0"/>
        <w:adjustRightInd w:val="0"/>
        <w:snapToGrid w:val="0"/>
        <w:spacing w:beforeLines="0" w:before="0" w:afterLines="0" w:after="0"/>
        <w:ind w:firstLineChars="0" w:firstLine="0"/>
        <w:rPr>
          <w:rFonts w:ascii="Times New Roman" w:cs="Times New Roman" w:hAnsi="Times New Roman"/>
          <w:szCs w:val="32"/>
        </w:rPr>
      </w:pPr>
      <w:bookmarkStart w:id="432" w:name="_Toc31756"/>
      <w:bookmarkStart w:id="433" w:name="_Toc25236"/>
      <w:bookmarkStart w:id="434" w:name="_Toc93504306"/>
      <w:bookmarkStart w:id="435" w:name="_Toc18657"/>
      <w:r>
        <w:rPr>
          <w:rFonts w:ascii="Times New Roman" w:cs="Times New Roman" w:hAnsi="Times New Roman"/>
          <w:szCs w:val="32"/>
        </w:rPr>
        <w:t>第</w:t>
      </w:r>
      <w:r>
        <w:rPr>
          <w:rFonts w:ascii="Times New Roman" w:cs="Times New Roman" w:hAnsi="Times New Roman" w:hint="eastAsia"/>
          <w:szCs w:val="32"/>
        </w:rPr>
        <w:t>三</w:t>
      </w:r>
      <w:r>
        <w:rPr>
          <w:rFonts w:ascii="Times New Roman" w:cs="Times New Roman" w:hAnsi="Times New Roman"/>
          <w:szCs w:val="32"/>
        </w:rPr>
        <w:t xml:space="preserve">节 </w:t>
      </w:r>
      <w:r>
        <w:rPr>
          <w:rFonts w:ascii="Times New Roman" w:cs="Times New Roman" w:hAnsi="Times New Roman" w:hint="eastAsia"/>
          <w:szCs w:val="32"/>
        </w:rPr>
        <w:t>强化科技支撑</w:t>
      </w:r>
      <w:bookmarkEnd w:id="432"/>
      <w:bookmarkEnd w:id="433"/>
      <w:bookmarkEnd w:id="434"/>
      <w:bookmarkEnd w:id="435"/>
    </w:p>
    <w:p>
      <w:pPr>
        <w:overflowPunct w:val="0"/>
        <w:adjustRightInd w:val="0"/>
        <w:snapToGrid w:val="0"/>
        <w:rPr>
          <w:rFonts w:hint="eastAsia"/>
          <w:sz w:val="32"/>
          <w:szCs w:val="32"/>
        </w:rPr>
      </w:pPr>
    </w:p>
    <w:p>
      <w:pPr>
        <w:overflowPunct w:val="0"/>
        <w:adjustRightInd w:val="0"/>
        <w:snapToGrid w:val="0"/>
        <w:rPr>
          <w:rFonts w:hint="eastAsia"/>
          <w:sz w:val="32"/>
          <w:szCs w:val="32"/>
        </w:rPr>
      </w:pPr>
      <w:r>
        <w:rPr>
          <w:rFonts w:hint="eastAsia"/>
          <w:sz w:val="32"/>
          <w:szCs w:val="32"/>
        </w:rPr>
        <w:t>依托重点高校、科研院所加强海洋生态环境领域技术研发能力建设，重点培养海洋生态环境领域的高层次人才。加强海洋生态安全保障与综合治理科技创新，在海洋生态环保领域创建省级重点实验室，攻关一批在海洋污染治理和生态修复领域具有核心竞争力的前沿技术，强化</w:t>
      </w:r>
      <w:r>
        <w:rPr>
          <w:sz w:val="32"/>
          <w:szCs w:val="32"/>
        </w:rPr>
        <w:t>“</w:t>
      </w:r>
      <w:r>
        <w:rPr>
          <w:rFonts w:hint="eastAsia"/>
          <w:sz w:val="32"/>
          <w:szCs w:val="32"/>
        </w:rPr>
        <w:t>美丽海湾</w:t>
      </w:r>
      <w:r>
        <w:rPr>
          <w:sz w:val="32"/>
          <w:szCs w:val="32"/>
        </w:rPr>
        <w:t>”</w:t>
      </w:r>
      <w:r>
        <w:rPr>
          <w:rFonts w:hint="eastAsia"/>
          <w:sz w:val="32"/>
          <w:szCs w:val="32"/>
        </w:rPr>
        <w:t>保护与建设的技术支撑。积极发挥国家和省级科技成果转化引导基金作用，搭建线上线下融合的产学研合作专业平台，促进重点绿色技术创新成果转化应用。推进一批海洋科技研发项目，转化一批海洋科技创新成果，培育引进一批海洋科技创新人才。</w:t>
      </w:r>
    </w:p>
    <w:p>
      <w:pPr>
        <w:overflowPunct w:val="0"/>
        <w:adjustRightInd w:val="0"/>
        <w:snapToGrid w:val="0"/>
        <w:rPr>
          <w:rFonts w:hint="eastAsia"/>
          <w:sz w:val="32"/>
          <w:szCs w:val="32"/>
        </w:rPr>
      </w:pPr>
    </w:p>
    <w:p>
      <w:pPr>
        <w:pStyle w:val="404"/>
        <w:overflowPunct w:val="0"/>
        <w:adjustRightInd w:val="0"/>
        <w:snapToGrid w:val="0"/>
        <w:spacing w:beforeLines="0" w:before="0" w:afterLines="0" w:after="0"/>
        <w:ind w:firstLineChars="0" w:firstLine="0"/>
        <w:rPr>
          <w:rFonts w:ascii="Times New Roman" w:cs="Times New Roman" w:hAnsi="Times New Roman"/>
          <w:szCs w:val="32"/>
        </w:rPr>
      </w:pPr>
      <w:bookmarkStart w:id="436" w:name="_Toc27788"/>
      <w:bookmarkStart w:id="437" w:name="_Toc12298"/>
      <w:bookmarkStart w:id="438" w:name="_Toc27132"/>
      <w:bookmarkStart w:id="439" w:name="_Toc93504307"/>
      <w:r>
        <w:rPr>
          <w:rFonts w:ascii="Times New Roman" w:cs="Times New Roman" w:hAnsi="Times New Roman"/>
          <w:szCs w:val="32"/>
        </w:rPr>
        <w:t>第</w:t>
      </w:r>
      <w:r>
        <w:rPr>
          <w:rFonts w:ascii="Times New Roman" w:cs="Times New Roman" w:hAnsi="Times New Roman" w:hint="eastAsia"/>
          <w:szCs w:val="32"/>
        </w:rPr>
        <w:t>四</w:t>
      </w:r>
      <w:r>
        <w:rPr>
          <w:rFonts w:ascii="Times New Roman" w:cs="Times New Roman" w:hAnsi="Times New Roman"/>
          <w:szCs w:val="32"/>
        </w:rPr>
        <w:t>节 开展评估考核</w:t>
      </w:r>
      <w:bookmarkEnd w:id="436"/>
      <w:bookmarkEnd w:id="437"/>
      <w:bookmarkEnd w:id="438"/>
      <w:bookmarkEnd w:id="439"/>
    </w:p>
    <w:p>
      <w:pPr>
        <w:overflowPunct w:val="0"/>
        <w:adjustRightInd w:val="0"/>
        <w:snapToGrid w:val="0"/>
        <w:rPr>
          <w:rFonts w:hint="eastAsia"/>
          <w:sz w:val="32"/>
          <w:szCs w:val="32"/>
        </w:rPr>
      </w:pPr>
    </w:p>
    <w:p>
      <w:pPr>
        <w:overflowPunct w:val="0"/>
        <w:adjustRightInd w:val="0"/>
        <w:snapToGrid w:val="0"/>
        <w:rPr>
          <w:rFonts w:hint="eastAsia"/>
          <w:sz w:val="32"/>
          <w:szCs w:val="32"/>
        </w:rPr>
      </w:pPr>
      <w:r>
        <w:rPr>
          <w:rFonts w:hint="eastAsia"/>
          <w:sz w:val="32"/>
          <w:szCs w:val="32"/>
        </w:rPr>
        <w:t>完善监测评估制度，强化对规划落实情况的动态监管，推动建立“清单制部署、项目化推进、一张图监管、动态化评估”等制度机制。完善考核办法，分区分类制定沿海地区差异化的近岸海域生态环境质量考核目标指标。在2023年底、2025年底</w:t>
      </w:r>
      <w:r>
        <w:rPr>
          <w:rFonts w:hint="eastAsia"/>
          <w:sz w:val="32"/>
          <w:szCs w:val="32"/>
          <w:lang w:eastAsia="zh-CN"/>
        </w:rPr>
        <w:t>，</w:t>
      </w:r>
      <w:r>
        <w:rPr>
          <w:rFonts w:hint="eastAsia"/>
          <w:sz w:val="32"/>
          <w:szCs w:val="32"/>
        </w:rPr>
        <w:t>重点对规划目标、主要任务及重点工程实施进展和海洋生态环境质量改善成效等进行中期评估和总结评估。充分发挥评估考核的导向作用，</w:t>
      </w:r>
      <w:r>
        <w:rPr>
          <w:sz w:val="32"/>
          <w:szCs w:val="32"/>
        </w:rPr>
        <w:t>把规划主要任务和目标纳入</w:t>
      </w:r>
      <w:r>
        <w:rPr>
          <w:rFonts w:hint="eastAsia"/>
          <w:sz w:val="32"/>
          <w:szCs w:val="32"/>
        </w:rPr>
        <w:t>党政领导生态环境保护目标责任书</w:t>
      </w:r>
      <w:r>
        <w:rPr>
          <w:sz w:val="32"/>
          <w:szCs w:val="32"/>
        </w:rPr>
        <w:t>，</w:t>
      </w:r>
      <w:r>
        <w:rPr>
          <w:rFonts w:hint="eastAsia"/>
          <w:sz w:val="32"/>
          <w:szCs w:val="32"/>
        </w:rPr>
        <w:t>将考核结果作为</w:t>
      </w:r>
      <w:r>
        <w:rPr>
          <w:sz w:val="32"/>
          <w:szCs w:val="32"/>
        </w:rPr>
        <w:t>审批环境保护与生态建设领域重大项目、安排政府投资</w:t>
      </w:r>
      <w:r>
        <w:rPr>
          <w:rFonts w:hint="eastAsia"/>
          <w:sz w:val="32"/>
          <w:szCs w:val="32"/>
        </w:rPr>
        <w:t>、分配海洋生态环境保护相关资金的参考依据。</w:t>
      </w:r>
    </w:p>
    <w:p>
      <w:pPr>
        <w:overflowPunct w:val="0"/>
        <w:adjustRightInd w:val="0"/>
        <w:snapToGrid w:val="0"/>
        <w:rPr>
          <w:rFonts w:hint="eastAsia"/>
          <w:sz w:val="32"/>
          <w:szCs w:val="32"/>
        </w:rPr>
      </w:pPr>
    </w:p>
    <w:p>
      <w:pPr>
        <w:pStyle w:val="404"/>
        <w:overflowPunct w:val="0"/>
        <w:adjustRightInd w:val="0"/>
        <w:snapToGrid w:val="0"/>
        <w:spacing w:beforeLines="0" w:before="0" w:afterLines="0" w:after="0"/>
        <w:ind w:firstLineChars="0" w:firstLine="0"/>
        <w:rPr>
          <w:rFonts w:ascii="Times New Roman" w:cs="Times New Roman" w:hAnsi="Times New Roman" w:hint="eastAsia"/>
          <w:szCs w:val="32"/>
        </w:rPr>
      </w:pPr>
      <w:bookmarkStart w:id="440" w:name="_Toc93504308"/>
      <w:bookmarkStart w:id="441" w:name="_Toc7865"/>
      <w:bookmarkStart w:id="442" w:name="_Toc2001"/>
      <w:bookmarkStart w:id="443" w:name="_Toc26691"/>
      <w:r>
        <w:rPr>
          <w:rFonts w:ascii="Times New Roman" w:cs="Times New Roman" w:hAnsi="Times New Roman" w:hint="eastAsia"/>
          <w:szCs w:val="32"/>
        </w:rPr>
        <w:t>第五节 强化宣传引导</w:t>
      </w:r>
      <w:bookmarkEnd w:id="440"/>
      <w:bookmarkEnd w:id="441"/>
      <w:bookmarkEnd w:id="442"/>
      <w:bookmarkEnd w:id="443"/>
    </w:p>
    <w:p>
      <w:pPr>
        <w:overflowPunct w:val="0"/>
        <w:adjustRightInd w:val="0"/>
        <w:snapToGrid w:val="0"/>
        <w:rPr>
          <w:sz w:val="32"/>
          <w:szCs w:val="32"/>
        </w:rPr>
      </w:pPr>
    </w:p>
    <w:p>
      <w:pPr>
        <w:overflowPunct w:val="0"/>
        <w:adjustRightInd w:val="0"/>
        <w:snapToGrid w:val="0"/>
        <w:rPr>
          <w:sz w:val="32"/>
          <w:szCs w:val="32"/>
        </w:rPr>
      </w:pPr>
      <w:r>
        <w:rPr>
          <w:sz w:val="32"/>
          <w:szCs w:val="32"/>
        </w:rPr>
        <w:t>发挥新闻</w:t>
      </w:r>
      <w:r>
        <w:rPr>
          <w:rFonts w:hint="eastAsia"/>
          <w:sz w:val="32"/>
          <w:szCs w:val="32"/>
          <w:lang w:eastAsia="zh-CN"/>
        </w:rPr>
        <w:t>媒体</w:t>
      </w:r>
      <w:r>
        <w:rPr>
          <w:sz w:val="32"/>
          <w:szCs w:val="32"/>
        </w:rPr>
        <w:t>的舆论监督和导向作用，</w:t>
      </w:r>
      <w:r>
        <w:rPr>
          <w:rFonts w:hint="eastAsia"/>
          <w:sz w:val="32"/>
          <w:szCs w:val="32"/>
        </w:rPr>
        <w:t>充分利用“2.2”世界湿地日、“4.22”世界地球日、“6.5”世界环境日、“6.8” 世界海洋日暨全国海洋宣传日等重要节点以及厦门国际海洋周等各类</w:t>
      </w:r>
      <w:r>
        <w:rPr>
          <w:rFonts w:hint="eastAsia"/>
          <w:sz w:val="32"/>
          <w:szCs w:val="32"/>
          <w:lang w:eastAsia="zh-CN"/>
        </w:rPr>
        <w:t>重大</w:t>
      </w:r>
      <w:r>
        <w:rPr>
          <w:rFonts w:hint="eastAsia"/>
          <w:sz w:val="32"/>
          <w:szCs w:val="32"/>
        </w:rPr>
        <w:t>活动，宣传普及海洋生态环境保护知识，传播海洋生态文明理念，引导公众参与保护海洋生态环境，提高全民的海洋环保意识。加强海洋生态环境保护信息公开，充分发挥环保举报热线和网络平台作用，逐步完善</w:t>
      </w:r>
      <w:r>
        <w:rPr>
          <w:rFonts w:hint="eastAsia"/>
          <w:sz w:val="32"/>
          <w:szCs w:val="32"/>
          <w:lang w:eastAsia="zh-CN"/>
        </w:rPr>
        <w:t>群众</w:t>
      </w:r>
      <w:r>
        <w:rPr>
          <w:rFonts w:hint="eastAsia"/>
          <w:sz w:val="32"/>
          <w:szCs w:val="32"/>
        </w:rPr>
        <w:t>监督和举报制度，</w:t>
      </w:r>
      <w:r>
        <w:rPr>
          <w:sz w:val="32"/>
          <w:szCs w:val="32"/>
        </w:rPr>
        <w:t>推动公众和民间环保组织参与近岸海域</w:t>
      </w:r>
      <w:r>
        <w:rPr>
          <w:rFonts w:hint="eastAsia"/>
          <w:sz w:val="32"/>
          <w:szCs w:val="32"/>
        </w:rPr>
        <w:t>污染防治</w:t>
      </w:r>
      <w:r>
        <w:rPr>
          <w:sz w:val="32"/>
          <w:szCs w:val="32"/>
        </w:rPr>
        <w:t>工作，维护公民的环境权益</w:t>
      </w:r>
      <w:r>
        <w:rPr>
          <w:rFonts w:hint="eastAsia"/>
          <w:sz w:val="32"/>
          <w:szCs w:val="32"/>
        </w:rPr>
        <w:t>，营造全社会共建共治共享的海洋生态环境</w:t>
      </w:r>
      <w:r>
        <w:rPr>
          <w:sz w:val="32"/>
          <w:szCs w:val="32"/>
        </w:rPr>
        <w:t>保护氛围。</w:t>
      </w:r>
    </w:p>
    <w:p>
      <w:pPr>
        <w:pStyle w:val="403"/>
        <w:adjustRightInd w:val="0"/>
        <w:snapToGrid w:val="0"/>
        <w:spacing w:beforeLines="0" w:before="0" w:afterLines="0" w:after="0"/>
        <w:jc w:val="both"/>
      </w:pPr>
      <w:r>
        <w:rPr>
          <w:szCs w:val="32"/>
        </w:rPr>
        <w:br w:type="page"/>
      </w:r>
      <w:bookmarkStart w:id="444" w:name="_Toc18014"/>
      <w:bookmarkStart w:id="445" w:name="_Toc87460082"/>
      <w:bookmarkStart w:id="446" w:name="_Toc67416016"/>
      <w:bookmarkStart w:id="447" w:name="_Toc10547"/>
      <w:bookmarkStart w:id="448" w:name="_Toc93504309"/>
      <w:bookmarkStart w:id="449" w:name="_Toc14613"/>
      <w:bookmarkStart w:id="450" w:name="_Toc12023"/>
      <w:bookmarkStart w:id="451" w:name="_Toc68681946"/>
      <w:bookmarkStart w:id="452" w:name="_Toc2477"/>
      <w:bookmarkStart w:id="453" w:name="_Toc21770"/>
      <w:bookmarkStart w:id="454" w:name="_Toc32097"/>
      <w:bookmarkStart w:id="455" w:name="_Toc9375"/>
      <w:bookmarkStart w:id="456" w:name="_Toc256118040"/>
      <w:bookmarkStart w:id="457" w:name="_Toc255082068"/>
      <w:bookmarkStart w:id="458" w:name="_Toc255082176"/>
      <w:bookmarkStart w:id="459" w:name="_Toc256116949"/>
      <w:bookmarkStart w:id="460" w:name="_Toc251575739"/>
      <w:bookmarkStart w:id="461" w:name="_Toc256110022"/>
      <w:bookmarkEnd w:id="420"/>
      <w:bookmarkEnd w:id="421"/>
      <w:bookmarkEnd w:id="422"/>
      <w:bookmarkEnd w:id="423"/>
      <w:r>
        <w:rPr>
          <w:rFonts w:hint="eastAsia"/>
        </w:rPr>
        <w:t>附图</w:t>
      </w:r>
      <w:bookmarkEnd w:id="444"/>
      <w:bookmarkEnd w:id="445"/>
      <w:bookmarkEnd w:id="446"/>
      <w:bookmarkEnd w:id="447"/>
      <w:bookmarkEnd w:id="448"/>
      <w:bookmarkEnd w:id="449"/>
      <w:bookmarkEnd w:id="450"/>
      <w:bookmarkEnd w:id="451"/>
      <w:bookmarkEnd w:id="452"/>
      <w:bookmarkEnd w:id="453"/>
      <w:bookmarkEnd w:id="454"/>
      <w:bookmarkEnd w:id="455"/>
    </w:p>
    <w:p>
      <w:pPr>
        <w:spacing w:line="240" w:lineRule="auto"/>
        <w:ind w:firstLineChars="0" w:firstLine="0"/>
        <w:rPr>
          <w:rFonts w:eastAsia="宋体"/>
          <w:szCs w:val="22"/>
        </w:rPr>
      </w:pPr>
      <w:r>
        <w:rPr>
          <w:rFonts w:eastAsia="宋体"/>
          <w:szCs w:val="22"/>
        </w:rPr>
        <w:drawing>
          <wp:inline distT="0" distB="0" distL="114300" distR="114300">
            <wp:extent cx="5276215" cy="6285865"/>
            <wp:effectExtent l="0" t="0" r="0" b="0"/>
            <wp:docPr id="22" name="图片 1"/>
            <wp:cNvGraphicFramePr>
              <a:graphicFrameLocks noChangeAspect="1"/>
            </wp:cNvGraphicFramePr>
            <a:graphic>
              <a:graphicData uri="http://schemas.openxmlformats.org/drawingml/2006/picture">
                <pic:pic>
                  <pic:nvPicPr>
                    <pic:cNvPr id="24" name="图片 1 24"/>
                    <pic:cNvPicPr/>
                  </pic:nvPicPr>
                  <pic:blipFill>
                    <a:blip r:embed="rId13"/>
                    <a:stretch>
                      <a:fillRect/>
                    </a:stretch>
                  </pic:blipFill>
                  <pic:spPr>
                    <a:xfrm rot="0">
                      <a:off x="0" y="0"/>
                      <a:ext cx="5276215" cy="6285865"/>
                    </a:xfrm>
                    <a:prstGeom prst="rect"/>
                    <a:noFill/>
                    <a:ln w="9525" cmpd="sng" cap="flat">
                      <a:noFill/>
                      <a:prstDash val="solid"/>
                      <a:round/>
                    </a:ln>
                  </pic:spPr>
                </pic:pic>
              </a:graphicData>
            </a:graphic>
          </wp:inline>
        </w:drawing>
      </w:r>
    </w:p>
    <w:p>
      <w:pPr>
        <w:pStyle w:val="404"/>
        <w:spacing w:beforeLines="0" w:before="0" w:afterLines="0" w:after="0"/>
        <w:ind w:firstLineChars="0" w:firstLine="560"/>
        <w:rPr>
          <w:rFonts w:ascii="楷体_GB2312" w:cs="楷体_GB2312" w:hint="eastAsia"/>
          <w:bCs/>
          <w:sz w:val="28"/>
        </w:rPr>
      </w:pPr>
      <w:bookmarkStart w:id="462" w:name="_Toc93504310"/>
      <w:bookmarkStart w:id="463" w:name="_Toc14299"/>
      <w:r>
        <w:rPr>
          <w:rFonts w:ascii="楷体_GB2312" w:cs="楷体_GB2312" w:hint="eastAsia"/>
          <w:bCs/>
          <w:sz w:val="28"/>
        </w:rPr>
        <w:t>附</w:t>
      </w:r>
      <w:r>
        <w:rPr>
          <w:rFonts w:ascii="楷体_GB2312" w:eastAsia="楷体_GB2312" w:cs="楷体_GB2312" w:hint="eastAsia"/>
          <w:b/>
          <w:bCs/>
          <w:sz w:val="28"/>
          <w:szCs w:val="28"/>
        </w:rPr>
        <w:t>图1 福建省海湾（湾区）管控单元分布图</w:t>
      </w:r>
      <w:bookmarkEnd w:id="462"/>
      <w:bookmarkEnd w:id="463"/>
    </w:p>
    <w:p>
      <w:pPr>
        <w:pStyle w:val="98"/>
      </w:pPr>
      <w:r>
        <w:rPr>
          <w:rFonts w:ascii="楷体_GB2312" w:eastAsia="楷体_GB2312" w:cs="楷体_GB2312" w:hint="eastAsia"/>
          <w:b/>
          <w:bCs/>
          <w:szCs w:val="32"/>
        </w:rPr>
        <w:br w:type="page"/>
      </w:r>
      <w:bookmarkStart w:id="464" w:name="_Toc3181"/>
      <w:bookmarkStart w:id="465" w:name="_Toc18904"/>
      <w:bookmarkStart w:id="466" w:name="_Toc30312"/>
      <w:bookmarkStart w:id="467" w:name="_Toc67416017"/>
      <w:bookmarkStart w:id="468" w:name="_Toc25765"/>
      <w:bookmarkStart w:id="469" w:name="_Toc30238"/>
      <w:bookmarkStart w:id="470" w:name="_Toc594"/>
      <w:bookmarkStart w:id="471" w:name="_Toc87460083"/>
      <w:bookmarkStart w:id="472" w:name="_Toc23895"/>
      <w:bookmarkStart w:id="473" w:name="_Toc68681947"/>
      <w:bookmarkStart w:id="474" w:name="_Toc11083"/>
      <w:r>
        <w:drawing>
          <wp:inline distT="0" distB="0" distL="114300" distR="114300">
            <wp:extent cx="5544185" cy="6595110"/>
            <wp:effectExtent l="0" t="0" r="0" b="0"/>
            <wp:docPr id="25" name="图片 3" descr="图片1"/>
            <wp:cNvGraphicFramePr>
              <a:graphicFrameLocks noChangeAspect="1"/>
            </wp:cNvGraphicFramePr>
            <a:graphic>
              <a:graphicData uri="http://schemas.openxmlformats.org/drawingml/2006/picture">
                <pic:pic>
                  <pic:nvPicPr>
                    <pic:cNvPr id="27" name="图片 3 27"/>
                    <pic:cNvPicPr/>
                  </pic:nvPicPr>
                  <pic:blipFill>
                    <a:blip r:embed="rId14"/>
                    <a:stretch>
                      <a:fillRect/>
                    </a:stretch>
                  </pic:blipFill>
                  <pic:spPr>
                    <a:xfrm rot="0">
                      <a:off x="0" y="0"/>
                      <a:ext cx="5544185" cy="6595110"/>
                    </a:xfrm>
                    <a:prstGeom prst="rect"/>
                    <a:noFill/>
                    <a:ln w="9525" cmpd="sng" cap="flat">
                      <a:noFill/>
                      <a:prstDash val="solid"/>
                      <a:miter/>
                    </a:ln>
                  </pic:spPr>
                </pic:pic>
              </a:graphicData>
            </a:graphic>
          </wp:inline>
        </w:drawing>
      </w:r>
      <w:bookmarkStart w:id="475" w:name="_Toc811"/>
      <w:bookmarkStart w:id="476" w:name="_Toc29598"/>
      <w:bookmarkStart w:id="477" w:name="_Toc13276"/>
      <w:bookmarkEnd w:id="464"/>
      <w:bookmarkEnd w:id="465"/>
      <w:bookmarkEnd w:id="466"/>
      <w:bookmarkEnd w:id="467"/>
      <w:bookmarkEnd w:id="468"/>
      <w:bookmarkEnd w:id="469"/>
      <w:bookmarkEnd w:id="470"/>
      <w:bookmarkEnd w:id="471"/>
      <w:bookmarkEnd w:id="472"/>
      <w:bookmarkEnd w:id="473"/>
      <w:r>
        <w:rPr>
          <w:rFonts w:eastAsia="楷体_GB2312" w:hint="eastAsia"/>
          <w:b/>
          <w:bCs/>
          <w:szCs w:val="24"/>
        </w:rPr>
        <w:t>附图2 福建省主要入海流域和海湾分布图</w:t>
      </w:r>
      <w:bookmarkEnd w:id="474"/>
      <w:bookmarkEnd w:id="475"/>
      <w:bookmarkEnd w:id="476"/>
      <w:bookmarkEnd w:id="477"/>
    </w:p>
    <w:p>
      <w:pPr>
        <w:keepNext w:val="0"/>
        <w:keepLines w:val="0"/>
        <w:widowControl/>
        <w:spacing w:line="240" w:lineRule="auto"/>
        <w:ind w:firstLineChars="0" w:firstLine="0"/>
        <w:jc w:val="left"/>
        <w:outlineLvl w:val="9"/>
      </w:pPr>
      <w:r>
        <w:br w:type="page"/>
      </w:r>
      <w:bookmarkStart w:id="478" w:name="_Toc8802"/>
    </w:p>
    <w:p>
      <w:pPr>
        <w:keepNext/>
        <w:keepLines/>
        <w:widowControl/>
        <w:spacing w:line="596" w:lineRule="exact"/>
        <w:ind w:firstLineChars="0" w:firstLine="0"/>
        <w:jc w:val="center"/>
        <w:outlineLvl w:val="1"/>
        <w:rPr>
          <w:rFonts w:hint="eastAsia"/>
        </w:rPr>
      </w:pPr>
      <w:bookmarkStart w:id="479" w:name="_Toc30565"/>
      <w:bookmarkStart w:id="480" w:name="_Toc8556"/>
      <w:r>
        <w:rPr>
          <w:rFonts w:ascii="楷体_GB2312" w:eastAsia="楷体_GB2312" w:cs="楷体_GB2312" w:hint="eastAsia"/>
          <w:b/>
          <w:bCs/>
          <w:szCs w:val="32"/>
        </w:rPr>
        <w:t>附图3 福建省海洋环境监测站位分布图</w:t>
      </w:r>
      <w:r>
        <w:drawing>
          <wp:anchor distT="0" distB="0" distL="114300" distR="114300" simplePos="0" relativeHeight="33" behindDoc="0" locked="0" layoutInCell="1" hidden="0" allowOverlap="1">
            <wp:simplePos x="0" y="0"/>
            <wp:positionH relativeFrom="column">
              <wp:posOffset>-666</wp:posOffset>
            </wp:positionH>
            <wp:positionV relativeFrom="paragraph">
              <wp:posOffset>64197</wp:posOffset>
            </wp:positionV>
            <wp:extent cx="5391150" cy="6397624"/>
            <wp:effectExtent l="0" t="0" r="0" b="0"/>
            <wp:wrapTight wrapText="bothSides">
              <wp:wrapPolygon>
                <wp:start x="-28" y="-19"/>
                <wp:lineTo x="-28" y="21591"/>
                <wp:lineTo x="21571" y="21591"/>
                <wp:lineTo x="21571" y="-19"/>
                <wp:lineTo x="-28" y="-19"/>
              </wp:wrapPolygon>
            </wp:wrapTight>
            <wp:docPr id="28" name="图片 42" descr="监测站位图"/>
            <wp:cNvGraphicFramePr>
              <a:graphicFrameLocks noChangeAspect="1"/>
            </wp:cNvGraphicFramePr>
            <a:graphic>
              <a:graphicData uri="http://schemas.openxmlformats.org/drawingml/2006/picture">
                <pic:pic>
                  <pic:nvPicPr>
                    <pic:cNvPr id="30" name="图片 42 30"/>
                    <pic:cNvPicPr/>
                  </pic:nvPicPr>
                  <pic:blipFill>
                    <a:blip r:embed="rId15"/>
                    <a:stretch>
                      <a:fillRect/>
                    </a:stretch>
                  </pic:blipFill>
                  <pic:spPr>
                    <a:xfrm rot="0">
                      <a:off x="0" y="0"/>
                      <a:ext cx="5391150" cy="6397624"/>
                    </a:xfrm>
                    <a:prstGeom prst="rect"/>
                    <a:noFill/>
                    <a:ln w="9525" cmpd="sng" cap="flat">
                      <a:noFill/>
                      <a:prstDash val="solid"/>
                      <a:round/>
                    </a:ln>
                  </pic:spPr>
                </pic:pic>
              </a:graphicData>
            </a:graphic>
          </wp:anchor>
        </w:drawing>
      </w:r>
      <w:bookmarkEnd w:id="478"/>
      <w:bookmarkEnd w:id="479"/>
      <w:bookmarkEnd w:id="480"/>
    </w:p>
    <w:p>
      <w:pPr>
        <w:keepNext/>
        <w:keepLines/>
        <w:widowControl/>
        <w:spacing w:line="596" w:lineRule="exact"/>
        <w:ind w:firstLineChars="0" w:firstLine="0"/>
        <w:jc w:val="center"/>
        <w:outlineLvl w:val="1"/>
        <w:rPr>
          <w:rFonts w:eastAsia="楷体"/>
          <w:b/>
          <w:bCs/>
          <w:szCs w:val="32"/>
        </w:rPr>
      </w:pPr>
      <w:r>
        <w:rPr>
          <w:rFonts w:eastAsia="楷体"/>
          <w:b/>
          <w:bCs/>
          <w:szCs w:val="32"/>
        </w:rPr>
        <w:br w:type="page"/>
      </w:r>
      <w:bookmarkStart w:id="481" w:name="_Toc32454"/>
      <w:bookmarkStart w:id="482" w:name="_Toc7541"/>
      <w:bookmarkStart w:id="483" w:name="_Toc30273"/>
      <w:bookmarkStart w:id="484" w:name="_Toc448"/>
      <w:r>
        <w:rPr>
          <w:rFonts w:ascii="楷体_GB2312" w:eastAsia="楷体_GB2312" w:cs="楷体_GB2312" w:hint="eastAsia"/>
          <w:b/>
          <w:bCs/>
          <w:szCs w:val="32"/>
        </w:rPr>
        <w:drawing>
          <wp:anchor distT="0" distB="0" distL="114300" distR="114300" simplePos="0" relativeHeight="34" behindDoc="0" locked="0" layoutInCell="1" hidden="0" allowOverlap="0">
            <wp:simplePos x="0" y="0"/>
            <wp:positionH relativeFrom="column">
              <wp:posOffset>-170875</wp:posOffset>
            </wp:positionH>
            <wp:positionV relativeFrom="paragraph">
              <wp:posOffset>179067</wp:posOffset>
            </wp:positionV>
            <wp:extent cx="5573395" cy="6631940"/>
            <wp:effectExtent l="0" t="0" r="0" b="0"/>
            <wp:wrapSquare wrapText="bothSides"/>
            <wp:docPr id="31" name="图片 43" descr="海湾污染治理"/>
            <wp:cNvGraphicFramePr>
              <a:graphicFrameLocks noChangeAspect="1"/>
            </wp:cNvGraphicFramePr>
            <a:graphic>
              <a:graphicData uri="http://schemas.openxmlformats.org/drawingml/2006/picture">
                <pic:pic>
                  <pic:nvPicPr>
                    <pic:cNvPr id="33" name="图片 43 33"/>
                    <pic:cNvPicPr/>
                  </pic:nvPicPr>
                  <pic:blipFill>
                    <a:blip r:embed="rId16"/>
                    <a:stretch>
                      <a:fillRect/>
                    </a:stretch>
                  </pic:blipFill>
                  <pic:spPr>
                    <a:xfrm rot="0">
                      <a:off x="0" y="0"/>
                      <a:ext cx="5573395" cy="6631940"/>
                    </a:xfrm>
                    <a:prstGeom prst="rect"/>
                    <a:noFill/>
                    <a:ln w="9525" cmpd="sng" cap="flat">
                      <a:noFill/>
                      <a:prstDash val="solid"/>
                      <a:round/>
                    </a:ln>
                  </pic:spPr>
                </pic:pic>
              </a:graphicData>
            </a:graphic>
          </wp:anchor>
        </w:drawing>
      </w:r>
      <w:r>
        <w:rPr>
          <w:rFonts w:ascii="楷体_GB2312" w:eastAsia="楷体_GB2312" w:cs="楷体_GB2312" w:hint="eastAsia"/>
          <w:b/>
          <w:bCs/>
          <w:szCs w:val="32"/>
        </w:rPr>
        <w:t>附图4 福建省海湾污染治理措施分布图</w:t>
      </w:r>
      <w:bookmarkEnd w:id="481"/>
      <w:bookmarkEnd w:id="482"/>
      <w:bookmarkEnd w:id="483"/>
      <w:bookmarkEnd w:id="484"/>
    </w:p>
    <w:p>
      <w:pPr>
        <w:keepNext/>
        <w:keepLines/>
        <w:widowControl/>
        <w:spacing w:line="596" w:lineRule="exact"/>
        <w:ind w:firstLineChars="0" w:firstLine="0"/>
        <w:jc w:val="center"/>
        <w:outlineLvl w:val="1"/>
        <w:rPr>
          <w:rFonts w:hint="eastAsia"/>
          <w:szCs w:val="28"/>
        </w:rPr>
      </w:pPr>
      <w:r>
        <w:rPr>
          <w:rFonts w:eastAsia="楷体"/>
          <w:b/>
          <w:bCs/>
          <w:szCs w:val="32"/>
        </w:rPr>
        <w:br w:type="page"/>
      </w:r>
      <w:bookmarkStart w:id="485" w:name="_Toc20429"/>
      <w:bookmarkStart w:id="486" w:name="_Toc7835"/>
      <w:bookmarkStart w:id="487" w:name="_Toc11281"/>
      <w:bookmarkStart w:id="488" w:name="_Toc18631"/>
      <w:r>
        <w:rPr>
          <w:rFonts w:ascii="楷体_GB2312" w:eastAsia="楷体_GB2312" w:cs="楷体_GB2312" w:hint="eastAsia"/>
        </w:rPr>
        <w:drawing>
          <wp:anchor distT="0" distB="0" distL="114300" distR="114300" simplePos="0" relativeHeight="35" behindDoc="0" locked="0" layoutInCell="1" hidden="0" allowOverlap="1">
            <wp:simplePos x="0" y="0"/>
            <wp:positionH relativeFrom="column">
              <wp:posOffset>-177162</wp:posOffset>
            </wp:positionH>
            <wp:positionV relativeFrom="paragraph">
              <wp:posOffset>105344</wp:posOffset>
            </wp:positionV>
            <wp:extent cx="5677535" cy="6758305"/>
            <wp:effectExtent l="0" t="0" r="0" b="0"/>
            <wp:wrapSquare wrapText="bothSides"/>
            <wp:docPr id="34" name="图片 44" descr="海湾生态保护修复"/>
            <wp:cNvGraphicFramePr>
              <a:graphicFrameLocks noChangeAspect="1"/>
            </wp:cNvGraphicFramePr>
            <a:graphic>
              <a:graphicData uri="http://schemas.openxmlformats.org/drawingml/2006/picture">
                <pic:pic>
                  <pic:nvPicPr>
                    <pic:cNvPr id="36" name="图片 44 36"/>
                    <pic:cNvPicPr/>
                  </pic:nvPicPr>
                  <pic:blipFill>
                    <a:blip r:embed="rId17"/>
                    <a:stretch>
                      <a:fillRect/>
                    </a:stretch>
                  </pic:blipFill>
                  <pic:spPr>
                    <a:xfrm rot="0">
                      <a:off x="0" y="0"/>
                      <a:ext cx="5677535" cy="6758305"/>
                    </a:xfrm>
                    <a:prstGeom prst="rect"/>
                    <a:noFill/>
                    <a:ln w="9525" cmpd="sng" cap="flat">
                      <a:noFill/>
                      <a:prstDash val="solid"/>
                      <a:round/>
                    </a:ln>
                  </pic:spPr>
                </pic:pic>
              </a:graphicData>
            </a:graphic>
          </wp:anchor>
        </w:drawing>
      </w:r>
      <w:r>
        <w:rPr>
          <w:rFonts w:ascii="楷体_GB2312" w:eastAsia="楷体_GB2312" w:cs="楷体_GB2312" w:hint="eastAsia"/>
          <w:b/>
          <w:bCs/>
          <w:szCs w:val="32"/>
        </w:rPr>
        <w:t>附图5 福建省海湾生态保护修复措施分布图</w:t>
      </w:r>
      <w:bookmarkEnd w:id="485"/>
      <w:bookmarkEnd w:id="486"/>
      <w:bookmarkEnd w:id="487"/>
      <w:bookmarkEnd w:id="488"/>
    </w:p>
    <w:p>
      <w:pPr>
        <w:keepNext/>
        <w:keepLines/>
        <w:widowControl/>
        <w:spacing w:line="596" w:lineRule="exact"/>
        <w:ind w:firstLineChars="0" w:firstLine="0"/>
        <w:jc w:val="center"/>
        <w:outlineLvl w:val="1"/>
        <w:rPr>
          <w:rFonts w:eastAsia="楷体"/>
          <w:b/>
          <w:bCs/>
          <w:szCs w:val="32"/>
        </w:rPr>
      </w:pPr>
      <w:r>
        <w:rPr>
          <w:szCs w:val="28"/>
        </w:rPr>
        <w:br w:type="page"/>
      </w:r>
      <w:bookmarkStart w:id="489" w:name="_Toc12564"/>
      <w:bookmarkStart w:id="490" w:name="_Toc16523"/>
      <w:bookmarkStart w:id="491" w:name="_Toc30622"/>
      <w:bookmarkStart w:id="492" w:name="_Toc8395"/>
      <w:r>
        <w:rPr>
          <w:rFonts w:ascii="楷体_GB2312" w:eastAsia="楷体_GB2312" w:cs="楷体_GB2312" w:hint="eastAsia"/>
          <w:b/>
          <w:bCs/>
          <w:szCs w:val="32"/>
        </w:rPr>
        <w:drawing>
          <wp:anchor distT="0" distB="0" distL="114300" distR="114300" simplePos="0" relativeHeight="36" behindDoc="0" locked="0" layoutInCell="1" hidden="0" allowOverlap="1">
            <wp:simplePos x="0" y="0"/>
            <wp:positionH relativeFrom="column">
              <wp:posOffset>-53339</wp:posOffset>
            </wp:positionH>
            <wp:positionV relativeFrom="paragraph">
              <wp:posOffset>-130776</wp:posOffset>
            </wp:positionV>
            <wp:extent cx="5694045" cy="6776720"/>
            <wp:effectExtent l="0" t="0" r="0" b="0"/>
            <wp:wrapSquare wrapText="bothSides"/>
            <wp:docPr id="37" name="图片 45" descr="亲海空间"/>
            <wp:cNvGraphicFramePr>
              <a:graphicFrameLocks noChangeAspect="1"/>
            </wp:cNvGraphicFramePr>
            <a:graphic>
              <a:graphicData uri="http://schemas.openxmlformats.org/drawingml/2006/picture">
                <pic:pic>
                  <pic:nvPicPr>
                    <pic:cNvPr id="39" name="图片 45 39"/>
                    <pic:cNvPicPr/>
                  </pic:nvPicPr>
                  <pic:blipFill>
                    <a:blip r:embed="rId18"/>
                    <a:stretch>
                      <a:fillRect/>
                    </a:stretch>
                  </pic:blipFill>
                  <pic:spPr>
                    <a:xfrm rot="0">
                      <a:off x="0" y="0"/>
                      <a:ext cx="5694045" cy="6776720"/>
                    </a:xfrm>
                    <a:prstGeom prst="rect"/>
                    <a:noFill/>
                    <a:ln w="9525" cmpd="sng" cap="flat">
                      <a:noFill/>
                      <a:prstDash val="solid"/>
                      <a:round/>
                    </a:ln>
                  </pic:spPr>
                </pic:pic>
              </a:graphicData>
            </a:graphic>
          </wp:anchor>
        </w:drawing>
      </w:r>
      <w:r>
        <w:rPr>
          <w:rFonts w:ascii="楷体_GB2312" w:eastAsia="楷体_GB2312" w:cs="楷体_GB2312" w:hint="eastAsia"/>
          <w:b/>
          <w:bCs/>
          <w:szCs w:val="32"/>
        </w:rPr>
        <w:t>附图6 福建省亲海环境品质提升措施分布图</w:t>
      </w:r>
      <w:bookmarkEnd w:id="489"/>
      <w:bookmarkEnd w:id="490"/>
      <w:bookmarkEnd w:id="491"/>
      <w:bookmarkEnd w:id="492"/>
    </w:p>
    <w:p>
      <w:pPr>
        <w:keepNext/>
        <w:keepLines/>
        <w:widowControl/>
        <w:spacing w:line="596" w:lineRule="exact"/>
        <w:ind w:firstLineChars="0" w:firstLine="0"/>
        <w:jc w:val="center"/>
        <w:outlineLvl w:val="1"/>
        <w:rPr>
          <w:rFonts w:eastAsia="楷体" w:hint="eastAsia"/>
          <w:b/>
          <w:bCs/>
          <w:szCs w:val="32"/>
        </w:rPr>
      </w:pPr>
      <w:r>
        <w:rPr>
          <w:szCs w:val="28"/>
        </w:rPr>
        <w:br w:type="page"/>
      </w:r>
      <w:bookmarkStart w:id="493" w:name="_Toc6132"/>
      <w:bookmarkStart w:id="494" w:name="_Toc17104"/>
      <w:bookmarkStart w:id="495" w:name="_Toc13145"/>
      <w:bookmarkStart w:id="496" w:name="_Toc5849"/>
      <w:r>
        <w:rPr>
          <w:rFonts w:ascii="楷体_GB2312" w:eastAsia="楷体_GB2312" w:cs="楷体_GB2312" w:hint="eastAsia"/>
          <w:b/>
          <w:bCs/>
          <w:szCs w:val="32"/>
        </w:rPr>
        <w:drawing>
          <wp:anchor distT="0" distB="0" distL="114300" distR="114300" simplePos="0" relativeHeight="37" behindDoc="0" locked="0" layoutInCell="1" hidden="0" allowOverlap="1">
            <wp:simplePos x="0" y="0"/>
            <wp:positionH relativeFrom="column">
              <wp:posOffset>-158112</wp:posOffset>
            </wp:positionH>
            <wp:positionV relativeFrom="paragraph">
              <wp:posOffset>-143444</wp:posOffset>
            </wp:positionV>
            <wp:extent cx="5656580" cy="6766560"/>
            <wp:effectExtent l="0" t="0" r="0" b="0"/>
            <wp:wrapSquare wrapText="bothSides"/>
            <wp:docPr id="40" name="图片 46" descr="风险防范"/>
            <wp:cNvGraphicFramePr>
              <a:graphicFrameLocks noChangeAspect="1"/>
            </wp:cNvGraphicFramePr>
            <a:graphic>
              <a:graphicData uri="http://schemas.openxmlformats.org/drawingml/2006/picture">
                <pic:pic>
                  <pic:nvPicPr>
                    <pic:cNvPr id="42" name="图片 46 42"/>
                    <pic:cNvPicPr/>
                  </pic:nvPicPr>
                  <pic:blipFill>
                    <a:blip r:embed="rId19"/>
                    <a:stretch>
                      <a:fillRect/>
                    </a:stretch>
                  </pic:blipFill>
                  <pic:spPr>
                    <a:xfrm rot="0">
                      <a:off x="0" y="0"/>
                      <a:ext cx="5656580" cy="6766560"/>
                    </a:xfrm>
                    <a:prstGeom prst="rect"/>
                    <a:noFill/>
                    <a:ln w="9525" cmpd="sng" cap="flat">
                      <a:noFill/>
                      <a:prstDash val="solid"/>
                      <a:round/>
                    </a:ln>
                  </pic:spPr>
                </pic:pic>
              </a:graphicData>
            </a:graphic>
          </wp:anchor>
        </w:drawing>
      </w:r>
      <w:r>
        <w:rPr>
          <w:rFonts w:ascii="楷体_GB2312" w:eastAsia="楷体_GB2312" w:cs="楷体_GB2312" w:hint="eastAsia"/>
          <w:b/>
          <w:bCs/>
          <w:szCs w:val="32"/>
        </w:rPr>
        <w:t>附图7 福建省海湾环境风险防范建设</w:t>
      </w:r>
      <w:r>
        <w:rPr>
          <w:rFonts w:ascii="楷体_GB2312" w:eastAsia="楷体_GB2312" w:cs="楷体_GB2312" w:hint="eastAsia"/>
          <w:b/>
          <w:bCs/>
          <w:szCs w:val="32"/>
          <w:lang w:eastAsia="zh-CN"/>
        </w:rPr>
        <w:t>区域</w:t>
      </w:r>
      <w:r>
        <w:rPr>
          <w:rFonts w:ascii="楷体_GB2312" w:eastAsia="楷体_GB2312" w:cs="楷体_GB2312" w:hint="eastAsia"/>
          <w:b/>
          <w:bCs/>
          <w:szCs w:val="32"/>
        </w:rPr>
        <w:t>分布图</w:t>
      </w:r>
      <w:bookmarkEnd w:id="493"/>
      <w:bookmarkEnd w:id="494"/>
      <w:bookmarkEnd w:id="495"/>
      <w:bookmarkEnd w:id="496"/>
    </w:p>
    <w:p>
      <w:pPr>
        <w:keepNext/>
        <w:keepLines/>
        <w:widowControl/>
        <w:spacing w:line="596" w:lineRule="exact"/>
        <w:ind w:firstLineChars="0" w:firstLine="0"/>
        <w:jc w:val="center"/>
        <w:outlineLvl w:val="1"/>
        <w:rPr>
          <w:rFonts w:ascii="楷体_GB2312" w:eastAsia="楷体_GB2312" w:cs="楷体_GB2312" w:hint="eastAsia"/>
          <w:b/>
          <w:bCs/>
          <w:szCs w:val="32"/>
        </w:rPr>
      </w:pPr>
      <w:r>
        <w:rPr>
          <w:szCs w:val="28"/>
        </w:rPr>
        <w:br w:type="page"/>
      </w:r>
      <w:bookmarkStart w:id="497" w:name="_Toc12588"/>
      <w:bookmarkStart w:id="498" w:name="_Toc18055"/>
      <w:bookmarkStart w:id="499" w:name="_Toc6296"/>
      <w:bookmarkStart w:id="500" w:name="_Toc13778"/>
      <w:r>
        <w:rPr>
          <w:rFonts w:ascii="楷体_GB2312" w:eastAsia="楷体_GB2312" w:cs="楷体_GB2312" w:hint="eastAsia"/>
          <w:b/>
          <w:bCs/>
          <w:szCs w:val="32"/>
        </w:rPr>
        <w:drawing>
          <wp:anchor distT="0" distB="0" distL="114300" distR="114300" simplePos="0" relativeHeight="38" behindDoc="0" locked="0" layoutInCell="1" hidden="0" allowOverlap="1">
            <wp:simplePos x="0" y="0"/>
            <wp:positionH relativeFrom="column">
              <wp:posOffset>-139729</wp:posOffset>
            </wp:positionH>
            <wp:positionV relativeFrom="paragraph">
              <wp:posOffset>-85723</wp:posOffset>
            </wp:positionV>
            <wp:extent cx="5605145" cy="6671945"/>
            <wp:effectExtent l="0" t="0" r="0" b="0"/>
            <wp:wrapSquare wrapText="bothSides"/>
            <wp:docPr id="43" name="图片 47" descr="监管能力"/>
            <wp:cNvGraphicFramePr>
              <a:graphicFrameLocks noChangeAspect="1"/>
            </wp:cNvGraphicFramePr>
            <a:graphic>
              <a:graphicData uri="http://schemas.openxmlformats.org/drawingml/2006/picture">
                <pic:pic>
                  <pic:nvPicPr>
                    <pic:cNvPr id="45" name="图片 47 45"/>
                    <pic:cNvPicPr/>
                  </pic:nvPicPr>
                  <pic:blipFill>
                    <a:blip r:embed="rId20"/>
                    <a:stretch>
                      <a:fillRect/>
                    </a:stretch>
                  </pic:blipFill>
                  <pic:spPr>
                    <a:xfrm rot="0">
                      <a:off x="0" y="0"/>
                      <a:ext cx="5605145" cy="6671945"/>
                    </a:xfrm>
                    <a:prstGeom prst="rect"/>
                    <a:noFill/>
                    <a:ln w="9525" cmpd="sng" cap="flat">
                      <a:noFill/>
                      <a:prstDash val="solid"/>
                      <a:round/>
                    </a:ln>
                  </pic:spPr>
                </pic:pic>
              </a:graphicData>
            </a:graphic>
          </wp:anchor>
        </w:drawing>
      </w:r>
      <w:r>
        <w:rPr>
          <w:rFonts w:ascii="楷体_GB2312" w:eastAsia="楷体_GB2312" w:cs="楷体_GB2312" w:hint="eastAsia"/>
          <w:b/>
          <w:bCs/>
          <w:szCs w:val="32"/>
        </w:rPr>
        <w:t>附图8 福建省海湾生态环境监管能力建设</w:t>
      </w:r>
      <w:r>
        <w:rPr>
          <w:rFonts w:ascii="楷体_GB2312" w:eastAsia="楷体_GB2312" w:cs="楷体_GB2312" w:hint="eastAsia"/>
          <w:b/>
          <w:bCs/>
          <w:szCs w:val="32"/>
          <w:lang w:eastAsia="zh-CN"/>
        </w:rPr>
        <w:t>区域</w:t>
      </w:r>
      <w:r>
        <w:rPr>
          <w:rFonts w:ascii="楷体_GB2312" w:eastAsia="楷体_GB2312" w:cs="楷体_GB2312" w:hint="eastAsia"/>
          <w:b/>
          <w:bCs/>
          <w:szCs w:val="32"/>
        </w:rPr>
        <w:t>分布图</w:t>
      </w:r>
      <w:bookmarkEnd w:id="497"/>
      <w:bookmarkEnd w:id="498"/>
      <w:bookmarkEnd w:id="499"/>
      <w:bookmarkEnd w:id="500"/>
    </w:p>
    <w:p>
      <w:pPr>
        <w:pStyle w:val="16"/>
        <w:spacing w:line="596" w:lineRule="exact"/>
        <w:ind w:firstLineChars="0" w:firstLine="562"/>
        <w:jc w:val="center"/>
        <w:rPr>
          <w:rFonts w:ascii="楷体_GB2312" w:eastAsia="楷体_GB2312" w:cs="楷体_GB2312" w:hint="eastAsia"/>
          <w:b/>
          <w:bCs/>
          <w:szCs w:val="32"/>
        </w:rPr>
      </w:pPr>
    </w:p>
    <w:p>
      <w:pPr>
        <w:pStyle w:val="17"/>
        <w:rPr>
          <w:rFonts w:hint="eastAsia"/>
        </w:rPr>
        <w:sectPr>
          <w:pgSz w:w="11906" w:h="16838"/>
          <w:pgMar w:top="2098" w:right="1587" w:bottom="1587" w:left="1587" w:header="851" w:footer="992" w:gutter="0"/>
          <w:docGrid w:type="lines" w:linePitch="312" w:charSpace="0"/>
        </w:sectPr>
      </w:pPr>
      <w:bookmarkEnd w:id="456"/>
      <w:bookmarkEnd w:id="457"/>
      <w:bookmarkEnd w:id="458"/>
      <w:bookmarkEnd w:id="459"/>
      <w:bookmarkEnd w:id="460"/>
      <w:bookmarkEnd w:id="461"/>
    </w:p>
    <w:p>
      <w:pPr>
        <w:keepNext/>
        <w:keepLines/>
        <w:widowControl w:val="0"/>
        <w:tabs>
          <w:tab w:val="left" w:pos="360"/>
        </w:tabs>
        <w:overflowPunct w:val="0"/>
        <w:autoSpaceDE w:val="0"/>
        <w:autoSpaceDN w:val="0"/>
        <w:adjustRightInd w:val="0"/>
        <w:spacing w:before="240" w:after="60" w:line="240" w:lineRule="auto"/>
        <w:ind w:firstLineChars="0" w:firstLine="0"/>
        <w:jc w:val="left"/>
        <w:textAlignment w:val="baseline"/>
        <w:outlineLvl w:val="0"/>
        <w:rPr>
          <w:rFonts w:ascii="黑体" w:eastAsia="黑体" w:hint="eastAsia"/>
          <w:bCs/>
          <w:kern w:val="44"/>
          <w:sz w:val="32"/>
          <w:szCs w:val="32"/>
        </w:rPr>
      </w:pPr>
      <w:bookmarkStart w:id="501" w:name="_Toc291230562"/>
      <w:bookmarkStart w:id="502" w:name="_Toc279391835"/>
      <w:bookmarkStart w:id="503" w:name="_Toc279391836"/>
      <w:bookmarkStart w:id="504" w:name="_Toc272400106"/>
      <w:bookmarkStart w:id="505" w:name="_Toc272400107"/>
      <w:bookmarkStart w:id="506" w:name="_Toc291231172"/>
      <w:bookmarkStart w:id="507" w:name="_Toc291231782"/>
      <w:bookmarkStart w:id="508" w:name="_Toc10682"/>
      <w:bookmarkStart w:id="509" w:name="_Toc2820"/>
      <w:bookmarkStart w:id="510" w:name="_Toc8749"/>
      <w:bookmarkStart w:id="511" w:name="_Toc6125"/>
      <w:bookmarkStart w:id="512" w:name="_Toc87460091"/>
      <w:bookmarkStart w:id="513" w:name="_Toc20846"/>
      <w:bookmarkStart w:id="514" w:name="_Toc30022"/>
      <w:bookmarkStart w:id="515" w:name="_Toc14406"/>
      <w:bookmarkStart w:id="516" w:name="_Toc25730"/>
      <w:bookmarkStart w:id="517" w:name="_Toc26080"/>
      <w:bookmarkStart w:id="518" w:name="_Toc93504319"/>
      <w:bookmarkStart w:id="519" w:name="_Toc255081779"/>
      <w:bookmarkStart w:id="520" w:name="_Toc256117795"/>
      <w:bookmarkStart w:id="521" w:name="_Toc255082110"/>
      <w:bookmarkStart w:id="522" w:name="_Toc251575705"/>
      <w:bookmarkStart w:id="523" w:name="_Toc256109781"/>
      <w:bookmarkStart w:id="524" w:name="_Toc256116704"/>
      <w:bookmarkStart w:id="525" w:name="_Toc255081902"/>
      <w:bookmarkEnd w:id="501"/>
      <w:bookmarkEnd w:id="502"/>
      <w:bookmarkEnd w:id="503"/>
      <w:bookmarkEnd w:id="504"/>
      <w:bookmarkEnd w:id="505"/>
      <w:bookmarkEnd w:id="506"/>
      <w:bookmarkEnd w:id="507"/>
      <w:r>
        <w:rPr>
          <w:rFonts w:ascii="黑体" w:eastAsia="黑体" w:hint="eastAsia"/>
          <w:sz w:val="32"/>
          <w:szCs w:val="32"/>
        </w:rPr>
        <w:t>附表</w:t>
      </w:r>
      <w:bookmarkEnd w:id="508"/>
      <w:bookmarkEnd w:id="509"/>
      <w:bookmarkEnd w:id="510"/>
      <w:bookmarkEnd w:id="511"/>
      <w:bookmarkEnd w:id="512"/>
      <w:bookmarkEnd w:id="513"/>
      <w:bookmarkEnd w:id="514"/>
      <w:bookmarkEnd w:id="515"/>
      <w:bookmarkEnd w:id="516"/>
      <w:bookmarkEnd w:id="517"/>
      <w:bookmarkEnd w:id="518"/>
    </w:p>
    <w:p>
      <w:pPr>
        <w:keepNext/>
        <w:keepLines/>
        <w:widowControl w:val="0"/>
        <w:tabs>
          <w:tab w:val="left" w:pos="360"/>
        </w:tabs>
        <w:overflowPunct w:val="0"/>
        <w:autoSpaceDE w:val="0"/>
        <w:autoSpaceDN w:val="0"/>
        <w:adjustRightInd w:val="0"/>
        <w:snapToGrid w:val="0"/>
        <w:spacing w:before="0" w:after="0" w:line="300" w:lineRule="auto"/>
        <w:ind w:firstLineChars="0" w:firstLine="0"/>
        <w:jc w:val="center"/>
        <w:textAlignment w:val="baseline"/>
        <w:outlineLvl w:val="1"/>
        <w:rPr>
          <w:rFonts w:ascii="仿宋_GB2312" w:cs="华文中宋" w:hint="eastAsia"/>
          <w:bCs/>
          <w:kern w:val="44"/>
          <w:sz w:val="36"/>
          <w:szCs w:val="36"/>
        </w:rPr>
      </w:pPr>
      <w:bookmarkStart w:id="526" w:name="_Toc93504320"/>
      <w:bookmarkStart w:id="527" w:name="_Toc23350"/>
      <w:bookmarkStart w:id="528" w:name="_Toc20006"/>
      <w:bookmarkStart w:id="529" w:name="_Toc265"/>
      <w:bookmarkStart w:id="530" w:name="_Toc28245"/>
      <w:bookmarkStart w:id="531" w:name="_Toc29917"/>
      <w:bookmarkStart w:id="532" w:name="_Toc11644"/>
      <w:bookmarkStart w:id="533" w:name="_Toc13141"/>
      <w:bookmarkStart w:id="534" w:name="_Toc87460092"/>
      <w:bookmarkStart w:id="535" w:name="_Toc16633"/>
      <w:bookmarkStart w:id="536" w:name="_Toc6588"/>
      <w:bookmarkStart w:id="537" w:name="_Toc66112396"/>
      <w:bookmarkEnd w:id="519"/>
      <w:bookmarkEnd w:id="520"/>
      <w:bookmarkEnd w:id="521"/>
      <w:bookmarkEnd w:id="522"/>
      <w:bookmarkEnd w:id="523"/>
      <w:bookmarkEnd w:id="524"/>
      <w:bookmarkEnd w:id="525"/>
      <w:r>
        <w:rPr>
          <w:rFonts w:ascii="方正小标宋简体" w:eastAsia="方正小标宋简体" w:cs="华文中宋" w:hint="eastAsia"/>
          <w:bCs/>
          <w:kern w:val="44"/>
          <w:sz w:val="36"/>
          <w:szCs w:val="36"/>
        </w:rPr>
        <w:t>附表1. 福建省“美丽海湾”保护与建设海湾（湾区）单元选划名录</w:t>
      </w:r>
      <w:bookmarkEnd w:id="526"/>
      <w:bookmarkEnd w:id="527"/>
      <w:bookmarkEnd w:id="528"/>
      <w:bookmarkEnd w:id="529"/>
      <w:bookmarkEnd w:id="530"/>
      <w:bookmarkEnd w:id="531"/>
      <w:bookmarkEnd w:id="532"/>
      <w:bookmarkEnd w:id="533"/>
      <w:bookmarkEnd w:id="534"/>
      <w:bookmarkEnd w:id="535"/>
      <w:bookmarkEnd w:id="536"/>
    </w:p>
    <w:tbl>
      <w:tblPr>
        <w:jc w:val="cente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66"/>
        <w:gridCol w:w="945"/>
        <w:gridCol w:w="1391"/>
        <w:gridCol w:w="1339"/>
        <w:gridCol w:w="1110"/>
        <w:gridCol w:w="6481"/>
        <w:gridCol w:w="1134"/>
        <w:gridCol w:w="1308"/>
      </w:tblGrid>
      <w:tr>
        <w:trPr>
          <w:cantSplit/>
          <w:trHeight w:val="300"/>
          <w:tblHeader/>
        </w:trPr>
        <w:tc>
          <w:tcPr>
            <w:tcW w:w="466" w:type="dxa"/>
            <w:vMerge w:val="restart"/>
            <w:tcBorders>
              <w:top w:val="single" w:sz="4" w:space="0" w:color="auto"/>
              <w:left w:val="single" w:sz="4" w:space="0" w:color="auto"/>
              <w:bottom w:val="single" w:sz="4" w:space="0" w:color="auto"/>
              <w:right w:val="single" w:sz="4" w:space="0" w:color="auto"/>
            </w:tcBorders>
            <w:noWrap/>
            <w:vAlign w:val="center"/>
          </w:tcPr>
          <w:p>
            <w:pPr>
              <w:spacing w:line="240" w:lineRule="auto"/>
              <w:ind w:firstLineChars="0" w:firstLine="0"/>
              <w:jc w:val="center"/>
              <w:rPr>
                <w:rFonts w:ascii="仿宋_GB2312" w:hint="eastAsia"/>
                <w:b/>
                <w:bCs/>
                <w:sz w:val="20"/>
                <w:szCs w:val="21"/>
              </w:rPr>
            </w:pPr>
            <w:bookmarkStart w:id="538" w:name="_Toc66112397"/>
            <w:bookmarkEnd w:id="537"/>
            <w:r>
              <w:rPr>
                <w:rFonts w:ascii="仿宋_GB2312" w:hint="eastAsia"/>
                <w:b/>
                <w:bCs/>
                <w:sz w:val="20"/>
                <w:szCs w:val="21"/>
              </w:rPr>
              <w:t>编 号</w:t>
            </w:r>
          </w:p>
        </w:tc>
        <w:tc>
          <w:tcPr>
            <w:tcW w:w="945" w:type="dxa"/>
            <w:vMerge w:val="restart"/>
            <w:tcBorders>
              <w:top w:val="single" w:sz="4" w:space="0" w:color="auto"/>
              <w:left w:val="single" w:sz="4" w:space="0" w:color="auto"/>
              <w:right w:val="single" w:sz="4" w:space="0" w:color="auto"/>
            </w:tcBorders>
            <w:noWrap/>
            <w:vAlign w:val="center"/>
          </w:tcPr>
          <w:p>
            <w:pPr>
              <w:spacing w:line="240" w:lineRule="exact"/>
              <w:ind w:firstLineChars="0" w:firstLine="0"/>
              <w:jc w:val="center"/>
              <w:rPr>
                <w:rFonts w:ascii="仿宋_GB2312" w:hint="eastAsia"/>
                <w:b/>
                <w:bCs/>
                <w:sz w:val="20"/>
                <w:szCs w:val="21"/>
              </w:rPr>
            </w:pPr>
            <w:r>
              <w:rPr>
                <w:rFonts w:ascii="仿宋_GB2312" w:hint="eastAsia"/>
                <w:b/>
                <w:bCs/>
                <w:sz w:val="20"/>
                <w:szCs w:val="21"/>
              </w:rPr>
              <w:t>行政区</w:t>
            </w:r>
          </w:p>
        </w:tc>
        <w:tc>
          <w:tcPr>
            <w:tcW w:w="1391" w:type="dxa"/>
            <w:vMerge w:val="restart"/>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hint="eastAsia"/>
                <w:b/>
                <w:bCs/>
                <w:sz w:val="20"/>
                <w:szCs w:val="21"/>
              </w:rPr>
            </w:pPr>
            <w:r>
              <w:rPr>
                <w:rFonts w:ascii="仿宋_GB2312" w:hint="eastAsia"/>
                <w:b/>
                <w:bCs/>
                <w:sz w:val="20"/>
                <w:szCs w:val="21"/>
              </w:rPr>
              <w:t>海湾（湾区）单元</w:t>
            </w:r>
          </w:p>
        </w:tc>
        <w:tc>
          <w:tcPr>
            <w:tcW w:w="1339" w:type="dxa"/>
            <w:vMerge w:val="restart"/>
            <w:tcBorders>
              <w:top w:val="single" w:sz="4" w:space="0" w:color="auto"/>
              <w:left w:val="single" w:sz="4" w:space="0" w:color="auto"/>
              <w:right w:val="single" w:sz="4" w:space="0" w:color="auto"/>
            </w:tcBorders>
            <w:noWrap/>
            <w:vAlign w:val="center"/>
          </w:tcPr>
          <w:p>
            <w:pPr>
              <w:spacing w:line="240" w:lineRule="exact"/>
              <w:ind w:firstLineChars="0" w:firstLine="0"/>
              <w:jc w:val="center"/>
              <w:rPr>
                <w:rFonts w:ascii="仿宋_GB2312" w:hint="eastAsia"/>
                <w:b/>
                <w:bCs/>
                <w:sz w:val="20"/>
                <w:szCs w:val="21"/>
              </w:rPr>
            </w:pPr>
            <w:r>
              <w:rPr>
                <w:rFonts w:ascii="仿宋_GB2312" w:hint="eastAsia"/>
                <w:b/>
                <w:bCs/>
                <w:sz w:val="20"/>
                <w:szCs w:val="21"/>
              </w:rPr>
              <w:t>面积</w:t>
            </w:r>
          </w:p>
          <w:p>
            <w:pPr>
              <w:spacing w:line="240" w:lineRule="exact"/>
              <w:ind w:firstLineChars="0" w:firstLine="0"/>
              <w:jc w:val="center"/>
              <w:rPr>
                <w:rFonts w:ascii="仿宋_GB2312" w:hint="eastAsia"/>
                <w:b/>
                <w:bCs/>
                <w:sz w:val="20"/>
                <w:szCs w:val="21"/>
              </w:rPr>
            </w:pPr>
            <w:r>
              <w:rPr>
                <w:rFonts w:ascii="仿宋_GB2312" w:hint="eastAsia"/>
                <w:b/>
                <w:bCs/>
                <w:sz w:val="20"/>
                <w:szCs w:val="21"/>
              </w:rPr>
              <w:t>（平方千米）</w:t>
            </w:r>
          </w:p>
        </w:tc>
        <w:tc>
          <w:tcPr>
            <w:tcW w:w="1110" w:type="dxa"/>
            <w:vMerge w:val="restart"/>
            <w:tcBorders>
              <w:top w:val="single" w:sz="4" w:space="0" w:color="auto"/>
              <w:left w:val="single" w:sz="4" w:space="0" w:color="auto"/>
              <w:right w:val="single" w:sz="4" w:space="0" w:color="auto"/>
            </w:tcBorders>
            <w:noWrap/>
            <w:vAlign w:val="center"/>
          </w:tcPr>
          <w:p>
            <w:pPr>
              <w:spacing w:line="240" w:lineRule="exact"/>
              <w:ind w:firstLineChars="0" w:firstLine="0"/>
              <w:jc w:val="center"/>
              <w:rPr>
                <w:rFonts w:ascii="仿宋_GB2312" w:hint="eastAsia"/>
                <w:b/>
                <w:bCs/>
                <w:sz w:val="20"/>
                <w:szCs w:val="21"/>
              </w:rPr>
            </w:pPr>
            <w:r>
              <w:rPr>
                <w:rFonts w:ascii="仿宋_GB2312" w:hint="eastAsia"/>
                <w:b/>
                <w:bCs/>
                <w:sz w:val="20"/>
                <w:szCs w:val="21"/>
              </w:rPr>
              <w:t>岸线长度（千米）</w:t>
            </w:r>
          </w:p>
        </w:tc>
        <w:tc>
          <w:tcPr>
            <w:tcW w:w="6481" w:type="dxa"/>
            <w:vMerge w:val="restart"/>
            <w:tcBorders>
              <w:top w:val="single" w:sz="4" w:space="0" w:color="auto"/>
              <w:left w:val="single" w:sz="4" w:space="0" w:color="auto"/>
              <w:bottom w:val="single" w:sz="4" w:space="0" w:color="auto"/>
              <w:right w:val="single" w:sz="4" w:space="0" w:color="auto"/>
            </w:tcBorders>
            <w:noWrap/>
            <w:vAlign w:val="center"/>
          </w:tcPr>
          <w:p>
            <w:pPr>
              <w:spacing w:line="240" w:lineRule="auto"/>
              <w:ind w:firstLineChars="0" w:firstLine="0"/>
              <w:jc w:val="center"/>
              <w:rPr>
                <w:rFonts w:ascii="仿宋_GB2312" w:hint="eastAsia"/>
                <w:b/>
                <w:bCs/>
                <w:sz w:val="20"/>
                <w:szCs w:val="21"/>
              </w:rPr>
            </w:pPr>
            <w:r>
              <w:rPr>
                <w:rFonts w:ascii="仿宋_GB2312" w:hint="eastAsia"/>
                <w:b/>
                <w:bCs/>
                <w:sz w:val="20"/>
                <w:szCs w:val="21"/>
              </w:rPr>
              <w:t>海湾组成</w:t>
            </w:r>
          </w:p>
        </w:tc>
        <w:tc>
          <w:tcPr>
            <w:tcW w:w="2442" w:type="dxa"/>
            <w:gridSpan w:val="2"/>
            <w:tcBorders>
              <w:top w:val="single" w:sz="4" w:space="0" w:color="auto"/>
              <w:left w:val="single" w:sz="4" w:space="0" w:color="auto"/>
              <w:bottom w:val="single" w:sz="4" w:space="0" w:color="auto"/>
              <w:right w:val="single" w:sz="4" w:space="0" w:color="auto"/>
            </w:tcBorders>
            <w:noWrap/>
            <w:vAlign w:val="center"/>
          </w:tcPr>
          <w:p>
            <w:pPr>
              <w:spacing w:line="240" w:lineRule="auto"/>
              <w:ind w:firstLineChars="0" w:firstLine="0"/>
              <w:jc w:val="center"/>
              <w:rPr>
                <w:rFonts w:ascii="仿宋_GB2312" w:hint="eastAsia"/>
                <w:b/>
                <w:bCs/>
                <w:sz w:val="20"/>
                <w:szCs w:val="21"/>
              </w:rPr>
            </w:pPr>
            <w:r>
              <w:rPr>
                <w:rFonts w:ascii="仿宋_GB2312" w:hint="eastAsia"/>
                <w:b/>
                <w:bCs/>
                <w:sz w:val="20"/>
                <w:szCs w:val="21"/>
              </w:rPr>
              <w:t>是否十四五建成</w:t>
            </w:r>
          </w:p>
        </w:tc>
      </w:tr>
      <w:tr>
        <w:trPr>
          <w:cantSplit/>
          <w:trHeight w:val="300"/>
          <w:tblHeader/>
        </w:trPr>
        <w:tc>
          <w:tcPr>
            <w:tcW w:w="466" w:type="dxa"/>
            <w:vMerge/>
            <w:tcBorders>
              <w:top w:val="single" w:sz="4" w:space="0" w:color="auto"/>
              <w:left w:val="single" w:sz="4" w:space="0" w:color="auto"/>
              <w:bottom w:val="single" w:sz="4" w:space="0" w:color="auto"/>
              <w:right w:val="single" w:sz="4" w:space="0" w:color="auto"/>
            </w:tcBorders>
            <w:noWrap/>
            <w:vAlign w:val="center"/>
          </w:tcPr>
          <w:p/>
        </w:tc>
        <w:tc>
          <w:tcPr>
            <w:tcW w:w="945" w:type="dxa"/>
            <w:vMerge/>
            <w:tcBorders>
              <w:left w:val="single" w:sz="4" w:space="0" w:color="auto"/>
              <w:bottom w:val="single" w:sz="4" w:space="0" w:color="auto"/>
              <w:right w:val="single" w:sz="4" w:space="0" w:color="auto"/>
            </w:tcBorders>
            <w:noWrap/>
          </w:tcPr>
          <w:p/>
        </w:tc>
        <w:tc>
          <w:tcPr>
            <w:tcW w:w="1391" w:type="dxa"/>
            <w:vMerge/>
            <w:tcBorders>
              <w:top w:val="single" w:sz="4" w:space="0" w:color="auto"/>
              <w:left w:val="single" w:sz="4" w:space="0" w:color="auto"/>
              <w:bottom w:val="single" w:sz="4" w:space="0" w:color="auto"/>
              <w:right w:val="single" w:sz="4" w:space="0" w:color="auto"/>
            </w:tcBorders>
            <w:noWrap/>
            <w:vAlign w:val="center"/>
          </w:tcPr>
          <w:p/>
        </w:tc>
        <w:tc>
          <w:tcPr>
            <w:tcW w:w="1339" w:type="dxa"/>
            <w:vMerge/>
            <w:tcBorders>
              <w:left w:val="single" w:sz="4" w:space="0" w:color="auto"/>
              <w:bottom w:val="single" w:sz="4" w:space="0" w:color="auto"/>
              <w:right w:val="single" w:sz="4" w:space="0" w:color="auto"/>
            </w:tcBorders>
            <w:noWrap/>
          </w:tcPr>
          <w:p/>
        </w:tc>
        <w:tc>
          <w:tcPr>
            <w:tcW w:w="1110" w:type="dxa"/>
            <w:vMerge/>
            <w:tcBorders>
              <w:left w:val="single" w:sz="4" w:space="0" w:color="auto"/>
              <w:bottom w:val="single" w:sz="4" w:space="0" w:color="auto"/>
              <w:right w:val="single" w:sz="4" w:space="0" w:color="auto"/>
            </w:tcBorders>
            <w:noWrap/>
          </w:tcPr>
          <w:p/>
        </w:tc>
        <w:tc>
          <w:tcPr>
            <w:tcW w:w="6481" w:type="dxa"/>
            <w:vMerge/>
            <w:tcBorders>
              <w:top w:val="single" w:sz="4" w:space="0" w:color="auto"/>
              <w:left w:val="single" w:sz="4" w:space="0" w:color="auto"/>
              <w:bottom w:val="single" w:sz="4" w:space="0" w:color="auto"/>
              <w:right w:val="single" w:sz="4" w:space="0" w:color="auto"/>
            </w:tcBorders>
            <w:noWrap/>
            <w:vAlign w:val="center"/>
          </w:tcP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hint="eastAsia"/>
                <w:b/>
                <w:bCs/>
                <w:sz w:val="20"/>
                <w:szCs w:val="21"/>
              </w:rPr>
            </w:pPr>
            <w:r>
              <w:rPr>
                <w:rFonts w:ascii="仿宋_GB2312" w:hint="eastAsia"/>
                <w:b/>
                <w:bCs/>
                <w:sz w:val="20"/>
                <w:szCs w:val="21"/>
              </w:rPr>
              <w:t>沿海地市目标</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hint="eastAsia"/>
                <w:b/>
                <w:bCs/>
                <w:sz w:val="20"/>
                <w:szCs w:val="21"/>
              </w:rPr>
            </w:pPr>
            <w:r>
              <w:rPr>
                <w:rFonts w:ascii="仿宋_GB2312" w:hint="eastAsia"/>
                <w:b/>
                <w:bCs/>
                <w:sz w:val="20"/>
                <w:szCs w:val="21"/>
              </w:rPr>
              <w:t>全省规划</w:t>
            </w:r>
          </w:p>
          <w:p>
            <w:pPr>
              <w:spacing w:line="240" w:lineRule="exact"/>
              <w:ind w:firstLineChars="0" w:firstLine="0"/>
              <w:jc w:val="center"/>
              <w:rPr>
                <w:rFonts w:ascii="仿宋_GB2312" w:hint="eastAsia"/>
                <w:b/>
                <w:bCs/>
                <w:sz w:val="20"/>
                <w:szCs w:val="21"/>
              </w:rPr>
            </w:pPr>
            <w:r>
              <w:rPr>
                <w:rFonts w:ascii="仿宋_GB2312" w:hint="eastAsia"/>
                <w:b/>
                <w:bCs/>
                <w:sz w:val="20"/>
                <w:szCs w:val="21"/>
              </w:rPr>
              <w:t>目标</w:t>
            </w:r>
          </w:p>
        </w:tc>
      </w:tr>
      <w:tr>
        <w:trPr>
          <w:cantSplit/>
          <w:trHeight w:val="850"/>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w:t>
            </w:r>
          </w:p>
        </w:tc>
        <w:tc>
          <w:tcPr>
            <w:tcW w:w="945"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宁德市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福鼎市沙埕港湾区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89</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174</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八尺门内港、洋沙洋、铁将洋、岐头洋、百胜洋、三门港、照澜港、姚家屿港、马祖婆港、梅溪湾、罗唇湾、沙埕港、上澳、中澳等</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val="891"/>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宁德市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福鼎市东部岸段</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1734</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114</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小白露港、小澳、冬瓜屿港、茶塘港、晴川湾、白沙澳、硖门湾、下池澳、里山湾、马祖澳、西太澳、网仔澳、鱼头澳、斗笠下澳等海湾，有居民海岛为嵛山岛和台山岛等</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福鼎市东部岸段</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福鼎市东部岸段</w:t>
            </w:r>
          </w:p>
        </w:tc>
      </w:tr>
      <w:tr>
        <w:trPr>
          <w:cantSplit/>
          <w:trHeight w:val="848"/>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3</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宁德市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霞浦县福宁湾岸段</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803</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109</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牙城湾、青官蓝澳、牛屎澳、协澳港、古镇港、烽火澳、澳仔澳、网仔澳、田澳、狮头澳、网仔澳港、三沙避风港、三沙港、东澳、西澳、奇沙澳、东壁澳、周湾澳、龙湾澳、福宁湾、粗鲁澳、北兜澳、外湖澳和长门澳等</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val="1057"/>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4</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宁德市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霞浦县东冲半岛东部岸段</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2784</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132</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沙澳里、高罗澳、积石澳、界石澳、己澳、斗米澳、菜湾里澳、鸭池塘港、小闾澳、网澳、闾峡澳、祠南澳、外浒澳、居安澳、石人下澳、池澳、南风澳、官溪澳、大洞澳、西臼澳、赤澳、和石澳、清澳等东冲半岛海湾，以及四</w:t>
            </w:r>
            <w:r>
              <w:rPr>
                <w:rFonts w:ascii="仿宋_GB2312" w:eastAsia="宋体" w:cs="宋体" w:hAnsi="仿宋_GB2312" w:hint="eastAsia"/>
                <w:sz w:val="18"/>
                <w:szCs w:val="18"/>
              </w:rPr>
              <w:t>礵</w:t>
            </w:r>
            <w:r>
              <w:rPr>
                <w:rFonts w:ascii="仿宋_GB2312" w:cs="宋体" w:hint="eastAsia"/>
                <w:sz w:val="18"/>
                <w:szCs w:val="18"/>
              </w:rPr>
              <w:t>列岛、浮鹰岛、西洋岛及其周边海湾</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霞浦县东冲半岛东部岸段</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val="1232"/>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5</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宁德市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三沙湾湾区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766</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523</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东冲口港、北壁港、搭钩港、官井洋、大湾、上澳港、大湾里澳、桥仔下澳、东吾洋、台澳、后湾、细头澳、舢舨澳、肥土澳、覆鼎洋、下东澳、外澳、长腰澳、后澳、溪南港、土仔坪澳、龙潭坑澳、长仔里澳、下洋澳、上洋澳、后壁澳、澳里澳、犬湾、南塘港、富积岐澳、盐田港、赛岐湾、三都澳等</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val="1090"/>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6</w:t>
            </w:r>
          </w:p>
        </w:tc>
        <w:tc>
          <w:tcPr>
            <w:tcW w:w="945"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福州市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鉴江半岛-黄岐半岛东部海域湾区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202.9</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161.8</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鉴江湾、古郁澳、师公澳、鹧下澳、百步澳、吉壁澳、布袋澳、初芦澳、江湾澳、松皋澳、奇达澳口、门</w:t>
            </w:r>
            <w:r>
              <w:rPr>
                <w:rFonts w:ascii="仿宋_GB2312" w:eastAsia="宋体" w:cs="宋体" w:hAnsi="仿宋_GB2312" w:hint="eastAsia"/>
                <w:sz w:val="18"/>
                <w:szCs w:val="18"/>
              </w:rPr>
              <w:t>垱</w:t>
            </w:r>
            <w:r>
              <w:rPr>
                <w:rFonts w:ascii="仿宋_GB2312" w:cs="宋体" w:hint="eastAsia"/>
                <w:sz w:val="18"/>
                <w:szCs w:val="18"/>
              </w:rPr>
              <w:t>里澳、茭南澳、后港、洋里澳、岭下澳、后仑涸澳、大建澳、上塘澳、马坞澳、后沙澳、高塘港、黄岐澳、赤澳、放鸡种澳、大埕沙澳等海湾、海岛</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鉴江半岛-黄岐半岛东部海域湾区</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7</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福州市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罗源湾</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212.65</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157.9</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罗源湾、可门港、大澳、碧里澳等</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val="795"/>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8</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福州市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闽江口北部海域湾区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164.05</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68.4</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罗回澳、布袋澳、前澳、定海湾、蛤沙澳、晓澳澳、道澳澳、乌猪港、黄土澳等海湾、敖江口河口、海岛。</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val="692"/>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9</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福州市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闽江口湾区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163.76</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52.6</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河口：闽江口；重要湿地：长乐闽江河口湿地国家级自然保护区、长乐闽江口国家湿地公园、福建马尾闽江河口湿地省级自然保护区</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val="500"/>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10</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福州市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长乐东部海域湾区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250.51</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47.4</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漳港湾、长乐海蚌资源增殖保护区</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长乐东部海域湾区</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长乐东部海域湾区</w:t>
            </w:r>
          </w:p>
        </w:tc>
      </w:tr>
      <w:tr>
        <w:trPr>
          <w:cantSplit/>
          <w:trHeight w:val="695"/>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11</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福州市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福清湾及其北部海域湾区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185.65</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87.5</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福清湾、海口港、吉湾澳、龙田港、北澳、后埕底澳、港头港、门头澳、后湾澳、嘉儒港、龙江口</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val="949"/>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12</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福州市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龙高半岛周边海域湾区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219.12</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180.8</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后澳、门前澳、瑟江港、玉楼湾、北坑港、坑尾澳、小山东港、澳底澳、限头港、福堂澳、薛礁澳、隆前澳、高山港、岸前澳、牛华港、锦城港、底湾里澳、村前澳、下毛关澳</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13</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福州市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兴化湾福州段</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405.39</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152.4</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兴化湾、西港、东港、石狮嘴澳、方厝澳</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14</w:t>
            </w:r>
          </w:p>
        </w:tc>
        <w:tc>
          <w:tcPr>
            <w:tcW w:w="945"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莆田市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兴化湾-莆田段</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292.87</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99.64</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涵江港、西萨边澳、庵下澳、黄岐澳、淇沪澳、三江口</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15</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莆田市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平海湾</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103.73</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83.79</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平海澳、大厅澳、赤坡澳、澳前</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平海湾</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平海湾</w:t>
            </w: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16</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莆田市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湄洲湾-莆田段</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252.24</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118.14</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枫亭港、东沁澳、后江下澳、皮下澳、贤良港、西亭澳</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hRule="exact" w:val="539"/>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17</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莆田市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南日群岛海域</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322.39</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71.11</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西寨澳、东岱澳、官澳、坑口澳</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南日群岛海域</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val="529"/>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18</w:t>
            </w:r>
          </w:p>
        </w:tc>
        <w:tc>
          <w:tcPr>
            <w:tcW w:w="945"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泉州市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湄洲湾湾区（泉州海域）</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431.17</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color w:val="FF0000"/>
                <w:sz w:val="18"/>
                <w:szCs w:val="18"/>
              </w:rPr>
            </w:pPr>
            <w:r>
              <w:rPr>
                <w:rFonts w:ascii="仿宋_GB2312" w:cs="宋体" w:hint="eastAsia"/>
                <w:sz w:val="18"/>
                <w:szCs w:val="18"/>
              </w:rPr>
              <w:t>126.13</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湄洲湾</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19</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泉州市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大港湾湾区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1174.06</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color w:val="FF0000"/>
                <w:sz w:val="18"/>
                <w:szCs w:val="18"/>
              </w:rPr>
            </w:pPr>
            <w:r>
              <w:rPr>
                <w:rFonts w:ascii="仿宋_GB2312" w:cs="宋体" w:hint="eastAsia"/>
                <w:sz w:val="18"/>
                <w:szCs w:val="18"/>
              </w:rPr>
              <w:t>87.00</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大港、畚箕</w:t>
            </w:r>
            <w:r>
              <w:rPr>
                <w:rFonts w:ascii="仿宋_GB2312" w:eastAsia="宋体" w:cs="宋体" w:hAnsi="仿宋_GB2312" w:hint="eastAsia"/>
                <w:sz w:val="18"/>
                <w:szCs w:val="18"/>
              </w:rPr>
              <w:t>垵</w:t>
            </w:r>
            <w:r>
              <w:rPr>
                <w:rFonts w:ascii="仿宋_GB2312" w:cs="宋体" w:hint="eastAsia"/>
                <w:sz w:val="18"/>
                <w:szCs w:val="18"/>
              </w:rPr>
              <w:t>澳、崇武港</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大港湾湾区</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大港湾湾区</w:t>
            </w: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20</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泉州市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泉州湾湾区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1239.69</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color w:val="FF0000"/>
                <w:sz w:val="18"/>
                <w:szCs w:val="18"/>
              </w:rPr>
            </w:pPr>
            <w:r>
              <w:rPr>
                <w:rFonts w:ascii="仿宋_GB2312" w:cs="宋体" w:hint="eastAsia"/>
                <w:sz w:val="18"/>
                <w:szCs w:val="18"/>
              </w:rPr>
              <w:t>138.70</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泉州湾、石狮东部海域</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21</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泉州市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深沪湾湾区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773.31</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color w:val="FF0000"/>
                <w:sz w:val="18"/>
                <w:szCs w:val="18"/>
              </w:rPr>
            </w:pPr>
            <w:r>
              <w:rPr>
                <w:rFonts w:ascii="仿宋_GB2312" w:cs="宋体" w:hint="eastAsia"/>
                <w:sz w:val="18"/>
                <w:szCs w:val="18"/>
              </w:rPr>
              <w:t>55.63</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深沪湾、晋江东部海域</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深沪湾湾区</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深沪湾湾区</w:t>
            </w: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22</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泉州市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围头湾湾区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343.53</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color w:val="FF0000"/>
                <w:sz w:val="18"/>
                <w:szCs w:val="18"/>
              </w:rPr>
            </w:pPr>
            <w:r>
              <w:rPr>
                <w:rFonts w:ascii="仿宋_GB2312" w:cs="宋体" w:hint="eastAsia"/>
                <w:sz w:val="18"/>
                <w:szCs w:val="18"/>
              </w:rPr>
              <w:t>92.05</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围头湾、石井港、安海湾</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val="591"/>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23</w:t>
            </w:r>
          </w:p>
        </w:tc>
        <w:tc>
          <w:tcPr>
            <w:tcW w:w="945"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平潭综合实验区</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平潭东南湾区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1239.69</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138.70</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海坛湾、坛南湾、钱便澳、山岐澳、东限洋澳、大澳等</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平潭东南湾区</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平潭东南湾区</w:t>
            </w:r>
          </w:p>
        </w:tc>
      </w:tr>
      <w:tr>
        <w:trPr>
          <w:cantSplit/>
          <w:trHeight w:val="949"/>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24</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平潭综合实验区</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平潭东北湾区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773.31</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55.63</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青峰澳、白沙澳、南澳湾澳、澳仔底澳、长江澳、溪口澳、</w:t>
            </w:r>
            <w:r>
              <w:rPr>
                <w:rFonts w:ascii="仿宋_GB2312" w:eastAsia="宋体" w:cs="宋体" w:hAnsi="仿宋_GB2312" w:hint="eastAsia"/>
                <w:sz w:val="18"/>
                <w:szCs w:val="18"/>
              </w:rPr>
              <w:t>磹</w:t>
            </w:r>
            <w:r>
              <w:rPr>
                <w:rFonts w:ascii="仿宋_GB2312" w:cs="宋体" w:hint="eastAsia"/>
                <w:sz w:val="18"/>
                <w:szCs w:val="18"/>
              </w:rPr>
              <w:t>水澳、院苑澳、赤澳、渔屿澳、北港澳、流水澳、模镜澳、化盐澳、大富澳、东澳、塔仔澳、火烧澳等</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val="83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25</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平潭综合实验区</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平潭西部湾区</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343.53</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92.05</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安海澳、黄门澳、鹤脊澳、娘宫港、程安澳、深奥底澳、大湾澳、竹屿港、南江澳、玉屿澳、旗杆尾澳、苏澳港、龙头澳、猫头</w:t>
            </w:r>
            <w:r>
              <w:rPr>
                <w:rFonts w:ascii="仿宋_GB2312" w:eastAsia="宋体" w:cs="宋体" w:hAnsi="仿宋_GB2312" w:hint="eastAsia"/>
                <w:sz w:val="18"/>
                <w:szCs w:val="18"/>
              </w:rPr>
              <w:t>墘</w:t>
            </w:r>
            <w:r>
              <w:rPr>
                <w:rFonts w:ascii="仿宋_GB2312" w:cs="宋体" w:hint="eastAsia"/>
                <w:sz w:val="18"/>
                <w:szCs w:val="18"/>
              </w:rPr>
              <w:t>澳、桃澳底澳、祠堂头澳、后壁山澳、甲澳等</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26</w:t>
            </w:r>
          </w:p>
        </w:tc>
        <w:tc>
          <w:tcPr>
            <w:tcW w:w="945"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厦门市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大嶝海域</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100.16</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53.3</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海岛包括大嶝岛、小嶝岛</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val="44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27</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厦门市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同安湾</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101.48</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74.7</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同安湾、浔江港、东咀港，海岛包括大离浦屿、鳄鱼屿等</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五缘湾</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val="405"/>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28</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厦门市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厦门岛东南部海域</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88.73</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27.5</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鼓浪屿</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厦门岛东南部海域</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厦门岛东南部海域</w:t>
            </w: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29</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厦门市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西海域</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66.87</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66.6</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厦门港厦门段、九龙江河口，宝珠屿、火烧屿、白兔屿、大兔屿、小兔屿等</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海沧湾</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30</w:t>
            </w:r>
          </w:p>
        </w:tc>
        <w:tc>
          <w:tcPr>
            <w:tcW w:w="945"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漳州市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厦门湾漳州段</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259.76</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111.79</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九龙江口</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val="600"/>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31</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漳州市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兴古湾-前湖湾</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470.59</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97.19</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兴古湾隆教湾、白塘湾、湖前湾、江口港（江口湾）、鸿儒港（佛昙湾）、前湖湾</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兴古湾-前湖湾</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兴古湾-前湖湾</w:t>
            </w: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32</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漳州市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将军湾-浮头湾</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694.95</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133.08</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将军湾、大澳湾、旧镇港、浮头湾</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33</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漳州市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东山湾</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272.70</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142.38</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东山湾、青崎澳、径头澳、后安港、拖尾湾、</w:t>
            </w:r>
            <w:r>
              <w:rPr>
                <w:rFonts w:ascii="仿宋_GB2312" w:eastAsia="宋体" w:cs="宋体" w:hAnsi="仿宋_GB2312" w:hint="eastAsia"/>
                <w:sz w:val="18"/>
                <w:szCs w:val="18"/>
              </w:rPr>
              <w:t>峛</w:t>
            </w:r>
            <w:r>
              <w:rPr>
                <w:rFonts w:ascii="仿宋_GB2312" w:cs="宋体" w:hint="eastAsia"/>
                <w:sz w:val="18"/>
                <w:szCs w:val="18"/>
              </w:rPr>
              <w:t>屿澳、白塘澳</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34</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漳州市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马銮湾</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316.74</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61.51</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南门港、前港、后港、荟冬澳、亲营澳、苏尖湾、宫前湾、澳角湾</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马銮湾</w:t>
            </w: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马銮湾</w:t>
            </w:r>
          </w:p>
        </w:tc>
      </w:tr>
      <w:tr>
        <w:trPr>
          <w:cantSplit/>
          <w:trHeight w:hRule="exact" w:val="454"/>
        </w:trPr>
        <w:tc>
          <w:tcPr>
            <w:tcW w:w="466"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35</w:t>
            </w:r>
          </w:p>
        </w:tc>
        <w:tc>
          <w:tcPr>
            <w:tcW w:w="945"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sz w:val="18"/>
                <w:szCs w:val="18"/>
              </w:rPr>
            </w:pPr>
            <w:r>
              <w:rPr>
                <w:rFonts w:ascii="仿宋_GB2312" w:cs="宋体" w:hint="eastAsia"/>
                <w:sz w:val="18"/>
                <w:szCs w:val="18"/>
              </w:rPr>
              <w:t>漳州市</w:t>
            </w:r>
          </w:p>
        </w:tc>
        <w:tc>
          <w:tcPr>
            <w:tcW w:w="139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诏安湾-宫口湾</w:t>
            </w:r>
          </w:p>
        </w:tc>
        <w:tc>
          <w:tcPr>
            <w:tcW w:w="133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311.71</w:t>
            </w:r>
          </w:p>
        </w:tc>
        <w:tc>
          <w:tcPr>
            <w:tcW w:w="111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r>
              <w:rPr>
                <w:rFonts w:ascii="仿宋_GB2312" w:cs="宋体" w:hint="eastAsia"/>
                <w:sz w:val="18"/>
                <w:szCs w:val="18"/>
              </w:rPr>
              <w:t>164.61</w:t>
            </w:r>
          </w:p>
        </w:tc>
        <w:tc>
          <w:tcPr>
            <w:tcW w:w="6481"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r>
              <w:rPr>
                <w:rFonts w:ascii="仿宋_GB2312" w:cs="宋体" w:hint="eastAsia"/>
                <w:sz w:val="18"/>
                <w:szCs w:val="18"/>
              </w:rPr>
              <w:t>诏安湾、屿下澳、宫口湾</w:t>
            </w:r>
          </w:p>
        </w:tc>
        <w:tc>
          <w:tcPr>
            <w:tcW w:w="113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c>
          <w:tcPr>
            <w:tcW w:w="13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rPr>
                <w:rFonts w:ascii="仿宋_GB2312" w:cs="宋体" w:hint="eastAsia"/>
                <w:sz w:val="18"/>
                <w:szCs w:val="18"/>
              </w:rPr>
            </w:pPr>
          </w:p>
        </w:tc>
      </w:tr>
    </w:tbl>
    <w:p>
      <w:pPr>
        <w:rPr>
          <w:rFonts w:ascii="仿宋_GB2312" w:hint="eastAsia"/>
        </w:rPr>
      </w:pPr>
    </w:p>
    <w:p>
      <w:pPr>
        <w:keepNext/>
        <w:keepLines/>
        <w:widowControl w:val="0"/>
        <w:tabs>
          <w:tab w:val="left" w:pos="360"/>
        </w:tabs>
        <w:overflowPunct w:val="0"/>
        <w:autoSpaceDE w:val="0"/>
        <w:autoSpaceDN w:val="0"/>
        <w:adjustRightInd w:val="0"/>
        <w:spacing w:before="0" w:after="0" w:line="240" w:lineRule="auto"/>
        <w:ind w:firstLineChars="0" w:firstLine="0"/>
        <w:jc w:val="center"/>
        <w:textAlignment w:val="baseline"/>
        <w:outlineLvl w:val="1"/>
        <w:rPr>
          <w:rFonts w:ascii="仿宋_GB2312" w:cs="华文中宋" w:hint="eastAsia"/>
          <w:bCs/>
          <w:kern w:val="44"/>
          <w:sz w:val="36"/>
          <w:szCs w:val="36"/>
        </w:rPr>
      </w:pPr>
      <w:r>
        <w:rPr>
          <w:rFonts w:ascii="仿宋_GB2312" w:hint="eastAsia"/>
          <w:b/>
          <w:bCs/>
          <w:kern w:val="44"/>
          <w:sz w:val="32"/>
          <w:szCs w:val="44"/>
        </w:rPr>
        <w:br w:type="page"/>
      </w:r>
      <w:bookmarkStart w:id="539" w:name="_Toc12640"/>
      <w:bookmarkStart w:id="540" w:name="_Toc93504321"/>
      <w:bookmarkStart w:id="541" w:name="_Toc23496"/>
      <w:bookmarkStart w:id="542" w:name="_Toc87460093"/>
      <w:bookmarkStart w:id="543" w:name="_Toc17953"/>
      <w:bookmarkStart w:id="544" w:name="_Toc12355"/>
      <w:bookmarkStart w:id="545" w:name="_Toc24772"/>
      <w:bookmarkStart w:id="546" w:name="_Toc27006"/>
      <w:bookmarkStart w:id="547" w:name="_Toc27106"/>
      <w:bookmarkStart w:id="548" w:name="_Toc4544"/>
      <w:bookmarkStart w:id="549" w:name="_Toc1127"/>
      <w:bookmarkStart w:id="550" w:name="_Toc68681956"/>
      <w:bookmarkStart w:id="551" w:name="_Toc67416026"/>
      <w:bookmarkStart w:id="552" w:name="_Toc67420042"/>
      <w:bookmarkStart w:id="553" w:name="_Toc61850885"/>
      <w:bookmarkStart w:id="554" w:name="_Toc68681967"/>
      <w:r>
        <w:rPr>
          <w:rFonts w:ascii="方正小标宋简体" w:eastAsia="方正小标宋简体" w:cs="华文中宋" w:hint="eastAsia"/>
          <w:bCs/>
          <w:kern w:val="44"/>
          <w:sz w:val="36"/>
          <w:szCs w:val="36"/>
        </w:rPr>
        <w:t>附表2. 福建省“十四五”各海湾（湾区）重点任务措施统计表</w:t>
      </w:r>
      <w:bookmarkEnd w:id="539"/>
      <w:bookmarkEnd w:id="540"/>
      <w:bookmarkEnd w:id="541"/>
      <w:bookmarkEnd w:id="542"/>
      <w:bookmarkEnd w:id="543"/>
      <w:bookmarkEnd w:id="544"/>
      <w:bookmarkEnd w:id="545"/>
      <w:bookmarkEnd w:id="546"/>
      <w:bookmarkEnd w:id="547"/>
      <w:bookmarkEnd w:id="548"/>
      <w:bookmarkEnd w:id="549"/>
      <w:bookmarkEnd w:id="550"/>
      <w:bookmarkEnd w:id="551"/>
    </w:p>
    <w:tbl>
      <w:tblPr>
        <w:jc w:val="center"/>
        <w:tblW w:w="15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28" w:type="dxa"/>
          <w:bottom w:w="0" w:type="dxa"/>
          <w:right w:w="28" w:type="dxa"/>
        </w:tblCellMar>
      </w:tblPr>
      <w:tblGrid>
        <w:gridCol w:w="293"/>
        <w:gridCol w:w="426"/>
        <w:gridCol w:w="1701"/>
        <w:gridCol w:w="567"/>
        <w:gridCol w:w="709"/>
        <w:gridCol w:w="567"/>
        <w:gridCol w:w="709"/>
        <w:gridCol w:w="708"/>
        <w:gridCol w:w="709"/>
        <w:gridCol w:w="709"/>
        <w:gridCol w:w="709"/>
        <w:gridCol w:w="708"/>
        <w:gridCol w:w="709"/>
        <w:gridCol w:w="709"/>
        <w:gridCol w:w="709"/>
        <w:gridCol w:w="708"/>
        <w:gridCol w:w="709"/>
        <w:gridCol w:w="709"/>
        <w:gridCol w:w="709"/>
        <w:gridCol w:w="850"/>
        <w:gridCol w:w="784"/>
      </w:tblGrid>
      <w:tr>
        <w:trPr>
          <w:cantSplit/>
          <w:tblHeader/>
        </w:trPr>
        <w:tc>
          <w:tcPr>
            <w:tcW w:w="293" w:type="dxa"/>
            <w:vMerge w:val="restart"/>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560"/>
              <w:jc w:val="center"/>
              <w:rPr>
                <w:rFonts w:ascii="仿宋_GB2312" w:hint="eastAsia"/>
                <w:bCs/>
                <w:kern w:val="0"/>
                <w:sz w:val="21"/>
                <w:szCs w:val="21"/>
              </w:rPr>
            </w:pPr>
            <w:r>
              <w:rPr>
                <w:rFonts w:ascii="仿宋_GB2312" w:hint="eastAsia"/>
                <w:bCs/>
                <w:kern w:val="0"/>
                <w:sz w:val="21"/>
                <w:szCs w:val="21"/>
              </w:rPr>
              <w:t>序序号</w:t>
            </w:r>
          </w:p>
        </w:tc>
        <w:tc>
          <w:tcPr>
            <w:tcW w:w="426" w:type="dxa"/>
            <w:vMerge w:val="restart"/>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沿海</w:t>
            </w:r>
          </w:p>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地市</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海湾（湾区）单元</w:t>
            </w:r>
          </w:p>
        </w:tc>
        <w:tc>
          <w:tcPr>
            <w:tcW w:w="3260" w:type="dxa"/>
            <w:gridSpan w:val="5"/>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海湾污染治理</w:t>
            </w:r>
          </w:p>
        </w:tc>
        <w:tc>
          <w:tcPr>
            <w:tcW w:w="5670" w:type="dxa"/>
            <w:gridSpan w:val="8"/>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海湾生态保护修复</w:t>
            </w:r>
          </w:p>
        </w:tc>
        <w:tc>
          <w:tcPr>
            <w:tcW w:w="2127" w:type="dxa"/>
            <w:gridSpan w:val="3"/>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亲海环境品质提升</w:t>
            </w:r>
          </w:p>
        </w:tc>
        <w:tc>
          <w:tcPr>
            <w:tcW w:w="850" w:type="dxa"/>
            <w:vMerge w:val="restart"/>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海湾环境风险防范和应急响应</w:t>
            </w:r>
          </w:p>
        </w:tc>
        <w:tc>
          <w:tcPr>
            <w:tcW w:w="784" w:type="dxa"/>
            <w:vMerge w:val="restart"/>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海洋生态环境监管能力建设</w:t>
            </w:r>
          </w:p>
        </w:tc>
      </w:tr>
      <w:tr>
        <w:trPr>
          <w:cantSplit/>
          <w:tblHeader/>
        </w:trPr>
        <w:tc>
          <w:tcPr>
            <w:tcW w:w="293" w:type="dxa"/>
            <w:vMerge/>
            <w:tcBorders>
              <w:top w:val="single" w:sz="4" w:space="0" w:color="auto"/>
              <w:left w:val="single" w:sz="4" w:space="0" w:color="auto"/>
              <w:bottom w:val="single" w:sz="4" w:space="0" w:color="auto"/>
              <w:right w:val="single" w:sz="4" w:space="0" w:color="auto"/>
            </w:tcBorders>
            <w:noWrap/>
            <w:vAlign w:val="center"/>
          </w:tcP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vMerge/>
            <w:tcBorders>
              <w:top w:val="single" w:sz="4" w:space="0" w:color="auto"/>
              <w:left w:val="single" w:sz="4" w:space="0" w:color="auto"/>
              <w:bottom w:val="single" w:sz="4" w:space="0" w:color="auto"/>
              <w:right w:val="single" w:sz="4" w:space="0" w:color="auto"/>
            </w:tcBorders>
            <w:noWrap/>
            <w:vAlign w:val="center"/>
          </w:tcP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入海河流综合治理</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入海排污口查测溯治</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陆海养殖污染防治</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港口船舶等海源污染防治</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岸滩和海漂垃圾治理</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岸线/海堤/沙滩生态修复</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河口/滩涂湿地保护修复</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典型海洋生境保护修复</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关键物种及栖息地保护</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渔业资源恢复修复</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红树林恢复修复</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退养还滩/湿</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海洋生态灾害防灾减灾</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亲海空间环境综合整治</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海水浴场环境治理与服务</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hint="eastAsia"/>
                <w:bCs/>
                <w:kern w:val="0"/>
                <w:sz w:val="21"/>
                <w:szCs w:val="21"/>
              </w:rPr>
            </w:pPr>
            <w:r>
              <w:rPr>
                <w:rFonts w:ascii="仿宋_GB2312" w:hint="eastAsia"/>
                <w:bCs/>
                <w:kern w:val="0"/>
                <w:sz w:val="21"/>
                <w:szCs w:val="21"/>
              </w:rPr>
              <w:t>亲海空间拓展基础设施建设</w:t>
            </w:r>
          </w:p>
        </w:tc>
        <w:tc>
          <w:tcPr>
            <w:tcW w:w="850" w:type="dxa"/>
            <w:vMerge/>
            <w:tcBorders>
              <w:top w:val="single" w:sz="4" w:space="0" w:color="auto"/>
              <w:left w:val="single" w:sz="4" w:space="0" w:color="auto"/>
              <w:bottom w:val="single" w:sz="4" w:space="0" w:color="auto"/>
              <w:right w:val="single" w:sz="4" w:space="0" w:color="auto"/>
            </w:tcBorders>
            <w:noWrap/>
            <w:vAlign w:val="center"/>
          </w:tcPr>
          <w:p/>
        </w:tc>
        <w:tc>
          <w:tcPr>
            <w:tcW w:w="784" w:type="dxa"/>
            <w:vMerge/>
            <w:tcBorders>
              <w:top w:val="single" w:sz="4" w:space="0" w:color="auto"/>
              <w:left w:val="single" w:sz="4" w:space="0" w:color="auto"/>
              <w:bottom w:val="single" w:sz="4" w:space="0" w:color="auto"/>
              <w:right w:val="single" w:sz="4" w:space="0" w:color="auto"/>
            </w:tcBorders>
            <w:noWrap/>
            <w:vAlign w:val="center"/>
          </w:tc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1</w:t>
            </w:r>
          </w:p>
        </w:tc>
        <w:tc>
          <w:tcPr>
            <w:tcW w:w="426" w:type="dxa"/>
            <w:vMerge w:val="restart"/>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宁</w:t>
            </w:r>
          </w:p>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德</w:t>
            </w:r>
          </w:p>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福鼎市沙埕港湾区</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2</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福鼎市东部岸段</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3</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霞浦县福宁湾岸段</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4</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霞浦县东冲半岛东部岸段</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5</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三沙湾湾区</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6</w:t>
            </w:r>
          </w:p>
        </w:tc>
        <w:tc>
          <w:tcPr>
            <w:tcW w:w="426" w:type="dxa"/>
            <w:vMerge w:val="restart"/>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福</w:t>
            </w:r>
          </w:p>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州</w:t>
            </w:r>
          </w:p>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鉴江半岛-黄岐半岛东部海域湾区</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7</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罗源湾</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8</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闽江口北部海域湾区</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9</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闽江口湾区</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10</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长乐东部海域湾区</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11</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福清湾及其北部海域湾区</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12</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龙高半岛周边海域湾区</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13</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兴化湾福州段</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r>
        <w:trPr>
          <w:cantSplit/>
          <w:trHeight w:val="273"/>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14</w:t>
            </w:r>
          </w:p>
        </w:tc>
        <w:tc>
          <w:tcPr>
            <w:tcW w:w="426" w:type="dxa"/>
            <w:vMerge w:val="restart"/>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莆</w:t>
            </w:r>
          </w:p>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田</w:t>
            </w:r>
          </w:p>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兴化湾-莆田段</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15</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平海湾</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16</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湄洲湾-莆田段</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17</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南日群岛海域</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Height w:val="581"/>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18</w:t>
            </w:r>
          </w:p>
        </w:tc>
        <w:tc>
          <w:tcPr>
            <w:tcW w:w="426" w:type="dxa"/>
            <w:vMerge w:val="restart"/>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泉</w:t>
            </w:r>
          </w:p>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州</w:t>
            </w:r>
          </w:p>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湄洲湾湾区（泉州海域）</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19</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大港湾湾区</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20</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泉州湾湾区</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21</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深沪湾湾区</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22</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围头湾湾区</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23</w:t>
            </w:r>
          </w:p>
        </w:tc>
        <w:tc>
          <w:tcPr>
            <w:tcW w:w="426" w:type="dxa"/>
            <w:vMerge w:val="restart"/>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rPr>
                <w:rFonts w:ascii="仿宋_GB2312" w:cs="宋体" w:hint="eastAsia"/>
                <w:kern w:val="0"/>
                <w:sz w:val="18"/>
                <w:szCs w:val="18"/>
              </w:rPr>
            </w:pPr>
            <w:r>
              <w:rPr>
                <w:rFonts w:ascii="仿宋_GB2312" w:cs="宋体" w:hint="eastAsia"/>
                <w:kern w:val="0"/>
                <w:sz w:val="18"/>
                <w:szCs w:val="18"/>
              </w:rPr>
              <w:t>平潭综合实验区</w:t>
            </w: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平潭东南湾区</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24</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平潭东北湾区</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25</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平潭西部湾区</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26</w:t>
            </w:r>
          </w:p>
        </w:tc>
        <w:tc>
          <w:tcPr>
            <w:tcW w:w="426" w:type="dxa"/>
            <w:vMerge w:val="restart"/>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厦</w:t>
            </w:r>
          </w:p>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门</w:t>
            </w:r>
          </w:p>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大嶝海域</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27</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同安湾</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28</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厦门岛东南部海域</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29</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西海域</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highlight w:val="red"/>
              </w:rPr>
            </w:pP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30</w:t>
            </w:r>
          </w:p>
        </w:tc>
        <w:tc>
          <w:tcPr>
            <w:tcW w:w="426" w:type="dxa"/>
            <w:vMerge w:val="restart"/>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漳</w:t>
            </w:r>
          </w:p>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州</w:t>
            </w:r>
          </w:p>
          <w:p>
            <w:pPr>
              <w:widowControl/>
              <w:spacing w:line="240" w:lineRule="auto"/>
              <w:ind w:firstLineChars="0" w:firstLine="0"/>
              <w:jc w:val="center"/>
              <w:rPr>
                <w:rFonts w:ascii="仿宋_GB2312" w:cs="宋体" w:hint="eastAsia"/>
                <w:kern w:val="0"/>
                <w:sz w:val="18"/>
                <w:szCs w:val="18"/>
              </w:rPr>
            </w:pPr>
            <w:r>
              <w:rPr>
                <w:rFonts w:ascii="仿宋_GB2312" w:cs="宋体" w:hint="eastAsia"/>
                <w:kern w:val="0"/>
                <w:sz w:val="18"/>
                <w:szCs w:val="18"/>
              </w:rPr>
              <w:t>市</w:t>
            </w: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厦门湾漳州段</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31</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兴古湾-前湖湾</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32</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将军湾-浮头湾</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33</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东山湾</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34</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马銮湾</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r>
        <w:trPr>
          <w:cantSplit/>
        </w:trPr>
        <w:tc>
          <w:tcPr>
            <w:tcW w:w="293"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auto"/>
              <w:ind w:firstLineChars="0" w:firstLine="0"/>
              <w:jc w:val="center"/>
              <w:textAlignment w:val="center"/>
              <w:rPr>
                <w:rFonts w:ascii="仿宋_GB2312" w:cs="宋体" w:hint="eastAsia"/>
                <w:kern w:val="0"/>
                <w:sz w:val="18"/>
                <w:szCs w:val="18"/>
              </w:rPr>
            </w:pPr>
            <w:r>
              <w:rPr>
                <w:rFonts w:ascii="仿宋_GB2312" w:cs="宋体" w:hint="eastAsia"/>
                <w:sz w:val="18"/>
                <w:szCs w:val="18"/>
              </w:rPr>
              <w:t>35</w:t>
            </w:r>
          </w:p>
        </w:tc>
        <w:tc>
          <w:tcPr>
            <w:tcW w:w="426" w:type="dxa"/>
            <w:vMerge/>
            <w:tcBorders>
              <w:top w:val="single" w:sz="4" w:space="0" w:color="auto"/>
              <w:left w:val="single" w:sz="4" w:space="0" w:color="auto"/>
              <w:bottom w:val="single" w:sz="4" w:space="0" w:color="auto"/>
              <w:right w:val="single" w:sz="4" w:space="0" w:color="auto"/>
            </w:tcBorders>
            <w:noWrap/>
            <w:vAlign w:val="center"/>
          </w:tcPr>
          <w:p/>
        </w:tc>
        <w:tc>
          <w:tcPr>
            <w:tcW w:w="1701"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left"/>
              <w:textAlignment w:val="center"/>
              <w:rPr>
                <w:rFonts w:ascii="仿宋_GB2312" w:cs="宋体" w:hint="eastAsia"/>
                <w:kern w:val="0"/>
                <w:sz w:val="18"/>
                <w:szCs w:val="18"/>
              </w:rPr>
            </w:pPr>
            <w:r>
              <w:rPr>
                <w:rFonts w:ascii="仿宋_GB2312" w:cs="宋体" w:hint="eastAsia"/>
                <w:kern w:val="0"/>
                <w:sz w:val="18"/>
                <w:szCs w:val="18"/>
              </w:rPr>
              <w:t>诏安湾-宫口湾</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8"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pPr>
              <w:spacing w:line="240" w:lineRule="exact"/>
              <w:ind w:firstLineChars="0" w:firstLine="0"/>
              <w:jc w:val="center"/>
              <w:rPr>
                <w:rFonts w:ascii="仿宋_GB2312" w:cs="宋体" w:hint="eastAsia"/>
                <w:sz w:val="18"/>
                <w:szCs w:val="18"/>
              </w:rPr>
            </w:pPr>
          </w:p>
        </w:tc>
        <w:tc>
          <w:tcPr>
            <w:tcW w:w="784" w:type="dxa"/>
            <w:tcBorders>
              <w:top w:val="single" w:sz="4" w:space="0" w:color="auto"/>
              <w:left w:val="single" w:sz="4" w:space="0" w:color="auto"/>
              <w:bottom w:val="single" w:sz="4" w:space="0" w:color="auto"/>
              <w:right w:val="single" w:sz="4" w:space="0" w:color="auto"/>
            </w:tcBorders>
            <w:noWrap/>
            <w:vAlign w:val="center"/>
          </w:tcPr>
          <w:p>
            <w:pPr>
              <w:widowControl/>
              <w:spacing w:line="240" w:lineRule="exact"/>
              <w:ind w:firstLineChars="0" w:firstLine="0"/>
              <w:jc w:val="center"/>
              <w:textAlignment w:val="center"/>
              <w:rPr>
                <w:rFonts w:ascii="仿宋_GB2312" w:cs="宋体" w:hint="eastAsia"/>
                <w:sz w:val="18"/>
                <w:szCs w:val="18"/>
              </w:rPr>
            </w:pPr>
            <w:r>
              <w:rPr>
                <w:rFonts w:ascii="仿宋_GB2312" w:cs="宋体" w:hint="eastAsia"/>
                <w:kern w:val="0"/>
                <w:sz w:val="18"/>
                <w:szCs w:val="18"/>
              </w:rPr>
              <w:t>√</w:t>
            </w:r>
          </w:p>
        </w:tc>
      </w:tr>
    </w:tbl>
    <w:p>
      <w:pPr>
        <w:keepNext/>
        <w:keepLines/>
        <w:widowControl w:val="0"/>
        <w:tabs>
          <w:tab w:val="left" w:pos="360"/>
        </w:tabs>
        <w:overflowPunct w:val="0"/>
        <w:autoSpaceDE w:val="0"/>
        <w:autoSpaceDN w:val="0"/>
        <w:adjustRightInd w:val="0"/>
        <w:spacing w:before="0" w:after="0" w:line="240" w:lineRule="auto"/>
        <w:ind w:firstLineChars="0" w:firstLine="0"/>
        <w:jc w:val="center"/>
        <w:textAlignment w:val="baseline"/>
        <w:outlineLvl w:val="1"/>
        <w:rPr>
          <w:rFonts w:ascii="仿宋_GB2312" w:cs="华文中宋" w:hint="eastAsia"/>
          <w:bCs/>
          <w:kern w:val="44"/>
          <w:sz w:val="36"/>
          <w:szCs w:val="36"/>
        </w:rPr>
      </w:pPr>
      <w:r>
        <w:rPr>
          <w:rFonts w:ascii="仿宋_GB2312" w:hint="eastAsia"/>
          <w:bCs/>
          <w:kern w:val="44"/>
          <w:sz w:val="30"/>
          <w:szCs w:val="28"/>
        </w:rPr>
        <w:br w:type="page"/>
      </w:r>
      <w:bookmarkStart w:id="555" w:name="_Toc4862"/>
      <w:bookmarkStart w:id="556" w:name="_Toc16009"/>
      <w:bookmarkStart w:id="557" w:name="_Toc14186"/>
      <w:bookmarkStart w:id="558" w:name="_Toc93504322"/>
      <w:bookmarkStart w:id="559" w:name="_Toc12295"/>
      <w:bookmarkStart w:id="560" w:name="_Toc20111"/>
      <w:bookmarkStart w:id="561" w:name="_Toc30654"/>
      <w:bookmarkStart w:id="562" w:name="_Toc1985"/>
      <w:bookmarkStart w:id="563" w:name="_Toc23945"/>
      <w:bookmarkStart w:id="564" w:name="_Toc5173"/>
      <w:bookmarkStart w:id="565" w:name="_Toc87460094"/>
      <w:bookmarkEnd w:id="552"/>
      <w:bookmarkEnd w:id="553"/>
      <w:bookmarkEnd w:id="554"/>
      <w:r>
        <w:rPr>
          <w:rFonts w:ascii="方正小标宋简体" w:eastAsia="方正小标宋简体" w:cs="华文中宋" w:hint="eastAsia"/>
          <w:bCs/>
          <w:kern w:val="44"/>
          <w:sz w:val="36"/>
          <w:szCs w:val="36"/>
        </w:rPr>
        <w:t>附表3. 福建省各海湾（湾区）“十四五”重点任务措施和工程项目</w:t>
      </w:r>
      <w:bookmarkEnd w:id="538"/>
      <w:bookmarkEnd w:id="555"/>
      <w:bookmarkEnd w:id="556"/>
      <w:bookmarkEnd w:id="557"/>
      <w:bookmarkEnd w:id="558"/>
      <w:bookmarkEnd w:id="559"/>
      <w:bookmarkEnd w:id="560"/>
      <w:bookmarkEnd w:id="561"/>
      <w:bookmarkEnd w:id="562"/>
      <w:bookmarkEnd w:id="563"/>
      <w:bookmarkEnd w:id="564"/>
      <w:bookmarkEnd w:id="565"/>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76"/>
        <w:gridCol w:w="979"/>
        <w:gridCol w:w="911"/>
        <w:gridCol w:w="1352"/>
        <w:gridCol w:w="2812"/>
        <w:gridCol w:w="1455"/>
        <w:gridCol w:w="2041"/>
        <w:gridCol w:w="2312"/>
        <w:gridCol w:w="1567"/>
      </w:tblGrid>
      <w:tr>
        <w:trPr>
          <w:tblHeader/>
        </w:trPr>
        <w:tc>
          <w:tcPr>
            <w:tcW w:w="776" w:type="dxa"/>
            <w:noWrap/>
            <w:vAlign w:val="center"/>
          </w:tcPr>
          <w:p>
            <w:pPr>
              <w:spacing w:line="240" w:lineRule="exact"/>
              <w:ind w:firstLineChars="0" w:firstLine="0"/>
              <w:jc w:val="center"/>
              <w:rPr>
                <w:rFonts w:ascii="仿宋_GB2312" w:cs="宋体" w:hint="eastAsia"/>
                <w:b/>
                <w:sz w:val="16"/>
                <w:szCs w:val="16"/>
              </w:rPr>
            </w:pPr>
            <w:r>
              <w:rPr>
                <w:rFonts w:ascii="仿宋_GB2312" w:cs="宋体" w:hint="eastAsia"/>
                <w:b/>
                <w:sz w:val="16"/>
                <w:szCs w:val="16"/>
              </w:rPr>
              <w:t>沿海</w:t>
            </w:r>
          </w:p>
          <w:p>
            <w:pPr>
              <w:spacing w:line="240" w:lineRule="exact"/>
              <w:ind w:firstLineChars="0" w:firstLine="0"/>
              <w:jc w:val="center"/>
              <w:rPr>
                <w:rFonts w:ascii="仿宋_GB2312" w:cs="宋体" w:hint="eastAsia"/>
                <w:b/>
                <w:sz w:val="16"/>
                <w:szCs w:val="16"/>
              </w:rPr>
            </w:pPr>
            <w:r>
              <w:rPr>
                <w:rFonts w:ascii="仿宋_GB2312" w:cs="宋体" w:hint="eastAsia"/>
                <w:b/>
                <w:sz w:val="16"/>
                <w:szCs w:val="16"/>
              </w:rPr>
              <w:t>地市</w:t>
            </w:r>
          </w:p>
        </w:tc>
        <w:tc>
          <w:tcPr>
            <w:tcW w:w="979" w:type="dxa"/>
            <w:noWrap/>
            <w:vAlign w:val="center"/>
          </w:tcPr>
          <w:p>
            <w:pPr>
              <w:spacing w:line="240" w:lineRule="exact"/>
              <w:ind w:firstLineChars="0" w:firstLine="0"/>
              <w:jc w:val="center"/>
              <w:rPr>
                <w:rFonts w:ascii="仿宋_GB2312" w:cs="宋体" w:hint="eastAsia"/>
                <w:b/>
                <w:sz w:val="16"/>
                <w:szCs w:val="16"/>
              </w:rPr>
            </w:pPr>
            <w:r>
              <w:rPr>
                <w:rFonts w:ascii="仿宋_GB2312" w:cs="宋体" w:hint="eastAsia"/>
                <w:b/>
                <w:sz w:val="16"/>
                <w:szCs w:val="16"/>
              </w:rPr>
              <w:t>海湾</w:t>
            </w:r>
          </w:p>
          <w:p>
            <w:pPr>
              <w:spacing w:line="240" w:lineRule="exact"/>
              <w:ind w:firstLineChars="0" w:firstLine="0"/>
              <w:jc w:val="center"/>
              <w:rPr>
                <w:rFonts w:ascii="仿宋_GB2312" w:cs="宋体" w:hint="eastAsia"/>
                <w:b/>
                <w:sz w:val="16"/>
                <w:szCs w:val="16"/>
              </w:rPr>
            </w:pPr>
            <w:r>
              <w:rPr>
                <w:rFonts w:ascii="仿宋_GB2312" w:cs="宋体" w:hint="eastAsia"/>
                <w:b/>
                <w:sz w:val="16"/>
                <w:szCs w:val="16"/>
              </w:rPr>
              <w:t>（湾区）</w:t>
            </w:r>
          </w:p>
        </w:tc>
        <w:tc>
          <w:tcPr>
            <w:tcW w:w="911" w:type="dxa"/>
            <w:noWrap/>
            <w:vAlign w:val="center"/>
          </w:tcPr>
          <w:p>
            <w:pPr>
              <w:spacing w:line="240" w:lineRule="auto"/>
              <w:ind w:firstLineChars="0" w:firstLine="0"/>
              <w:jc w:val="center"/>
              <w:rPr>
                <w:rFonts w:ascii="仿宋_GB2312" w:cs="宋体" w:hint="eastAsia"/>
                <w:b/>
                <w:sz w:val="16"/>
                <w:szCs w:val="16"/>
              </w:rPr>
            </w:pPr>
            <w:r>
              <w:rPr>
                <w:rFonts w:ascii="仿宋_GB2312" w:cs="宋体" w:hint="eastAsia"/>
                <w:b/>
                <w:sz w:val="16"/>
                <w:szCs w:val="16"/>
              </w:rPr>
              <w:t>类别</w:t>
            </w:r>
          </w:p>
        </w:tc>
        <w:tc>
          <w:tcPr>
            <w:tcW w:w="1352" w:type="dxa"/>
            <w:noWrap/>
            <w:vAlign w:val="center"/>
          </w:tcPr>
          <w:p>
            <w:pPr>
              <w:spacing w:line="240" w:lineRule="auto"/>
              <w:ind w:firstLineChars="0" w:firstLine="0"/>
              <w:jc w:val="center"/>
              <w:rPr>
                <w:rFonts w:ascii="仿宋_GB2312" w:cs="宋体" w:hint="eastAsia"/>
                <w:b/>
                <w:sz w:val="16"/>
                <w:szCs w:val="16"/>
              </w:rPr>
            </w:pPr>
            <w:r>
              <w:rPr>
                <w:rFonts w:ascii="仿宋_GB2312" w:cs="宋体" w:hint="eastAsia"/>
                <w:b/>
                <w:sz w:val="16"/>
                <w:szCs w:val="16"/>
              </w:rPr>
              <w:t>名称</w:t>
            </w:r>
          </w:p>
        </w:tc>
        <w:tc>
          <w:tcPr>
            <w:tcW w:w="2812" w:type="dxa"/>
            <w:noWrap/>
            <w:vAlign w:val="center"/>
          </w:tcPr>
          <w:p>
            <w:pPr>
              <w:spacing w:line="240" w:lineRule="auto"/>
              <w:ind w:firstLineChars="0" w:firstLine="0"/>
              <w:jc w:val="center"/>
              <w:rPr>
                <w:rFonts w:ascii="仿宋_GB2312" w:cs="宋体" w:hint="eastAsia"/>
                <w:b/>
                <w:sz w:val="16"/>
                <w:szCs w:val="16"/>
              </w:rPr>
            </w:pPr>
            <w:r>
              <w:rPr>
                <w:rFonts w:ascii="仿宋_GB2312" w:cs="宋体" w:hint="eastAsia"/>
                <w:b/>
                <w:sz w:val="16"/>
                <w:szCs w:val="16"/>
              </w:rPr>
              <w:t>实施内容</w:t>
            </w:r>
          </w:p>
        </w:tc>
        <w:tc>
          <w:tcPr>
            <w:tcW w:w="1455" w:type="dxa"/>
            <w:noWrap/>
            <w:vAlign w:val="center"/>
          </w:tcPr>
          <w:p>
            <w:pPr>
              <w:spacing w:line="240" w:lineRule="exact"/>
              <w:ind w:firstLineChars="0" w:firstLine="0"/>
              <w:jc w:val="center"/>
              <w:rPr>
                <w:rFonts w:ascii="仿宋_GB2312" w:cs="宋体" w:hint="eastAsia"/>
                <w:b/>
                <w:sz w:val="16"/>
                <w:szCs w:val="16"/>
              </w:rPr>
            </w:pPr>
            <w:r>
              <w:rPr>
                <w:rFonts w:ascii="仿宋_GB2312" w:cs="宋体" w:hint="eastAsia"/>
                <w:b/>
                <w:sz w:val="16"/>
                <w:szCs w:val="16"/>
              </w:rPr>
              <w:t>实施区域</w:t>
            </w:r>
          </w:p>
          <w:p>
            <w:pPr>
              <w:spacing w:line="240" w:lineRule="exact"/>
              <w:ind w:firstLineChars="0" w:firstLine="0"/>
              <w:jc w:val="center"/>
              <w:rPr>
                <w:rFonts w:ascii="仿宋_GB2312" w:cs="宋体" w:hint="eastAsia"/>
                <w:b/>
                <w:sz w:val="16"/>
                <w:szCs w:val="16"/>
              </w:rPr>
            </w:pPr>
            <w:r>
              <w:rPr>
                <w:rFonts w:ascii="仿宋_GB2312" w:cs="宋体" w:hint="eastAsia"/>
                <w:b/>
                <w:sz w:val="16"/>
                <w:szCs w:val="16"/>
              </w:rPr>
              <w:t>（或对象）</w:t>
            </w:r>
          </w:p>
        </w:tc>
        <w:tc>
          <w:tcPr>
            <w:tcW w:w="2041" w:type="dxa"/>
            <w:noWrap/>
            <w:vAlign w:val="center"/>
          </w:tcPr>
          <w:p>
            <w:pPr>
              <w:spacing w:line="240" w:lineRule="auto"/>
              <w:ind w:firstLineChars="0" w:firstLine="0"/>
              <w:jc w:val="center"/>
              <w:rPr>
                <w:rFonts w:ascii="仿宋_GB2312" w:cs="宋体" w:hint="eastAsia"/>
                <w:b/>
                <w:sz w:val="16"/>
                <w:szCs w:val="16"/>
              </w:rPr>
            </w:pPr>
            <w:r>
              <w:rPr>
                <w:rFonts w:ascii="仿宋_GB2312" w:cs="宋体" w:hint="eastAsia"/>
                <w:b/>
                <w:sz w:val="16"/>
                <w:szCs w:val="16"/>
              </w:rPr>
              <w:t>拟解决的突出问题</w:t>
            </w:r>
          </w:p>
        </w:tc>
        <w:tc>
          <w:tcPr>
            <w:tcW w:w="2312" w:type="dxa"/>
            <w:noWrap/>
            <w:vAlign w:val="center"/>
          </w:tcPr>
          <w:p>
            <w:pPr>
              <w:spacing w:line="240" w:lineRule="auto"/>
              <w:ind w:firstLineChars="0" w:firstLine="0"/>
              <w:jc w:val="center"/>
              <w:rPr>
                <w:rFonts w:ascii="仿宋_GB2312" w:cs="宋体" w:hint="eastAsia"/>
                <w:b/>
                <w:sz w:val="16"/>
                <w:szCs w:val="16"/>
              </w:rPr>
            </w:pPr>
            <w:r>
              <w:rPr>
                <w:rFonts w:ascii="仿宋_GB2312" w:cs="宋体" w:hint="eastAsia"/>
                <w:b/>
                <w:sz w:val="16"/>
                <w:szCs w:val="16"/>
              </w:rPr>
              <w:t>目标指标</w:t>
            </w:r>
          </w:p>
        </w:tc>
        <w:tc>
          <w:tcPr>
            <w:tcW w:w="1567" w:type="dxa"/>
            <w:noWrap/>
            <w:vAlign w:val="center"/>
          </w:tcPr>
          <w:p>
            <w:pPr>
              <w:spacing w:line="240" w:lineRule="auto"/>
              <w:ind w:firstLineChars="0" w:firstLine="0"/>
              <w:jc w:val="center"/>
              <w:rPr>
                <w:rFonts w:ascii="仿宋_GB2312" w:cs="宋体" w:hint="eastAsia"/>
                <w:b/>
                <w:sz w:val="16"/>
                <w:szCs w:val="16"/>
              </w:rPr>
            </w:pPr>
            <w:r>
              <w:rPr>
                <w:rFonts w:ascii="仿宋_GB2312" w:cs="宋体" w:hint="eastAsia"/>
                <w:b/>
                <w:sz w:val="16"/>
                <w:szCs w:val="16"/>
              </w:rPr>
              <w:t>责任单位</w:t>
            </w:r>
          </w:p>
        </w:tc>
      </w:tr>
      <w:tr>
        <w:tc>
          <w:tcPr>
            <w:tcW w:w="776" w:type="dxa"/>
            <w:vMerge w:val="restart"/>
            <w:noWrap/>
            <w:vAlign w:val="center"/>
          </w:tcPr>
          <w:p>
            <w:pPr>
              <w:widowControl/>
              <w:spacing w:line="240" w:lineRule="exact"/>
              <w:ind w:firstLineChars="0" w:firstLine="0"/>
              <w:rPr>
                <w:rFonts w:ascii="仿宋_GB2312" w:cs="宋体" w:hint="eastAsia"/>
                <w:sz w:val="16"/>
                <w:szCs w:val="16"/>
              </w:rPr>
            </w:pPr>
            <w:r>
              <w:rPr>
                <w:rFonts w:ascii="仿宋_GB2312" w:cs="宋体" w:hint="eastAsia"/>
                <w:sz w:val="16"/>
                <w:szCs w:val="16"/>
              </w:rPr>
              <w:t>福州市</w:t>
            </w:r>
          </w:p>
        </w:tc>
        <w:tc>
          <w:tcPr>
            <w:tcW w:w="979" w:type="dxa"/>
            <w:noWrap/>
            <w:vAlign w:val="center"/>
          </w:tcPr>
          <w:p>
            <w:pPr>
              <w:widowControl/>
              <w:spacing w:line="240" w:lineRule="exact"/>
              <w:ind w:firstLineChars="0" w:firstLine="0"/>
              <w:rPr>
                <w:rFonts w:ascii="仿宋_GB2312" w:cs="宋体" w:hint="eastAsia"/>
                <w:sz w:val="16"/>
                <w:szCs w:val="16"/>
              </w:rPr>
            </w:pPr>
            <w:r>
              <w:rPr>
                <w:rFonts w:ascii="仿宋_GB2312" w:cs="宋体" w:hint="eastAsia"/>
                <w:bCs/>
                <w:kern w:val="0"/>
                <w:sz w:val="16"/>
                <w:szCs w:val="16"/>
              </w:rPr>
              <w:t>鉴江半岛-黄岐半岛东部海域湾区</w:t>
            </w:r>
          </w:p>
        </w:tc>
        <w:tc>
          <w:tcPr>
            <w:tcW w:w="911" w:type="dxa"/>
            <w:noWrap/>
            <w:vAlign w:val="center"/>
          </w:tcPr>
          <w:p>
            <w:pPr>
              <w:widowControl/>
              <w:spacing w:line="240" w:lineRule="exact"/>
              <w:ind w:firstLineChars="0" w:firstLine="0"/>
              <w:rPr>
                <w:rFonts w:ascii="仿宋_GB2312" w:cs="宋体" w:hint="eastAsia"/>
                <w:sz w:val="16"/>
                <w:szCs w:val="16"/>
              </w:rPr>
            </w:pPr>
            <w:r>
              <w:rPr>
                <w:rFonts w:ascii="仿宋_GB2312" w:cs="宋体" w:hint="eastAsia"/>
                <w:color w:val="000000"/>
                <w:kern w:val="0"/>
                <w:sz w:val="16"/>
                <w:szCs w:val="16"/>
              </w:rPr>
              <w:t>海湾污染治理</w:t>
            </w:r>
          </w:p>
        </w:tc>
        <w:tc>
          <w:tcPr>
            <w:tcW w:w="135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人工渔礁工程</w:t>
            </w:r>
          </w:p>
        </w:tc>
        <w:tc>
          <w:tcPr>
            <w:tcW w:w="28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在连江县黄岐半岛海域国家级海洋牧场示范区建设人工渔礁面积约1330公顷。</w:t>
            </w:r>
          </w:p>
        </w:tc>
        <w:tc>
          <w:tcPr>
            <w:tcW w:w="1455"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黄岐半岛海域</w:t>
            </w:r>
          </w:p>
        </w:tc>
        <w:tc>
          <w:tcPr>
            <w:tcW w:w="204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北部底栖动物生物多样性指数呈下降趋势；南部潮下带底栖动物栖息密度、生物量和均匀度指数显著下降。</w:t>
            </w:r>
          </w:p>
        </w:tc>
        <w:tc>
          <w:tcPr>
            <w:tcW w:w="23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建造投放人工鱼礁2.89万立方米。</w:t>
            </w:r>
          </w:p>
        </w:tc>
        <w:tc>
          <w:tcPr>
            <w:tcW w:w="1567"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连江县人民政府</w:t>
            </w:r>
          </w:p>
        </w:tc>
      </w:tr>
      <w:tr>
        <w:trPr>
          <w:trHeight w:val="1160"/>
        </w:trPr>
        <w:tc>
          <w:tcPr>
            <w:tcW w:w="776" w:type="dxa"/>
            <w:vMerge/>
            <w:noWrap/>
            <w:vAlign w:val="center"/>
          </w:tcPr>
          <w:p/>
        </w:tc>
        <w:tc>
          <w:tcPr>
            <w:tcW w:w="979" w:type="dxa"/>
            <w:vMerge w:val="restart"/>
            <w:noWrap/>
            <w:vAlign w:val="center"/>
          </w:tcPr>
          <w:p>
            <w:pPr>
              <w:widowControl/>
              <w:spacing w:line="240" w:lineRule="exact"/>
              <w:ind w:firstLineChars="0" w:firstLine="0"/>
              <w:rPr>
                <w:rFonts w:ascii="仿宋_GB2312" w:cs="宋体" w:hint="eastAsia"/>
                <w:sz w:val="16"/>
                <w:szCs w:val="16"/>
              </w:rPr>
            </w:pPr>
            <w:r>
              <w:rPr>
                <w:rFonts w:ascii="仿宋_GB2312" w:cs="宋体" w:hint="eastAsia"/>
                <w:color w:val="000000"/>
                <w:kern w:val="0"/>
                <w:sz w:val="16"/>
                <w:szCs w:val="16"/>
              </w:rPr>
              <w:t>罗源湾</w:t>
            </w:r>
          </w:p>
        </w:tc>
        <w:tc>
          <w:tcPr>
            <w:tcW w:w="91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海湾污染治理</w:t>
            </w:r>
          </w:p>
        </w:tc>
        <w:tc>
          <w:tcPr>
            <w:tcW w:w="135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罗源湾入海河流水质提升工程</w:t>
            </w:r>
          </w:p>
        </w:tc>
        <w:tc>
          <w:tcPr>
            <w:tcW w:w="28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完成起步溪入河排口排查整治工作。全面取缔起步溪流域违法养殖。建设污水支管，增加管网密度。试点开展连江县、罗源县农业农村污染综合整治。</w:t>
            </w:r>
          </w:p>
        </w:tc>
        <w:tc>
          <w:tcPr>
            <w:tcW w:w="1455"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起步溪、罗源湾沿岸（罗源县、连江县）</w:t>
            </w:r>
          </w:p>
        </w:tc>
        <w:tc>
          <w:tcPr>
            <w:tcW w:w="204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起步溪及入海溪流水质达标不稳定，罗源湾沿岸小流域较多，水质较差。</w:t>
            </w:r>
          </w:p>
        </w:tc>
        <w:tc>
          <w:tcPr>
            <w:tcW w:w="23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巩固提升水质，确保起步溪水质基本达到Ⅲ类；沿海城镇污水处理率不低于95%，沿海农村生活污水处理率不低于76%。</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罗源县人民政府、</w:t>
            </w:r>
          </w:p>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连江县人民政府</w:t>
            </w:r>
          </w:p>
        </w:tc>
      </w:tr>
      <w:tr>
        <w:trPr>
          <w:trHeight w:val="880"/>
        </w:trP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rPr>
                <w:rFonts w:ascii="仿宋_GB2312" w:cs="宋体" w:hint="eastAsia"/>
                <w:sz w:val="16"/>
                <w:szCs w:val="16"/>
              </w:rPr>
            </w:pPr>
            <w:r>
              <w:rPr>
                <w:rFonts w:ascii="仿宋_GB2312" w:cs="宋体" w:hint="eastAsia"/>
                <w:color w:val="000000"/>
                <w:kern w:val="0"/>
                <w:sz w:val="16"/>
                <w:szCs w:val="16"/>
              </w:rPr>
              <w:t>海湾污染治理</w:t>
            </w:r>
          </w:p>
        </w:tc>
        <w:tc>
          <w:tcPr>
            <w:tcW w:w="135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连江县可门经济区污水厂深海排放工程</w:t>
            </w:r>
          </w:p>
        </w:tc>
        <w:tc>
          <w:tcPr>
            <w:tcW w:w="28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污水管网建设22千米。</w:t>
            </w:r>
          </w:p>
        </w:tc>
        <w:tc>
          <w:tcPr>
            <w:tcW w:w="1455"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可门经济区污水处理厂</w:t>
            </w:r>
          </w:p>
        </w:tc>
        <w:tc>
          <w:tcPr>
            <w:tcW w:w="204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kern w:val="0"/>
                <w:sz w:val="16"/>
                <w:szCs w:val="16"/>
              </w:rPr>
              <w:t>排放口所在海域无机氮、磷酸盐偶有超标。</w:t>
            </w:r>
          </w:p>
        </w:tc>
        <w:tc>
          <w:tcPr>
            <w:tcW w:w="23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完成可门经济区深海排放工程，工程规模为10万吨/天。</w:t>
            </w:r>
          </w:p>
        </w:tc>
        <w:tc>
          <w:tcPr>
            <w:tcW w:w="1567"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连江可门港建设发展有限公司</w:t>
            </w:r>
          </w:p>
        </w:tc>
      </w:tr>
      <w:tr>
        <w:trPr>
          <w:trHeight w:val="1055"/>
        </w:trPr>
        <w:tc>
          <w:tcPr>
            <w:tcW w:w="776" w:type="dxa"/>
            <w:vMerge/>
            <w:noWrap/>
            <w:vAlign w:val="center"/>
          </w:tcPr>
          <w:p/>
        </w:tc>
        <w:tc>
          <w:tcPr>
            <w:tcW w:w="979" w:type="dxa"/>
            <w:vMerge w:val="restart"/>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闽江口湾区</w:t>
            </w:r>
          </w:p>
        </w:tc>
        <w:tc>
          <w:tcPr>
            <w:tcW w:w="91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海湾污染治理</w:t>
            </w:r>
          </w:p>
        </w:tc>
        <w:tc>
          <w:tcPr>
            <w:tcW w:w="135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闽江口入海河口综合整治工程</w:t>
            </w:r>
          </w:p>
        </w:tc>
        <w:tc>
          <w:tcPr>
            <w:tcW w:w="28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闽江沿线污水处理管网改造，开展闽江沿岸入河城镇污水厂扩建工程，完善农村生活污水处理设施建设。</w:t>
            </w:r>
          </w:p>
        </w:tc>
        <w:tc>
          <w:tcPr>
            <w:tcW w:w="1455"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sz w:val="16"/>
                <w:szCs w:val="16"/>
              </w:rPr>
              <w:t>马尾区、长乐区、</w:t>
            </w:r>
            <w:r>
              <w:rPr>
                <w:rFonts w:ascii="仿宋_GB2312" w:cs="宋体" w:hint="eastAsia"/>
                <w:sz w:val="16"/>
                <w:szCs w:val="16"/>
              </w:rPr>
              <w:t>连江县</w:t>
            </w:r>
          </w:p>
        </w:tc>
        <w:tc>
          <w:tcPr>
            <w:tcW w:w="204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闽江口水质无机氮和活性磷酸盐存在超标现象。</w:t>
            </w:r>
          </w:p>
        </w:tc>
        <w:tc>
          <w:tcPr>
            <w:tcW w:w="23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kern w:val="0"/>
                <w:sz w:val="16"/>
                <w:szCs w:val="16"/>
              </w:rPr>
              <w:t>闽江口入海断面总氮、总磷削减达到上级下达的任务要求。</w:t>
            </w:r>
          </w:p>
        </w:tc>
        <w:tc>
          <w:tcPr>
            <w:tcW w:w="1567"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马尾区人民政府、长乐区人民政府、连江县人民政府</w:t>
            </w:r>
          </w:p>
        </w:tc>
      </w:tr>
      <w:tr>
        <w:trPr>
          <w:trHeight w:val="1010"/>
        </w:trP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rPr>
                <w:rFonts w:ascii="仿宋_GB2312" w:cs="宋体" w:hint="eastAsia"/>
                <w:sz w:val="16"/>
                <w:szCs w:val="16"/>
              </w:rPr>
            </w:pPr>
            <w:r>
              <w:rPr>
                <w:rFonts w:ascii="仿宋_GB2312" w:cs="宋体" w:hint="eastAsia"/>
                <w:color w:val="000000"/>
                <w:kern w:val="0"/>
                <w:sz w:val="16"/>
                <w:szCs w:val="16"/>
              </w:rPr>
              <w:t>海湾污染治理</w:t>
            </w:r>
          </w:p>
        </w:tc>
        <w:tc>
          <w:tcPr>
            <w:tcW w:w="135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自然保护区建设能力提升工程</w:t>
            </w:r>
          </w:p>
        </w:tc>
        <w:tc>
          <w:tcPr>
            <w:tcW w:w="28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配套保护区基础设施、保护管理设施，以及生物多样性保护相关科研监测、巡护和交通等设备。</w:t>
            </w:r>
          </w:p>
        </w:tc>
        <w:tc>
          <w:tcPr>
            <w:tcW w:w="1455"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闽江河口湿地国家级自然保护区</w:t>
            </w:r>
          </w:p>
        </w:tc>
        <w:tc>
          <w:tcPr>
            <w:tcW w:w="204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保护区基础设施薄弱、科研监测技术手段落后。</w:t>
            </w:r>
          </w:p>
        </w:tc>
        <w:tc>
          <w:tcPr>
            <w:tcW w:w="23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提升保护区基础设施、加强保护区监测、维护及科研技术水平。</w:t>
            </w:r>
          </w:p>
        </w:tc>
        <w:tc>
          <w:tcPr>
            <w:tcW w:w="1567"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闽江河口湿地国家级自然保护区管理处</w:t>
            </w:r>
          </w:p>
        </w:tc>
      </w:tr>
      <w:tr>
        <w:trPr>
          <w:trHeight w:val="700"/>
        </w:trPr>
        <w:tc>
          <w:tcPr>
            <w:tcW w:w="776" w:type="dxa"/>
            <w:vMerge/>
            <w:noWrap/>
            <w:vAlign w:val="center"/>
          </w:tcPr>
          <w:p/>
        </w:tc>
        <w:tc>
          <w:tcPr>
            <w:tcW w:w="979" w:type="dxa"/>
            <w:vMerge w:val="restart"/>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长乐东部海域湾区</w:t>
            </w:r>
          </w:p>
        </w:tc>
        <w:tc>
          <w:tcPr>
            <w:tcW w:w="91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海湾生态保护修复</w:t>
            </w:r>
          </w:p>
        </w:tc>
        <w:tc>
          <w:tcPr>
            <w:tcW w:w="135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沙滩整治与修复工程</w:t>
            </w:r>
          </w:p>
        </w:tc>
        <w:tc>
          <w:tcPr>
            <w:tcW w:w="28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整治与修复砂质岸线。</w:t>
            </w:r>
          </w:p>
        </w:tc>
        <w:tc>
          <w:tcPr>
            <w:tcW w:w="1455"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长乐漳港仙岐、沙尾、南澳</w:t>
            </w:r>
          </w:p>
        </w:tc>
        <w:tc>
          <w:tcPr>
            <w:tcW w:w="204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沙滩侵蚀严重，人为破坏严重。</w:t>
            </w:r>
          </w:p>
        </w:tc>
        <w:tc>
          <w:tcPr>
            <w:tcW w:w="23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整治修复砂质岸段4.5千米。</w:t>
            </w:r>
          </w:p>
        </w:tc>
        <w:tc>
          <w:tcPr>
            <w:tcW w:w="1567"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长乐区自然资源局</w:t>
            </w:r>
          </w:p>
        </w:tc>
      </w:tr>
      <w:tr>
        <w:trPr>
          <w:trHeight w:val="787"/>
        </w:trP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rPr>
                <w:rFonts w:ascii="仿宋_GB2312" w:cs="宋体" w:hint="eastAsia"/>
                <w:sz w:val="16"/>
                <w:szCs w:val="16"/>
              </w:rPr>
            </w:pPr>
            <w:r>
              <w:rPr>
                <w:rFonts w:ascii="仿宋_GB2312" w:cs="宋体" w:hint="eastAsia"/>
                <w:color w:val="000000"/>
                <w:kern w:val="0"/>
                <w:sz w:val="16"/>
                <w:szCs w:val="16"/>
              </w:rPr>
              <w:t>海湾生态保护修复</w:t>
            </w:r>
          </w:p>
        </w:tc>
        <w:tc>
          <w:tcPr>
            <w:tcW w:w="135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沿海防护林建设与修复工程</w:t>
            </w:r>
          </w:p>
        </w:tc>
        <w:tc>
          <w:tcPr>
            <w:tcW w:w="28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开展滨海新城沿海防护林带建设。</w:t>
            </w:r>
          </w:p>
        </w:tc>
        <w:tc>
          <w:tcPr>
            <w:tcW w:w="1455"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长乐区梅花镇、文岭镇、湖南镇沿海</w:t>
            </w:r>
          </w:p>
        </w:tc>
        <w:tc>
          <w:tcPr>
            <w:tcW w:w="204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sz w:val="16"/>
                <w:szCs w:val="16"/>
              </w:rPr>
              <w:t>林地范围内的养殖退养还林以及风口防护林修复。</w:t>
            </w:r>
          </w:p>
        </w:tc>
        <w:tc>
          <w:tcPr>
            <w:tcW w:w="23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建设和修复沿海防护林带10千米，建设规模200公顷。</w:t>
            </w:r>
          </w:p>
        </w:tc>
        <w:tc>
          <w:tcPr>
            <w:tcW w:w="1567"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长乐区林业局</w:t>
            </w:r>
          </w:p>
        </w:tc>
      </w:tr>
      <w:tr>
        <w:tc>
          <w:tcPr>
            <w:tcW w:w="776" w:type="dxa"/>
            <w:vMerge w:val="restart"/>
            <w:noWrap/>
            <w:vAlign w:val="center"/>
          </w:tcPr>
          <w:p>
            <w:pPr>
              <w:widowControl/>
              <w:spacing w:line="240" w:lineRule="exact"/>
              <w:ind w:firstLineChars="0" w:firstLine="0"/>
              <w:rPr>
                <w:rFonts w:ascii="仿宋_GB2312" w:cs="宋体" w:hint="eastAsia"/>
                <w:sz w:val="16"/>
                <w:szCs w:val="16"/>
              </w:rPr>
            </w:pPr>
            <w:r>
              <w:rPr>
                <w:rFonts w:ascii="仿宋_GB2312" w:cs="宋体" w:hint="eastAsia"/>
                <w:sz w:val="16"/>
                <w:szCs w:val="16"/>
              </w:rPr>
              <w:t>福州市</w:t>
            </w:r>
          </w:p>
        </w:tc>
        <w:tc>
          <w:tcPr>
            <w:tcW w:w="979" w:type="dxa"/>
            <w:vMerge w:val="restart"/>
            <w:noWrap/>
            <w:vAlign w:val="center"/>
          </w:tcPr>
          <w:p>
            <w:pPr>
              <w:widowControl/>
              <w:spacing w:line="240" w:lineRule="exact"/>
              <w:ind w:firstLineChars="0" w:firstLine="0"/>
              <w:rPr>
                <w:rFonts w:ascii="仿宋_GB2312" w:cs="宋体" w:hint="eastAsia"/>
                <w:sz w:val="16"/>
                <w:szCs w:val="16"/>
              </w:rPr>
            </w:pPr>
            <w:r>
              <w:rPr>
                <w:rFonts w:ascii="仿宋_GB2312" w:cs="宋体" w:hint="eastAsia"/>
                <w:color w:val="000000"/>
                <w:kern w:val="0"/>
                <w:sz w:val="16"/>
                <w:szCs w:val="16"/>
              </w:rPr>
              <w:t>长乐东部海域湾区</w:t>
            </w:r>
          </w:p>
        </w:tc>
        <w:tc>
          <w:tcPr>
            <w:tcW w:w="911" w:type="dxa"/>
            <w:noWrap/>
            <w:vAlign w:val="center"/>
          </w:tcPr>
          <w:p>
            <w:pPr>
              <w:widowControl/>
              <w:spacing w:line="240" w:lineRule="exact"/>
              <w:ind w:firstLineChars="0" w:firstLine="0"/>
              <w:rPr>
                <w:rFonts w:ascii="仿宋_GB2312" w:cs="宋体" w:hint="eastAsia"/>
                <w:sz w:val="16"/>
                <w:szCs w:val="16"/>
              </w:rPr>
            </w:pPr>
            <w:r>
              <w:rPr>
                <w:rFonts w:ascii="仿宋_GB2312" w:cs="宋体" w:hint="eastAsia"/>
                <w:color w:val="000000"/>
                <w:kern w:val="0"/>
                <w:sz w:val="16"/>
                <w:szCs w:val="16"/>
              </w:rPr>
              <w:t>海湾生态保护修复</w:t>
            </w:r>
          </w:p>
        </w:tc>
        <w:tc>
          <w:tcPr>
            <w:tcW w:w="135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龙江水质改善工程</w:t>
            </w:r>
          </w:p>
        </w:tc>
        <w:tc>
          <w:tcPr>
            <w:tcW w:w="28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加强污水管网建设，提高城区污水收集率和处理率；推进城镇雨污分流及管网修复等基础设施建设。优化水产养殖业布局，确定合理养殖容量；清理违规占用河道岸线、尾水排放严重污染环境的养殖活动。加强排污口整治工作，对违法排污口进行封堵，加大农村生活污水整理力度。引闽江水源用于生态补水。</w:t>
            </w:r>
          </w:p>
        </w:tc>
        <w:tc>
          <w:tcPr>
            <w:tcW w:w="1455"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龙江</w:t>
            </w:r>
          </w:p>
        </w:tc>
        <w:tc>
          <w:tcPr>
            <w:tcW w:w="204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基础设施建设短板突出，城市污水管网破损、雨污分流不彻底。农业农村污染，养殖尾水中氨氮、总磷浓度较高。工业企业污水收集不完全。</w:t>
            </w:r>
          </w:p>
        </w:tc>
        <w:tc>
          <w:tcPr>
            <w:tcW w:w="23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龙江海口桥国考断面水质稳定达到V类考核目标。</w:t>
            </w:r>
          </w:p>
        </w:tc>
        <w:tc>
          <w:tcPr>
            <w:tcW w:w="1567"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福州市生态环境局，福清市人民政府</w:t>
            </w:r>
          </w:p>
        </w:tc>
      </w:tr>
      <w:t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rPr>
                <w:rFonts w:ascii="仿宋_GB2312" w:cs="宋体" w:hint="eastAsia"/>
                <w:sz w:val="16"/>
                <w:szCs w:val="16"/>
              </w:rPr>
            </w:pPr>
            <w:r>
              <w:rPr>
                <w:rFonts w:ascii="仿宋_GB2312" w:cs="宋体" w:hint="eastAsia"/>
                <w:color w:val="000000"/>
                <w:kern w:val="0"/>
                <w:sz w:val="16"/>
                <w:szCs w:val="16"/>
              </w:rPr>
              <w:t>海湾生态保护修复</w:t>
            </w:r>
          </w:p>
        </w:tc>
        <w:tc>
          <w:tcPr>
            <w:tcW w:w="135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sz w:val="16"/>
                <w:szCs w:val="16"/>
              </w:rPr>
              <w:t>福清湾片区围填海项目生态保护修复工程</w:t>
            </w:r>
          </w:p>
        </w:tc>
        <w:tc>
          <w:tcPr>
            <w:tcW w:w="28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开展增殖放流；恢复修复滨海湿地、鸟类栖息地，拆除生态保护红线的围填海区，补植红树林、清除互花米草；开展生态海堤建设和护岸修复。</w:t>
            </w:r>
          </w:p>
        </w:tc>
        <w:tc>
          <w:tcPr>
            <w:tcW w:w="1455"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福清湾海域</w:t>
            </w:r>
          </w:p>
        </w:tc>
        <w:tc>
          <w:tcPr>
            <w:tcW w:w="204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围填海占用滨海湿地，影响迁徙鸟类觅食环境；原有岸线的自然属性发生改变。</w:t>
            </w:r>
          </w:p>
        </w:tc>
        <w:tc>
          <w:tcPr>
            <w:tcW w:w="23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kern w:val="0"/>
                <w:sz w:val="16"/>
                <w:szCs w:val="16"/>
              </w:rPr>
              <w:t>完成福清市福清湾片区围填海项目生态保护修复方案的生态修复目标要求。</w:t>
            </w:r>
          </w:p>
        </w:tc>
        <w:tc>
          <w:tcPr>
            <w:tcW w:w="1567"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福清市人民政府</w:t>
            </w:r>
          </w:p>
        </w:tc>
      </w:tr>
      <w:tr>
        <w:tc>
          <w:tcPr>
            <w:tcW w:w="776" w:type="dxa"/>
            <w:vMerge/>
            <w:noWrap/>
            <w:vAlign w:val="center"/>
          </w:tcPr>
          <w:p/>
        </w:tc>
        <w:tc>
          <w:tcPr>
            <w:tcW w:w="979" w:type="dxa"/>
            <w:vMerge w:val="restart"/>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兴化湾福州段</w:t>
            </w:r>
          </w:p>
        </w:tc>
        <w:tc>
          <w:tcPr>
            <w:tcW w:w="91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海湾污染治理</w:t>
            </w:r>
          </w:p>
        </w:tc>
        <w:tc>
          <w:tcPr>
            <w:tcW w:w="135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江阴港工业园区整治工程</w:t>
            </w:r>
          </w:p>
        </w:tc>
        <w:tc>
          <w:tcPr>
            <w:tcW w:w="28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加快污水处理厂及其配套管网建设，推进污水处理厂提标改造工作；加强对区域内工业企业的环境监管，查处企业违法偷排、生活污水直排等问题。</w:t>
            </w:r>
          </w:p>
        </w:tc>
        <w:tc>
          <w:tcPr>
            <w:tcW w:w="1455"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江阴工业园区</w:t>
            </w:r>
          </w:p>
        </w:tc>
        <w:tc>
          <w:tcPr>
            <w:tcW w:w="204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河道水质污染严重，工业废水总氮超标排放。</w:t>
            </w:r>
          </w:p>
        </w:tc>
        <w:tc>
          <w:tcPr>
            <w:tcW w:w="23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河道水质得到改善，工业废水总氮达标排放。</w:t>
            </w:r>
          </w:p>
        </w:tc>
        <w:tc>
          <w:tcPr>
            <w:tcW w:w="1567"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福州市商务局、建设局、生态环境局，福清市人民政府</w:t>
            </w:r>
          </w:p>
        </w:tc>
      </w:tr>
      <w:tr>
        <w:trPr>
          <w:trHeight w:val="865"/>
        </w:trP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rPr>
                <w:rFonts w:ascii="仿宋_GB2312" w:cs="宋体" w:hint="eastAsia"/>
                <w:sz w:val="16"/>
                <w:szCs w:val="16"/>
              </w:rPr>
            </w:pPr>
            <w:r>
              <w:rPr>
                <w:rFonts w:ascii="仿宋_GB2312" w:cs="宋体" w:hint="eastAsia"/>
                <w:color w:val="000000"/>
                <w:kern w:val="0"/>
                <w:sz w:val="16"/>
                <w:szCs w:val="16"/>
              </w:rPr>
              <w:t>海湾污染治理</w:t>
            </w:r>
          </w:p>
        </w:tc>
        <w:tc>
          <w:tcPr>
            <w:tcW w:w="135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新建自然保护区</w:t>
            </w:r>
          </w:p>
        </w:tc>
        <w:tc>
          <w:tcPr>
            <w:tcW w:w="28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新建福清兴化湾水鸟省级自然保护区，面积7518.36公顷。</w:t>
            </w:r>
          </w:p>
        </w:tc>
        <w:tc>
          <w:tcPr>
            <w:tcW w:w="1455"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兴化湾</w:t>
            </w:r>
          </w:p>
        </w:tc>
        <w:tc>
          <w:tcPr>
            <w:tcW w:w="204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湿地生态功能退化影响滨海鸟类栖息。</w:t>
            </w:r>
          </w:p>
        </w:tc>
        <w:tc>
          <w:tcPr>
            <w:tcW w:w="23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新建省级自然保护区1个</w:t>
            </w:r>
          </w:p>
        </w:tc>
        <w:tc>
          <w:tcPr>
            <w:tcW w:w="1567"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福清市人民政府</w:t>
            </w:r>
          </w:p>
        </w:tc>
      </w:tr>
      <w:t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rPr>
                <w:rFonts w:ascii="仿宋_GB2312" w:cs="宋体" w:hint="eastAsia"/>
                <w:sz w:val="16"/>
                <w:szCs w:val="16"/>
              </w:rPr>
            </w:pPr>
            <w:r>
              <w:rPr>
                <w:rFonts w:ascii="仿宋_GB2312" w:cs="宋体" w:hint="eastAsia"/>
                <w:color w:val="000000"/>
                <w:kern w:val="0"/>
                <w:sz w:val="16"/>
                <w:szCs w:val="16"/>
              </w:rPr>
              <w:t>海湾污染治理</w:t>
            </w:r>
          </w:p>
        </w:tc>
        <w:tc>
          <w:tcPr>
            <w:tcW w:w="135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sz w:val="16"/>
                <w:szCs w:val="16"/>
              </w:rPr>
              <w:t>兴化湾片区围填海历史遗留问题生态保护修复工程</w:t>
            </w:r>
          </w:p>
        </w:tc>
        <w:tc>
          <w:tcPr>
            <w:tcW w:w="28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开展增殖放流；恢复修复滨海湿地生态，拆除部分围填海区，补植红树林；开展生态海堤建设；修复沙滩。</w:t>
            </w:r>
          </w:p>
        </w:tc>
        <w:tc>
          <w:tcPr>
            <w:tcW w:w="1455"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兴化湾海域</w:t>
            </w:r>
          </w:p>
        </w:tc>
        <w:tc>
          <w:tcPr>
            <w:tcW w:w="204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kern w:val="0"/>
                <w:sz w:val="16"/>
                <w:szCs w:val="16"/>
              </w:rPr>
              <w:t>完成福清市兴化湾片区围填海项目生态保护修复方案的生态修复目标要求。</w:t>
            </w:r>
          </w:p>
        </w:tc>
        <w:tc>
          <w:tcPr>
            <w:tcW w:w="23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sz w:val="16"/>
                <w:szCs w:val="16"/>
              </w:rPr>
              <w:t>增殖放流400万尾；拆除围填海3.94公顷；种植红树林13.3公顷；生态海堤2千米；沙滩修复6.3公顷。</w:t>
            </w:r>
          </w:p>
        </w:tc>
        <w:tc>
          <w:tcPr>
            <w:tcW w:w="1567"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福清市人民政府</w:t>
            </w:r>
          </w:p>
        </w:tc>
      </w:tr>
      <w:tr>
        <w:tc>
          <w:tcPr>
            <w:tcW w:w="776" w:type="dxa"/>
            <w:vMerge/>
            <w:noWrap/>
            <w:vAlign w:val="center"/>
          </w:tcPr>
          <w:p/>
        </w:tc>
        <w:tc>
          <w:tcPr>
            <w:tcW w:w="979"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福州沿海岸段</w:t>
            </w:r>
          </w:p>
        </w:tc>
        <w:tc>
          <w:tcPr>
            <w:tcW w:w="91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海洋生态环境监管能力建设</w:t>
            </w:r>
          </w:p>
        </w:tc>
        <w:tc>
          <w:tcPr>
            <w:tcW w:w="135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海洋生态环境管理平台建设</w:t>
            </w:r>
          </w:p>
        </w:tc>
        <w:tc>
          <w:tcPr>
            <w:tcW w:w="28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充分利用现有省、市生态云平台，建设海洋监管子系统，开展包括无人机航拍遥测、视频监控识别系统等子项目建设，增强对污染源、海漂垃圾、溢油事故等近岸海域污染或环境事故实时监管能力，实现海洋大数据分析。</w:t>
            </w:r>
          </w:p>
        </w:tc>
        <w:tc>
          <w:tcPr>
            <w:tcW w:w="1455"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重点海域及其沿岸</w:t>
            </w:r>
          </w:p>
        </w:tc>
        <w:tc>
          <w:tcPr>
            <w:tcW w:w="204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海洋环境监管信息化水平低，监管技术手段单一、监管水平较低。</w:t>
            </w:r>
          </w:p>
        </w:tc>
        <w:tc>
          <w:tcPr>
            <w:tcW w:w="2312"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建设高度集成的福州市海洋环境监管子平台。</w:t>
            </w:r>
          </w:p>
        </w:tc>
        <w:tc>
          <w:tcPr>
            <w:tcW w:w="1567"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color w:val="000000"/>
                <w:kern w:val="0"/>
                <w:sz w:val="16"/>
                <w:szCs w:val="16"/>
              </w:rPr>
              <w:t>福州市生态环境局</w:t>
            </w:r>
          </w:p>
        </w:tc>
      </w:tr>
      <w:tr>
        <w:trPr>
          <w:trHeight w:val="774"/>
        </w:trPr>
        <w:tc>
          <w:tcPr>
            <w:tcW w:w="776" w:type="dxa"/>
            <w:vMerge w:val="restart"/>
            <w:noWrap/>
            <w:vAlign w:val="center"/>
          </w:tcPr>
          <w:p>
            <w:pPr>
              <w:widowControl/>
              <w:spacing w:line="240" w:lineRule="exact"/>
              <w:ind w:firstLineChars="0" w:firstLine="0"/>
              <w:rPr>
                <w:rFonts w:ascii="仿宋_GB2312" w:cs="宋体" w:hint="eastAsia"/>
                <w:sz w:val="16"/>
                <w:szCs w:val="16"/>
              </w:rPr>
            </w:pPr>
            <w:r>
              <w:rPr>
                <w:rFonts w:ascii="仿宋_GB2312" w:cs="宋体" w:hint="eastAsia"/>
                <w:sz w:val="16"/>
                <w:szCs w:val="16"/>
              </w:rPr>
              <w:t>厦门市</w:t>
            </w:r>
          </w:p>
        </w:tc>
        <w:tc>
          <w:tcPr>
            <w:tcW w:w="979" w:type="dxa"/>
            <w:vMerge w:val="restart"/>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西海域</w:t>
            </w: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海湾生态保护修复</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马銮湾新城外湾红树林种植工程</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红树林造滩及开展红树林种植。</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马銮湾新城中心岛以东外湾水域</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原生红树消失，生态退化。</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红树林种植面积≥4公顷。</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厦门市马銮湾新城开发建设指挥部</w:t>
            </w:r>
          </w:p>
        </w:tc>
      </w:tr>
      <w:t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海湾生态保护修复</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鳌冠海域岸线保护和生态综合整治</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开展鳌冠湾清淤、滩面清理、岸线保护与生态综合整治、红树林种植工程等。</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西海域鳌冠片区海域</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区域淤积严重，水动力条件较差，污染扩散能力弱。</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海域清淤面积≥200公顷。</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厦门市海沧区政府、</w:t>
            </w:r>
            <w:r>
              <w:rPr>
                <w:rFonts w:ascii="仿宋_GB2312" w:cs="宋体" w:hint="eastAsia"/>
                <w:kern w:val="0"/>
                <w:sz w:val="16"/>
                <w:szCs w:val="16"/>
              </w:rPr>
              <w:t>厦门市自然资源与规划局</w:t>
            </w:r>
          </w:p>
        </w:tc>
      </w:tr>
      <w:tr>
        <w:trPr>
          <w:trHeight w:val="790"/>
        </w:trP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亲海环境品质提升</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新阳大桥-杏林大桥岸线整治</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开展海岸线整治修复，提升亲海景观和生态环境品质。</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新阳大桥-杏林大桥岸线</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亲海临海空间品质有待提高。</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红树林种植面积≥4公顷。</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厦门市集美区政府、</w:t>
            </w:r>
            <w:r>
              <w:rPr>
                <w:rFonts w:ascii="仿宋_GB2312" w:cs="宋体" w:hint="eastAsia"/>
                <w:kern w:val="0"/>
                <w:sz w:val="16"/>
                <w:szCs w:val="16"/>
              </w:rPr>
              <w:t>厦门市自然资源与规划局</w:t>
            </w:r>
          </w:p>
        </w:tc>
      </w:tr>
      <w:tr>
        <w:trPr>
          <w:trHeight w:val="1190"/>
        </w:trP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亲海环境品质提升</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马銮湾新城环湾岸线生态景观绿化建设</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整治修复亲海岸滩，依托马銮湾自然本底和公园绿地，打造25千米的滨海休闲旅游环湾岸线，提升公众临海亲海品质。</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马銮湾环湾岸线</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生态退化，湾区亲海临海空间品质不足。</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整治修复亲海岸滩≥11.9千米，岸线生态修复长度1.5千米。</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厦门市马銮湾新城开发建设指挥部</w:t>
            </w:r>
          </w:p>
        </w:tc>
      </w:tr>
      <w:t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亲海环境品质提升</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马銮湾新城马銮湾南岸生态岛绿化工程</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对马銮湾南岸4号、5号、6号人工岛开展绿化工程、护岸工程等。</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马銮湾南岸</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马銮湾南岸亲海临海空间品质不足。</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整治修复亲海岸滩≥2.6千米，岸线生态修复长度2.4千米。</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厦门市马銮湾新城开发建设指挥部</w:t>
            </w:r>
          </w:p>
        </w:tc>
      </w:tr>
      <w:tr>
        <w:tc>
          <w:tcPr>
            <w:tcW w:w="776" w:type="dxa"/>
            <w:vMerge/>
            <w:noWrap/>
            <w:vAlign w:val="center"/>
          </w:tcPr>
          <w:p/>
        </w:tc>
        <w:tc>
          <w:tcPr>
            <w:tcW w:w="979"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厦门岛东南部海域</w:t>
            </w: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海湾污染治理</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思明区污水两高建设正本清源项目</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对建成区面积约为5309公顷范围排水管网溯源排查与清疏检测。</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厦门岛东南部海域</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城市污水收集处理能力不足。</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提升思明区污水收集处理能力，减少污染物直排入海。</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厦门市思明区政府</w:t>
            </w:r>
          </w:p>
        </w:tc>
      </w:tr>
      <w:tr>
        <w:trPr>
          <w:trHeight w:val="725"/>
        </w:trPr>
        <w:tc>
          <w:tcPr>
            <w:tcW w:w="776" w:type="dxa"/>
            <w:vMerge/>
            <w:noWrap/>
            <w:vAlign w:val="center"/>
          </w:tcPr>
          <w:p/>
        </w:tc>
        <w:tc>
          <w:tcPr>
            <w:tcW w:w="979" w:type="dxa"/>
            <w:vMerge w:val="restart"/>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同安湾</w:t>
            </w: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海湾污染治理</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kern w:val="0"/>
                <w:sz w:val="16"/>
                <w:szCs w:val="16"/>
              </w:rPr>
              <w:t>下潭尾水质净化厂一期工程</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kern w:val="0"/>
                <w:sz w:val="16"/>
                <w:szCs w:val="16"/>
              </w:rPr>
              <w:t>新建下潭尾水质净化厂。</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kern w:val="0"/>
                <w:sz w:val="16"/>
                <w:szCs w:val="16"/>
              </w:rPr>
              <w:t>同安湾东侧</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城乡污水收集处理能力不足。</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提升同安湾周边污水收集处理能力，减少污染物直排入海。</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kern w:val="0"/>
                <w:sz w:val="16"/>
                <w:szCs w:val="16"/>
              </w:rPr>
              <w:t>厦门市市政园林局</w:t>
            </w:r>
          </w:p>
        </w:tc>
      </w:tr>
      <w:t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海湾污染治理</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kern w:val="0"/>
                <w:sz w:val="16"/>
                <w:szCs w:val="16"/>
              </w:rPr>
              <w:t>洪塘水质净化厂一期工程</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kern w:val="0"/>
                <w:sz w:val="16"/>
                <w:szCs w:val="16"/>
              </w:rPr>
              <w:t>新建洪塘水质净化厂。</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kern w:val="0"/>
                <w:sz w:val="16"/>
                <w:szCs w:val="16"/>
              </w:rPr>
              <w:t>同安湾北侧洪塘镇</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城乡污水收集处理能力不足。</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提升同安湾周边污水收集处理能力，减少污染物直排入海。</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kern w:val="0"/>
                <w:sz w:val="16"/>
                <w:szCs w:val="16"/>
              </w:rPr>
              <w:t>厦门市市政园林局</w:t>
            </w:r>
          </w:p>
        </w:tc>
      </w:tr>
      <w:t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亲海环境品质提升</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厦门大桥-集美大桥岸线整治</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开展岸线生态修复与综合整治，提升杏林湾、集美学村和滨海旅游浪漫线亲海品质。</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厦门大桥-集美大桥岸线</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同安湾沿岸亲海临海空间品质不足。</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岸线生态修复长度不少于0.5千米。</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厦门市集美区政府、</w:t>
            </w:r>
            <w:r>
              <w:rPr>
                <w:rFonts w:ascii="仿宋_GB2312" w:cs="宋体" w:hint="eastAsia"/>
                <w:kern w:val="0"/>
                <w:sz w:val="16"/>
                <w:szCs w:val="16"/>
              </w:rPr>
              <w:t>厦门市自然资源与规划局</w:t>
            </w:r>
          </w:p>
        </w:tc>
      </w:tr>
      <w:tr>
        <w:trPr>
          <w:trHeight w:val="759"/>
        </w:trPr>
        <w:tc>
          <w:tcPr>
            <w:tcW w:w="776" w:type="dxa"/>
            <w:vMerge/>
            <w:noWrap/>
            <w:vAlign w:val="center"/>
          </w:tcPr>
          <w:p/>
        </w:tc>
        <w:tc>
          <w:tcPr>
            <w:tcW w:w="979"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大嶝海域</w:t>
            </w: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亲海环境品质提升</w:t>
            </w:r>
          </w:p>
        </w:tc>
        <w:tc>
          <w:tcPr>
            <w:tcW w:w="1352" w:type="dxa"/>
            <w:noWrap/>
            <w:vAlign w:val="center"/>
          </w:tcPr>
          <w:p>
            <w:pPr>
              <w:widowControl/>
              <w:adjustRightInd w:val="0"/>
              <w:snapToGrid w:val="0"/>
              <w:spacing w:line="228" w:lineRule="auto"/>
              <w:ind w:firstLineChars="0" w:firstLine="0"/>
              <w:rPr>
                <w:rFonts w:ascii="仿宋_GB2312" w:cs="宋体" w:hint="eastAsia"/>
                <w:kern w:val="0"/>
                <w:sz w:val="16"/>
                <w:szCs w:val="16"/>
              </w:rPr>
            </w:pPr>
            <w:r>
              <w:rPr>
                <w:rFonts w:ascii="仿宋_GB2312" w:cs="宋体" w:hint="eastAsia"/>
                <w:kern w:val="0"/>
                <w:sz w:val="16"/>
                <w:szCs w:val="16"/>
              </w:rPr>
              <w:t>滨海浪漫线二期、三期</w:t>
            </w:r>
          </w:p>
        </w:tc>
        <w:tc>
          <w:tcPr>
            <w:tcW w:w="2812" w:type="dxa"/>
            <w:noWrap/>
            <w:vAlign w:val="center"/>
          </w:tcPr>
          <w:p>
            <w:pPr>
              <w:widowControl/>
              <w:adjustRightInd w:val="0"/>
              <w:snapToGrid w:val="0"/>
              <w:spacing w:line="228" w:lineRule="auto"/>
              <w:ind w:firstLineChars="0" w:firstLine="0"/>
              <w:rPr>
                <w:rFonts w:ascii="仿宋_GB2312" w:cs="宋体" w:hint="eastAsia"/>
                <w:kern w:val="0"/>
                <w:sz w:val="16"/>
                <w:szCs w:val="16"/>
              </w:rPr>
            </w:pPr>
            <w:r>
              <w:rPr>
                <w:rFonts w:ascii="仿宋_GB2312" w:cs="宋体" w:hint="eastAsia"/>
                <w:kern w:val="0"/>
                <w:sz w:val="16"/>
                <w:szCs w:val="16"/>
              </w:rPr>
              <w:t>生态优先、因地制宜开展滨海浪漫线二期及三期的生态修复及景观提升。</w:t>
            </w:r>
          </w:p>
        </w:tc>
        <w:tc>
          <w:tcPr>
            <w:tcW w:w="1455" w:type="dxa"/>
            <w:noWrap/>
            <w:vAlign w:val="center"/>
          </w:tcPr>
          <w:p>
            <w:pPr>
              <w:widowControl/>
              <w:adjustRightInd w:val="0"/>
              <w:snapToGrid w:val="0"/>
              <w:spacing w:line="228" w:lineRule="auto"/>
              <w:ind w:firstLineChars="0" w:firstLine="0"/>
              <w:rPr>
                <w:rFonts w:ascii="仿宋_GB2312" w:cs="宋体" w:hint="eastAsia"/>
                <w:kern w:val="0"/>
                <w:sz w:val="16"/>
                <w:szCs w:val="16"/>
              </w:rPr>
            </w:pPr>
            <w:r>
              <w:rPr>
                <w:rFonts w:ascii="仿宋_GB2312" w:cs="宋体" w:hint="eastAsia"/>
                <w:kern w:val="0"/>
                <w:sz w:val="16"/>
                <w:szCs w:val="16"/>
              </w:rPr>
              <w:t>同安湾东部岸线</w:t>
            </w:r>
          </w:p>
        </w:tc>
        <w:tc>
          <w:tcPr>
            <w:tcW w:w="2041" w:type="dxa"/>
            <w:noWrap/>
            <w:vAlign w:val="center"/>
          </w:tcPr>
          <w:p>
            <w:pPr>
              <w:widowControl/>
              <w:adjustRightInd w:val="0"/>
              <w:snapToGrid w:val="0"/>
              <w:spacing w:line="228" w:lineRule="auto"/>
              <w:ind w:firstLineChars="0" w:firstLine="0"/>
              <w:rPr>
                <w:rFonts w:ascii="仿宋_GB2312" w:cs="宋体" w:hint="eastAsia"/>
                <w:kern w:val="0"/>
                <w:sz w:val="16"/>
                <w:szCs w:val="16"/>
              </w:rPr>
            </w:pPr>
            <w:r>
              <w:rPr>
                <w:rFonts w:ascii="仿宋_GB2312" w:cs="宋体" w:hint="eastAsia"/>
                <w:kern w:val="0"/>
                <w:sz w:val="16"/>
                <w:szCs w:val="16"/>
              </w:rPr>
              <w:t>同安湾沿岸亲海临海空间品质不足。</w:t>
            </w:r>
          </w:p>
        </w:tc>
        <w:tc>
          <w:tcPr>
            <w:tcW w:w="2312" w:type="dxa"/>
            <w:noWrap/>
            <w:vAlign w:val="center"/>
          </w:tcPr>
          <w:p>
            <w:pPr>
              <w:widowControl/>
              <w:adjustRightInd w:val="0"/>
              <w:snapToGrid w:val="0"/>
              <w:spacing w:line="228" w:lineRule="auto"/>
              <w:ind w:firstLineChars="0" w:firstLine="0"/>
              <w:rPr>
                <w:rFonts w:ascii="仿宋_GB2312" w:cs="宋体" w:hint="eastAsia"/>
                <w:kern w:val="0"/>
                <w:sz w:val="16"/>
                <w:szCs w:val="16"/>
              </w:rPr>
            </w:pPr>
            <w:r>
              <w:rPr>
                <w:rFonts w:ascii="仿宋_GB2312" w:cs="宋体" w:hint="eastAsia"/>
                <w:kern w:val="0"/>
                <w:sz w:val="16"/>
                <w:szCs w:val="16"/>
              </w:rPr>
              <w:t>整治修复亲海岸滩长度不少于4千米，其中岸线生态修复长度不少于1千米。</w:t>
            </w:r>
          </w:p>
        </w:tc>
        <w:tc>
          <w:tcPr>
            <w:tcW w:w="1567" w:type="dxa"/>
            <w:noWrap/>
            <w:vAlign w:val="center"/>
          </w:tcPr>
          <w:p>
            <w:pPr>
              <w:widowControl/>
              <w:adjustRightInd w:val="0"/>
              <w:snapToGrid w:val="0"/>
              <w:spacing w:line="228" w:lineRule="auto"/>
              <w:ind w:firstLineChars="0" w:firstLine="0"/>
              <w:rPr>
                <w:rFonts w:ascii="仿宋_GB2312" w:cs="宋体" w:hint="eastAsia"/>
                <w:kern w:val="0"/>
                <w:sz w:val="16"/>
                <w:szCs w:val="16"/>
              </w:rPr>
            </w:pPr>
            <w:r>
              <w:rPr>
                <w:rFonts w:ascii="仿宋_GB2312" w:cs="宋体" w:hint="eastAsia"/>
                <w:spacing w:val="-5"/>
                <w:kern w:val="0"/>
                <w:sz w:val="16"/>
                <w:szCs w:val="16"/>
              </w:rPr>
              <w:t>厦门市环东海域新城指挥部、同安区政府、翔安区政府</w:t>
            </w:r>
          </w:p>
        </w:tc>
      </w:tr>
      <w:tr>
        <w:tc>
          <w:tcPr>
            <w:tcW w:w="776" w:type="dxa"/>
            <w:vMerge w:val="restart"/>
            <w:noWrap/>
            <w:vAlign w:val="center"/>
          </w:tcPr>
          <w:p>
            <w:pPr>
              <w:widowControl/>
              <w:spacing w:line="240" w:lineRule="exact"/>
              <w:ind w:firstLineChars="0" w:firstLine="0"/>
              <w:rPr>
                <w:rFonts w:ascii="仿宋_GB2312" w:cs="宋体" w:hint="eastAsia"/>
                <w:sz w:val="16"/>
                <w:szCs w:val="16"/>
              </w:rPr>
            </w:pPr>
            <w:r>
              <w:rPr>
                <w:rFonts w:ascii="仿宋_GB2312" w:cs="宋体" w:hint="eastAsia"/>
                <w:sz w:val="16"/>
                <w:szCs w:val="16"/>
              </w:rPr>
              <w:t>漳州市</w:t>
            </w:r>
          </w:p>
        </w:tc>
        <w:tc>
          <w:tcPr>
            <w:tcW w:w="979" w:type="dxa"/>
            <w:vMerge w:val="restart"/>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sz w:val="16"/>
                <w:szCs w:val="16"/>
              </w:rPr>
              <w:t>厦门湾漳州段</w:t>
            </w: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sz w:val="16"/>
                <w:szCs w:val="16"/>
              </w:rPr>
              <w:t>海湾生态保护修复</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漳州台商投资区“退围还湿”工程</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清退九龙江口北港台商投资区区域围垦养殖池；拆除围垦海堤，恢复滨海湿地。</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九龙江北港漳州台商投资区范围</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围垦养殖区占用湿地。</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“退围还湿”面积220.9公顷。</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漳州台商投资区管委会</w:t>
            </w:r>
          </w:p>
        </w:tc>
      </w:tr>
      <w:t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sz w:val="16"/>
                <w:szCs w:val="16"/>
              </w:rPr>
              <w:t>海湾生态保护修复</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九龙江口红树林湿地生态保护修复工程</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清除互花米草，修复河口湿地、修复红树林湿地。</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九龙江口中港和红树林保护区周边</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互花米草占滩、挤占红树林区域，影响生物多样性。</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清理互花米草150公顷；种植红树林50公顷；修复河口湿地面积200公顷。</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龙海区人民政府，漳州台商投资区管委会</w:t>
            </w:r>
          </w:p>
        </w:tc>
      </w:tr>
      <w:tr>
        <w:tc>
          <w:tcPr>
            <w:tcW w:w="776" w:type="dxa"/>
            <w:vMerge/>
            <w:noWrap/>
            <w:vAlign w:val="center"/>
          </w:tcPr>
          <w:p/>
        </w:tc>
        <w:tc>
          <w:tcPr>
            <w:tcW w:w="979"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sz w:val="16"/>
                <w:szCs w:val="16"/>
              </w:rPr>
              <w:t>兴古湾-前湖湾</w:t>
            </w: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sz w:val="16"/>
                <w:szCs w:val="16"/>
              </w:rPr>
              <w:t>亲海环境品质提升</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整美半岛沙滩整治修复</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开展沙滩修复、种植滨海防护林。</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整美半岛东南部沙滩</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岸线侵蚀、沙滩退化。</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修复沙滩2千米，种植滨海防护林2公顷。</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漳浦县人民政府</w:t>
            </w:r>
          </w:p>
        </w:tc>
      </w:tr>
      <w:tr>
        <w:tc>
          <w:tcPr>
            <w:tcW w:w="776" w:type="dxa"/>
            <w:vMerge/>
            <w:noWrap/>
            <w:vAlign w:val="center"/>
          </w:tcPr>
          <w:p/>
        </w:tc>
        <w:tc>
          <w:tcPr>
            <w:tcW w:w="979"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sz w:val="16"/>
                <w:szCs w:val="16"/>
              </w:rPr>
              <w:t>将军湾-浮头湾</w:t>
            </w: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亲海环境品质提升</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将军湾、浮头湾沙滩整治修复工程</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开展占滩设施清理工程，清理沙滩区域不合理的养殖区排水口设施。</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军湾、浮头湾沙滩</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海砂流失，沙滩不稳定。</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整治砂质岸线长10千米，恢复沙滩自然景观。</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漳浦县人民政府</w:t>
            </w:r>
          </w:p>
        </w:tc>
      </w:tr>
      <w:tr>
        <w:trPr>
          <w:trHeight w:val="699"/>
        </w:trPr>
        <w:tc>
          <w:tcPr>
            <w:tcW w:w="776" w:type="dxa"/>
            <w:vMerge/>
            <w:noWrap/>
            <w:vAlign w:val="center"/>
          </w:tcPr>
          <w:p/>
        </w:tc>
        <w:tc>
          <w:tcPr>
            <w:tcW w:w="979" w:type="dxa"/>
            <w:vMerge w:val="restart"/>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sz w:val="16"/>
                <w:szCs w:val="16"/>
              </w:rPr>
              <w:t>东山湾</w:t>
            </w: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sz w:val="16"/>
                <w:szCs w:val="16"/>
              </w:rPr>
              <w:t>海湾生态保护修复</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东山八尺门退堤还海工程</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实施退堤还海工程；开展护岸、生态景观工程及海湾清淤工程。</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八尺门海堤</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海堤围阻，海洋水动力减弱。</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海堤拆除，水系贯通。</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东山县人民政府</w:t>
            </w:r>
          </w:p>
        </w:tc>
      </w:tr>
      <w:tr>
        <w:trPr>
          <w:trHeight w:val="814"/>
        </w:trP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sz w:val="16"/>
                <w:szCs w:val="16"/>
              </w:rPr>
              <w:t>海湾生态保护修复</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漳江口红树林湿地生态保护修复项目</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清除互花米草，开展红树林湿地修复。</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漳江口红树林保护区</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互花米草入侵。</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红树林面积增加30公顷，修复红树林面积90公顷，清退互花米草150公顷，修复河口湿地面积200公顷。</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云霄县人民政府</w:t>
            </w:r>
          </w:p>
        </w:tc>
      </w:tr>
      <w:tr>
        <w:tc>
          <w:tcPr>
            <w:tcW w:w="776" w:type="dxa"/>
            <w:vMerge/>
            <w:noWrap/>
            <w:vAlign w:val="center"/>
          </w:tcPr>
          <w:p/>
        </w:tc>
        <w:tc>
          <w:tcPr>
            <w:tcW w:w="979" w:type="dxa"/>
            <w:vMerge/>
            <w:noWrap/>
            <w:vAlign w:val="center"/>
          </w:tcP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sz w:val="16"/>
                <w:szCs w:val="16"/>
              </w:rPr>
              <w:t>海湾生态保护修复</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漳江口红树林湿地围海养殖清退工程</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清退保护区核心区和缓冲区内存在的养殖池塘。</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漳江口红树林国家级自然保护区</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围海养殖区占用保护区核心区和缓冲区。</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“退围还湿”面积90公顷。</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云霄县人民政府</w:t>
            </w:r>
          </w:p>
        </w:tc>
      </w:tr>
      <w:tr>
        <w:trPr>
          <w:trHeight w:val="1834"/>
        </w:trPr>
        <w:tc>
          <w:tcPr>
            <w:tcW w:w="776" w:type="dxa"/>
            <w:vMerge/>
            <w:noWrap/>
            <w:vAlign w:val="center"/>
          </w:tcPr>
          <w:p/>
        </w:tc>
        <w:tc>
          <w:tcPr>
            <w:tcW w:w="979"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东山湾</w:t>
            </w: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环境风险防范和应急响应</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古雷石化园区环境风险防范和应急响应机制建设</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厘清部门职责，涉及石油化工品重点企业环境应急预案备案，强化企业环境应急责任；对现有的石化园区进行风险源排查评估，建立健全环境突发事故应急预案和应急指挥机构，保障公共应急物资储备，并与政府应急预案相协调。</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古雷石化园区</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环境风险控制。</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健全企业环境风险责任制度，完善企业环境风险预案，并与政府应急相协调。</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古雷开发区管委会</w:t>
            </w:r>
          </w:p>
        </w:tc>
      </w:tr>
      <w:tr>
        <w:trPr>
          <w:trHeight w:val="674"/>
        </w:trPr>
        <w:tc>
          <w:tcPr>
            <w:tcW w:w="776" w:type="dxa"/>
            <w:vMerge/>
            <w:noWrap/>
            <w:vAlign w:val="center"/>
          </w:tcPr>
          <w:p/>
        </w:tc>
        <w:tc>
          <w:tcPr>
            <w:tcW w:w="979"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sz w:val="16"/>
                <w:szCs w:val="16"/>
              </w:rPr>
              <w:t>马銮湾</w:t>
            </w: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sz w:val="16"/>
                <w:szCs w:val="16"/>
              </w:rPr>
              <w:t>海湾生态保护修复</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东山岛生态修复示范工程</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实施乌礁湾海岸带绿化和沙滩整治修复等。</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乌礁湾</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海岸侵蚀、沙滩退化。</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修复沙滩海岸3.2千米。</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东山县人民政府</w:t>
            </w:r>
          </w:p>
        </w:tc>
      </w:tr>
      <w:tr>
        <w:tc>
          <w:tcPr>
            <w:tcW w:w="776" w:type="dxa"/>
            <w:noWrap/>
            <w:vAlign w:val="center"/>
          </w:tcPr>
          <w:p>
            <w:pPr>
              <w:widowControl/>
              <w:spacing w:line="240" w:lineRule="exact"/>
              <w:ind w:firstLineChars="0" w:firstLine="0"/>
              <w:rPr>
                <w:rFonts w:ascii="仿宋_GB2312" w:cs="宋体" w:hint="eastAsia"/>
                <w:sz w:val="16"/>
                <w:szCs w:val="16"/>
              </w:rPr>
            </w:pPr>
            <w:r>
              <w:rPr>
                <w:rFonts w:ascii="仿宋_GB2312" w:cs="宋体" w:hint="eastAsia"/>
                <w:sz w:val="16"/>
                <w:szCs w:val="16"/>
              </w:rPr>
              <w:t>漳州市</w:t>
            </w:r>
          </w:p>
        </w:tc>
        <w:tc>
          <w:tcPr>
            <w:tcW w:w="979"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sz w:val="16"/>
                <w:szCs w:val="16"/>
              </w:rPr>
              <w:t>诏安湾-宫口湾</w:t>
            </w:r>
          </w:p>
        </w:tc>
        <w:tc>
          <w:tcPr>
            <w:tcW w:w="911" w:type="dxa"/>
            <w:noWrap/>
            <w:vAlign w:val="center"/>
          </w:tcPr>
          <w:p>
            <w:pPr>
              <w:widowControl/>
              <w:spacing w:line="240" w:lineRule="exact"/>
              <w:ind w:firstLineChars="0" w:firstLine="0"/>
              <w:textAlignment w:val="center"/>
              <w:rPr>
                <w:rFonts w:ascii="仿宋_GB2312" w:cs="宋体" w:hint="eastAsia"/>
                <w:sz w:val="16"/>
                <w:szCs w:val="16"/>
              </w:rPr>
            </w:pPr>
            <w:r>
              <w:rPr>
                <w:rFonts w:ascii="仿宋_GB2312" w:cs="宋体" w:hint="eastAsia"/>
                <w:sz w:val="16"/>
                <w:szCs w:val="16"/>
              </w:rPr>
              <w:t>海湾污染治理</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诏安湾综合整治</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实施综合治理生态修复，加快推进八尺门海域综合治理生态修复工程。制定水质治理及提升方案。开展入海排口排查整治，建立入海排污口台账并纳入生态云平台，开展分类整治。加强污染治理和尾水排放控制，深化水产养殖污染防治，清退不符合规划的养殖，推进养殖塑料设施升级改造。补齐生活污水处理能力短板。</w:t>
            </w:r>
          </w:p>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开展海漂垃圾攻坚治理专项行动，建立完善的海漂垃圾治理长效机制，确保辖区海漂垃圾得到及时清理。</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诏安湾</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海湾水质持续下降。</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入海小流域消除劣Ⅴ类水体，海水水质有所改善，诏安湾内近岸海域国省控监测点一、二类海水水质达到50%以上。</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诏安县政府，东山县政府，云霄县政府，常山开发区管委会</w:t>
            </w:r>
          </w:p>
        </w:tc>
      </w:tr>
      <w:tr>
        <w:tc>
          <w:tcPr>
            <w:tcW w:w="776" w:type="dxa"/>
            <w:vMerge w:val="restart"/>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泉州市</w:t>
            </w:r>
          </w:p>
        </w:tc>
        <w:tc>
          <w:tcPr>
            <w:tcW w:w="979" w:type="dxa"/>
            <w:vMerge w:val="restart"/>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湄洲湾泉州段</w:t>
            </w:r>
          </w:p>
        </w:tc>
        <w:tc>
          <w:tcPr>
            <w:tcW w:w="91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海湾污染治理</w:t>
            </w:r>
          </w:p>
        </w:tc>
        <w:tc>
          <w:tcPr>
            <w:tcW w:w="135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港口和船舶污染物接收、转运及处置设施建设工程</w:t>
            </w:r>
          </w:p>
        </w:tc>
        <w:tc>
          <w:tcPr>
            <w:tcW w:w="28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建设智能化船舶垃圾分类储存装置、移动式码头油污水预处理装置，改造石化码头化学品洗舱水岸上固定接收设施。</w:t>
            </w:r>
          </w:p>
        </w:tc>
        <w:tc>
          <w:tcPr>
            <w:tcW w:w="1455"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肖厝港区肖厝作业区、鲤鱼尾作业区、斗尾港区外走马埭作业区和斗尾作业区</w:t>
            </w:r>
          </w:p>
        </w:tc>
        <w:tc>
          <w:tcPr>
            <w:tcW w:w="2041"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湄洲湾港口和船舶污染防治工作取得一定实效，但仍存在设施建设短板。</w:t>
            </w:r>
          </w:p>
        </w:tc>
        <w:tc>
          <w:tcPr>
            <w:tcW w:w="2312"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建设完成湾区内石化码头污水收集处理装置，提升港口码头污染物、废弃物收集处置能力。</w:t>
            </w:r>
          </w:p>
        </w:tc>
        <w:tc>
          <w:tcPr>
            <w:tcW w:w="1567" w:type="dxa"/>
            <w:noWrap/>
            <w:vAlign w:val="center"/>
          </w:tcPr>
          <w:p>
            <w:pPr>
              <w:widowControl/>
              <w:spacing w:line="240" w:lineRule="exact"/>
              <w:ind w:firstLineChars="0" w:firstLine="0"/>
              <w:textAlignment w:val="center"/>
              <w:rPr>
                <w:rFonts w:ascii="仿宋_GB2312" w:cs="宋体" w:hint="eastAsia"/>
                <w:color w:val="000000"/>
                <w:kern w:val="0"/>
                <w:sz w:val="16"/>
                <w:szCs w:val="16"/>
              </w:rPr>
            </w:pPr>
            <w:r>
              <w:rPr>
                <w:rFonts w:ascii="仿宋_GB2312" w:cs="宋体" w:hint="eastAsia"/>
                <w:color w:val="000000"/>
                <w:kern w:val="0"/>
                <w:sz w:val="16"/>
                <w:szCs w:val="16"/>
              </w:rPr>
              <w:t>泉港区、惠安县人民政府，湄洲湾港口发展中心</w:t>
            </w:r>
          </w:p>
        </w:tc>
      </w:tr>
      <w:tr>
        <w:tc>
          <w:tcPr>
            <w:tcW w:w="776" w:type="dxa"/>
            <w:vMerge/>
            <w:noWrap/>
            <w:vAlign w:val="center"/>
          </w:tcPr>
          <w:p/>
        </w:tc>
        <w:tc>
          <w:tcPr>
            <w:tcW w:w="979" w:type="dxa"/>
            <w:vMerge/>
            <w:noWrap/>
            <w:vAlign w:val="center"/>
          </w:tcPr>
          <w:p/>
        </w:tc>
        <w:tc>
          <w:tcPr>
            <w:tcW w:w="911"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海洋生态保护修复</w:t>
            </w:r>
          </w:p>
        </w:tc>
        <w:tc>
          <w:tcPr>
            <w:tcW w:w="135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泉港区海洋生态保护修复工程</w:t>
            </w:r>
          </w:p>
        </w:tc>
        <w:tc>
          <w:tcPr>
            <w:tcW w:w="281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实施“贝藻礁型防浪屏障建设工程”、“后龙湾沿线沙滩修复与养护工程”、“后龙湾海堤生态化改造工程”、“海滩垃圾拦截和收集系统工程”等工程项目。</w:t>
            </w:r>
          </w:p>
        </w:tc>
        <w:tc>
          <w:tcPr>
            <w:tcW w:w="1455"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泉港区后龙湾“五里海滩”海域</w:t>
            </w:r>
          </w:p>
        </w:tc>
        <w:tc>
          <w:tcPr>
            <w:tcW w:w="2041"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海域基础设施薄弱，抗御自然灾害能力差；岸线砂质化，海滩功能退化，生态环境受损。</w:t>
            </w:r>
          </w:p>
        </w:tc>
        <w:tc>
          <w:tcPr>
            <w:tcW w:w="231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建设离岸贝藻礁8083米；修复沙滩岸线3.1公里；生态化改造海堤2.5公里；后滨沙地植被修复1.6平方公里；建设海滩垃圾拦截和收集系统工程。</w:t>
            </w:r>
          </w:p>
        </w:tc>
        <w:tc>
          <w:tcPr>
            <w:tcW w:w="1567"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泉港区人民政府</w:t>
            </w:r>
          </w:p>
        </w:tc>
      </w:tr>
      <w:tr>
        <w:tc>
          <w:tcPr>
            <w:tcW w:w="776" w:type="dxa"/>
            <w:vMerge/>
            <w:noWrap/>
            <w:vAlign w:val="center"/>
          </w:tcPr>
          <w:p/>
        </w:tc>
        <w:tc>
          <w:tcPr>
            <w:tcW w:w="979" w:type="dxa"/>
            <w:vMerge/>
            <w:noWrap/>
            <w:vAlign w:val="center"/>
          </w:tcPr>
          <w:p/>
        </w:tc>
        <w:tc>
          <w:tcPr>
            <w:tcW w:w="911"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环境风险防范和应急响应</w:t>
            </w:r>
          </w:p>
        </w:tc>
        <w:tc>
          <w:tcPr>
            <w:tcW w:w="135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泉港、泉惠石化园区周边海域环境风险防范和应急响应体系建设</w:t>
            </w:r>
          </w:p>
        </w:tc>
        <w:tc>
          <w:tcPr>
            <w:tcW w:w="281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修编应急预案，落实应急预案和有关规划要求，开展应急能力建设。建设运行有毒有害气体环境风险预警系统，提高突发危化品泄漏事件的污水应急处置能力。</w:t>
            </w:r>
          </w:p>
        </w:tc>
        <w:tc>
          <w:tcPr>
            <w:tcW w:w="1455"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泉港石化园区、泉惠石化园区</w:t>
            </w:r>
          </w:p>
        </w:tc>
        <w:tc>
          <w:tcPr>
            <w:tcW w:w="2041"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湄洲湾（泉州段）内石化园区聚集大小化工企业50多家，配套码头泊位，环境风险隐患突出，防控压力较大。</w:t>
            </w:r>
          </w:p>
        </w:tc>
        <w:tc>
          <w:tcPr>
            <w:tcW w:w="231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提升船舶环境风险管控与应急能力，港口码头应急预案备案率100%。园区建成有毒有害气体环境风险预警系统，并规范运行。</w:t>
            </w:r>
          </w:p>
        </w:tc>
        <w:tc>
          <w:tcPr>
            <w:tcW w:w="1567"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泉港区、惠安县人民政府，泉州市生态环境局</w:t>
            </w:r>
          </w:p>
        </w:tc>
      </w:tr>
      <w:tr>
        <w:tc>
          <w:tcPr>
            <w:tcW w:w="776" w:type="dxa"/>
            <w:vMerge/>
            <w:noWrap/>
            <w:vAlign w:val="center"/>
          </w:tcPr>
          <w:p/>
        </w:tc>
        <w:tc>
          <w:tcPr>
            <w:tcW w:w="979" w:type="dxa"/>
            <w:vMerge w:val="restart"/>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大港湾</w:t>
            </w:r>
          </w:p>
        </w:tc>
        <w:tc>
          <w:tcPr>
            <w:tcW w:w="911"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海湾污染治理</w:t>
            </w:r>
          </w:p>
        </w:tc>
        <w:tc>
          <w:tcPr>
            <w:tcW w:w="135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海洋养殖尾水治理</w:t>
            </w:r>
          </w:p>
        </w:tc>
        <w:tc>
          <w:tcPr>
            <w:tcW w:w="281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开展养殖产业布局，控制养殖规模、密度。清退不合理滩涂养殖清退，推进养殖尾水监测和治理，加快养殖设施的绿色化改造。</w:t>
            </w:r>
          </w:p>
        </w:tc>
        <w:tc>
          <w:tcPr>
            <w:tcW w:w="1455"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大港湾养殖海域</w:t>
            </w:r>
          </w:p>
        </w:tc>
        <w:tc>
          <w:tcPr>
            <w:tcW w:w="2041"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养殖尾水排口分布密集，易对近岸海域海水水质造成影响。</w:t>
            </w:r>
          </w:p>
        </w:tc>
        <w:tc>
          <w:tcPr>
            <w:tcW w:w="231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规模以上水产养殖主体尾水实现达标排放或循环利用；按计划，完成传统养殖设施改造升级，海域渔业养殖垃圾基本消除。</w:t>
            </w:r>
          </w:p>
        </w:tc>
        <w:tc>
          <w:tcPr>
            <w:tcW w:w="1567"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惠安县人民政府，台商投资区管委会</w:t>
            </w:r>
          </w:p>
        </w:tc>
      </w:tr>
      <w:tr>
        <w:trPr>
          <w:trHeight w:val="1003"/>
        </w:trPr>
        <w:tc>
          <w:tcPr>
            <w:tcW w:w="776" w:type="dxa"/>
            <w:vMerge w:val="restart"/>
            <w:noWrap/>
            <w:vAlign w:val="center"/>
          </w:tcPr>
          <w:p>
            <w:pPr>
              <w:widowControl/>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泉州市</w:t>
            </w:r>
          </w:p>
        </w:tc>
        <w:tc>
          <w:tcPr>
            <w:tcW w:w="979" w:type="dxa"/>
            <w:vMerge/>
            <w:noWrap/>
            <w:vAlign w:val="center"/>
          </w:tcPr>
          <w:p/>
        </w:tc>
        <w:tc>
          <w:tcPr>
            <w:tcW w:w="911"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亲海岸滩</w:t>
            </w:r>
            <w:r>
              <w:rPr>
                <w:rFonts w:ascii="仿宋_GB2312" w:cs="宋体" w:hint="eastAsia"/>
                <w:color w:val="000000"/>
                <w:kern w:val="0"/>
                <w:sz w:val="16"/>
                <w:szCs w:val="16"/>
                <w:lang w:eastAsia="zh-CN"/>
              </w:rPr>
              <w:t>“</w:t>
            </w:r>
            <w:r>
              <w:rPr>
                <w:rFonts w:ascii="仿宋_GB2312" w:cs="宋体" w:hint="eastAsia"/>
                <w:color w:val="000000"/>
                <w:kern w:val="0"/>
                <w:sz w:val="16"/>
                <w:szCs w:val="16"/>
              </w:rPr>
              <w:t>净滩净海</w:t>
            </w:r>
            <w:r>
              <w:rPr>
                <w:rFonts w:ascii="仿宋_GB2312" w:cs="宋体" w:hint="eastAsia"/>
                <w:color w:val="000000"/>
                <w:kern w:val="0"/>
                <w:sz w:val="16"/>
                <w:szCs w:val="16"/>
                <w:lang w:eastAsia="zh-CN"/>
              </w:rPr>
              <w:t>”</w:t>
            </w:r>
          </w:p>
        </w:tc>
        <w:tc>
          <w:tcPr>
            <w:tcW w:w="135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公众临海岸线提升工程</w:t>
            </w:r>
          </w:p>
        </w:tc>
        <w:tc>
          <w:tcPr>
            <w:tcW w:w="281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整治沙滩岸线；建设临海公园和临海廊道；强化旅游休闲空间的游客安全保护设施和</w:t>
            </w:r>
            <w:r>
              <w:rPr>
                <w:rFonts w:ascii="仿宋_GB2312" w:cs="宋体" w:hint="eastAsia"/>
                <w:color w:val="000000"/>
                <w:kern w:val="0"/>
                <w:sz w:val="16"/>
                <w:szCs w:val="16"/>
                <w:lang w:eastAsia="zh-CN"/>
              </w:rPr>
              <w:t>垃圾</w:t>
            </w:r>
            <w:r>
              <w:rPr>
                <w:rFonts w:ascii="仿宋_GB2312" w:cs="宋体" w:hint="eastAsia"/>
                <w:color w:val="000000"/>
                <w:kern w:val="0"/>
                <w:sz w:val="16"/>
                <w:szCs w:val="16"/>
              </w:rPr>
              <w:t>收集处理设施配套建设。</w:t>
            </w:r>
          </w:p>
        </w:tc>
        <w:tc>
          <w:tcPr>
            <w:tcW w:w="1455"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大</w:t>
            </w:r>
            <w:r>
              <w:rPr>
                <w:rFonts w:ascii="仿宋_GB2312" w:eastAsia="宋体" w:cs="宋体" w:hAnsi="仿宋_GB2312" w:hint="eastAsia"/>
                <w:color w:val="000000"/>
                <w:kern w:val="0"/>
                <w:sz w:val="16"/>
                <w:szCs w:val="16"/>
              </w:rPr>
              <w:t>岞</w:t>
            </w:r>
            <w:r>
              <w:rPr>
                <w:rFonts w:ascii="仿宋_GB2312" w:cs="宋体" w:hint="eastAsia"/>
                <w:color w:val="000000"/>
                <w:kern w:val="0"/>
                <w:sz w:val="16"/>
                <w:szCs w:val="16"/>
              </w:rPr>
              <w:t>-浮山段海域</w:t>
            </w:r>
          </w:p>
        </w:tc>
        <w:tc>
          <w:tcPr>
            <w:tcW w:w="2041"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相关旅游开发岸段环境保护设施和旅游安全设施配套不足，亲海临海品质有待进一步提升。</w:t>
            </w:r>
          </w:p>
        </w:tc>
        <w:tc>
          <w:tcPr>
            <w:tcW w:w="231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整治提升临海沙滩岸线长度≥10千米。</w:t>
            </w:r>
          </w:p>
        </w:tc>
        <w:tc>
          <w:tcPr>
            <w:tcW w:w="1567"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惠安县人民政府，台商投资区管委会</w:t>
            </w:r>
          </w:p>
        </w:tc>
      </w:tr>
      <w:tr>
        <w:tc>
          <w:tcPr>
            <w:tcW w:w="776" w:type="dxa"/>
            <w:vMerge/>
            <w:noWrap/>
            <w:vAlign w:val="center"/>
          </w:tcPr>
          <w:p/>
        </w:tc>
        <w:tc>
          <w:tcPr>
            <w:tcW w:w="979" w:type="dxa"/>
            <w:vMerge w:val="restart"/>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泉州湾区</w:t>
            </w:r>
          </w:p>
        </w:tc>
        <w:tc>
          <w:tcPr>
            <w:tcW w:w="911"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海湾污染治理</w:t>
            </w:r>
          </w:p>
        </w:tc>
        <w:tc>
          <w:tcPr>
            <w:tcW w:w="135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重点直排海污染源管控</w:t>
            </w:r>
          </w:p>
        </w:tc>
        <w:tc>
          <w:tcPr>
            <w:tcW w:w="281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对重点直排污染源开展监督性监测，对于水质监测超标的企业，制定实施“一企一策”提标改造方案；实施石狮高新区污水处理厂深海排放工程。</w:t>
            </w:r>
          </w:p>
        </w:tc>
        <w:tc>
          <w:tcPr>
            <w:tcW w:w="1455"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石狮市光华、海天、祥芝、锦尚、高新开发区等5家重点直排海污染源企业。</w:t>
            </w:r>
          </w:p>
        </w:tc>
        <w:tc>
          <w:tcPr>
            <w:tcW w:w="2041"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工业污水处理厂排污量大，影响近岸海域水环境。</w:t>
            </w:r>
          </w:p>
        </w:tc>
        <w:tc>
          <w:tcPr>
            <w:tcW w:w="231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污水处理厂提标改造达到一级A排放标准（或行业排放标准）；高新区污水处理厂</w:t>
            </w:r>
            <w:r>
              <w:rPr>
                <w:rFonts w:ascii="仿宋_GB2312" w:cs="宋体" w:hint="eastAsia"/>
                <w:kern w:val="0"/>
                <w:sz w:val="16"/>
                <w:szCs w:val="16"/>
              </w:rPr>
              <w:t>稳定达到一级A排放标准</w:t>
            </w:r>
            <w:r>
              <w:rPr>
                <w:rFonts w:ascii="仿宋_GB2312" w:cs="宋体" w:hint="eastAsia"/>
                <w:color w:val="000000"/>
                <w:kern w:val="0"/>
                <w:sz w:val="16"/>
                <w:szCs w:val="16"/>
              </w:rPr>
              <w:t>；对5家污水处理厂每季度至少开展一次监督性监测。</w:t>
            </w:r>
          </w:p>
        </w:tc>
        <w:tc>
          <w:tcPr>
            <w:tcW w:w="1567"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石狮市人民政府</w:t>
            </w:r>
          </w:p>
        </w:tc>
      </w:tr>
      <w:tr>
        <w:tc>
          <w:tcPr>
            <w:tcW w:w="776" w:type="dxa"/>
            <w:vMerge/>
            <w:noWrap/>
            <w:vAlign w:val="center"/>
          </w:tcPr>
          <w:p/>
        </w:tc>
        <w:tc>
          <w:tcPr>
            <w:tcW w:w="979" w:type="dxa"/>
            <w:vMerge/>
            <w:noWrap/>
            <w:vAlign w:val="center"/>
          </w:tcPr>
          <w:p/>
        </w:tc>
        <w:tc>
          <w:tcPr>
            <w:tcW w:w="911"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海洋生态保护修复</w:t>
            </w:r>
          </w:p>
        </w:tc>
        <w:tc>
          <w:tcPr>
            <w:tcW w:w="135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泉州湾生态整治修复工程</w:t>
            </w:r>
          </w:p>
        </w:tc>
        <w:tc>
          <w:tcPr>
            <w:tcW w:w="281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开展互花米草整治，在沿海滩涂进行高程改造并种植红树林。进行海岸生态化改造，营造鸟类栖息地。</w:t>
            </w:r>
          </w:p>
        </w:tc>
        <w:tc>
          <w:tcPr>
            <w:tcW w:w="1455"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泉州湾晋江段滨海滩涂</w:t>
            </w:r>
          </w:p>
        </w:tc>
        <w:tc>
          <w:tcPr>
            <w:tcW w:w="2041"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互花米草入侵严重影响海岸防护能力和海域生态功能。</w:t>
            </w:r>
          </w:p>
        </w:tc>
        <w:tc>
          <w:tcPr>
            <w:tcW w:w="2312"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互花米草治理335公顷；红树林修复194公顷；海岸生态化改造6.2千米；鸟类栖息地营造23公顷。</w:t>
            </w:r>
          </w:p>
        </w:tc>
        <w:tc>
          <w:tcPr>
            <w:tcW w:w="1567"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晋江市人民政府</w:t>
            </w:r>
          </w:p>
        </w:tc>
      </w:tr>
      <w:tr>
        <w:tc>
          <w:tcPr>
            <w:tcW w:w="776" w:type="dxa"/>
            <w:vMerge/>
            <w:noWrap/>
            <w:vAlign w:val="center"/>
          </w:tcPr>
          <w:p/>
        </w:tc>
        <w:tc>
          <w:tcPr>
            <w:tcW w:w="979" w:type="dxa"/>
            <w:vMerge w:val="restart"/>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深沪湾</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海湾污染治理</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入海河流消劣工程</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制定水质提升方案，统筹推进湖漏溪流域环境综合整治。</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湖漏溪流域</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鲤鱼穴、杭边村断面水质较差，部分时段出现劣Ⅴ类。</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入海断面水质稳定消除劣Ⅴ类。</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晋江市人民政府</w:t>
            </w:r>
          </w:p>
        </w:tc>
      </w:tr>
      <w:tr>
        <w:tc>
          <w:tcPr>
            <w:tcW w:w="776" w:type="dxa"/>
            <w:vMerge/>
            <w:noWrap/>
            <w:vAlign w:val="center"/>
          </w:tcPr>
          <w:p/>
        </w:tc>
        <w:tc>
          <w:tcPr>
            <w:tcW w:w="979" w:type="dxa"/>
            <w:vMerge/>
            <w:noWrap/>
            <w:vAlign w:val="center"/>
          </w:tcP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亲海岸滩“净滩净海”</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公众临海岸线提升工程</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强化亲海空间的安全保护设施和垃圾收集处理设施配套建设；对景区排污口进行分类整治。</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深沪湾、科任村至围头角岸段</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旅游亲海岸段配套设施不足；衙口景区存在水产养殖排污口。</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整治提升临海沙滩岸线长度≥5千米。</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石狮市、晋江市人民政府</w:t>
            </w:r>
          </w:p>
        </w:tc>
      </w:tr>
      <w:tr>
        <w:tc>
          <w:tcPr>
            <w:tcW w:w="776" w:type="dxa"/>
            <w:vMerge/>
            <w:noWrap/>
            <w:vAlign w:val="center"/>
          </w:tcPr>
          <w:p/>
        </w:tc>
        <w:tc>
          <w:tcPr>
            <w:tcW w:w="979" w:type="dxa"/>
            <w:vMerge w:val="restart"/>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围头湾</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海湾污染治理</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污水处理厂深海排放工程</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实施晋江西南片区、南安沿海片区污水处理厂尾水深海排放工程。</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晋江西南沿海片区、南安沿海片区</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安海湾周边污水处理厂尾水近海排放，加重湾区近岸海域环境负荷。</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通过工程实施，将尾水引至安海湾外深海排放。</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晋江市、南安市人民政府</w:t>
            </w:r>
          </w:p>
        </w:tc>
      </w:tr>
      <w:tr>
        <w:trPr>
          <w:trHeight w:val="1154"/>
        </w:trPr>
        <w:tc>
          <w:tcPr>
            <w:tcW w:w="776" w:type="dxa"/>
            <w:vMerge/>
            <w:noWrap/>
            <w:vAlign w:val="center"/>
          </w:tcPr>
          <w:p/>
        </w:tc>
        <w:tc>
          <w:tcPr>
            <w:tcW w:w="979" w:type="dxa"/>
            <w:vMerge/>
            <w:noWrap/>
            <w:vAlign w:val="center"/>
          </w:tcP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海洋生态保护修复</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安海湾（水头片区）违规围填海整改和生态修复工程</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开展围填海拆除后的生态修复，建设海堤，并配套建设生态景观工程，提升岸线生态功能，增加城市公共空间，提升海洋生态环境治理。</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安海湾（水头片区）违规围填海海域</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南安市水头镇巷内村安海湾海域存在违法填海</w:t>
            </w:r>
            <w:r>
              <w:rPr>
                <w:rFonts w:ascii="仿宋_GB2312" w:cs="宋体" w:hint="eastAsia"/>
                <w:sz w:val="16"/>
                <w:szCs w:val="16"/>
                <w:lang w:eastAsia="zh-CN"/>
              </w:rPr>
              <w:t>，</w:t>
            </w:r>
            <w:r>
              <w:rPr>
                <w:rFonts w:ascii="仿宋_GB2312" w:cs="宋体" w:hint="eastAsia"/>
                <w:sz w:val="16"/>
                <w:szCs w:val="16"/>
              </w:rPr>
              <w:t>侵占大盈溪河口湿地。</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回挖违规填海地块约17公顷，建设生态海堤约2.54千米，恢复大盈溪河口湿地生态系统功能，改善安海湾内湾水质。</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南安市人民政府</w:t>
            </w:r>
          </w:p>
        </w:tc>
      </w:tr>
      <w:tr>
        <w:tc>
          <w:tcPr>
            <w:tcW w:w="776" w:type="dxa"/>
            <w:vMerge/>
            <w:noWrap/>
            <w:vAlign w:val="center"/>
          </w:tcPr>
          <w:p/>
        </w:tc>
        <w:tc>
          <w:tcPr>
            <w:tcW w:w="979" w:type="dxa"/>
            <w:vMerge/>
            <w:noWrap/>
            <w:vAlign w:val="center"/>
          </w:tcP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生态环境监管能力建设</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海漂垃圾视频监控系统建设</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在围头湾海域重点岸段建设高清视频监控系统，实时掌握海漂垃圾动态，打击违法违规向海域偷倒倾倒垃圾行为。</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泉州湾海域重点岸段</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海漂垃圾治理手段不足，违法违规向海域偷倒倾倒垃圾的行为时有发生。</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在围头湾海域重点岸段建成3套视频监控系统。</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泉州市生态环境局</w:t>
            </w:r>
          </w:p>
        </w:tc>
      </w:tr>
      <w:tr>
        <w:trPr>
          <w:trHeight w:val="1047"/>
        </w:trPr>
        <w:tc>
          <w:tcPr>
            <w:tcW w:w="776" w:type="dxa"/>
            <w:noWrap/>
            <w:vAlign w:val="center"/>
          </w:tcPr>
          <w:p>
            <w:pPr>
              <w:widowControl/>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泉州市</w:t>
            </w:r>
          </w:p>
        </w:tc>
        <w:tc>
          <w:tcPr>
            <w:tcW w:w="979"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围头湾</w:t>
            </w:r>
          </w:p>
        </w:tc>
        <w:tc>
          <w:tcPr>
            <w:tcW w:w="911" w:type="dxa"/>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sz w:val="16"/>
                <w:szCs w:val="16"/>
              </w:rPr>
              <w:t>生态环境监管能力建设</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海洋环境自动化监测网络建设</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在围头湾的安海湾建设海域岸基或浮标自动监测站。</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泉州湾内湾</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海洋环境自动监测能力相对不足。</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建成海洋环境浮标自动监测站≥1套。</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泉州市生态环境局</w:t>
            </w:r>
          </w:p>
        </w:tc>
      </w:tr>
      <w:tr>
        <w:tc>
          <w:tcPr>
            <w:tcW w:w="776" w:type="dxa"/>
            <w:vMerge w:val="restart"/>
            <w:noWrap/>
            <w:vAlign w:val="center"/>
          </w:tcPr>
          <w:p>
            <w:pPr>
              <w:widowControl/>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莆田市</w:t>
            </w:r>
          </w:p>
        </w:tc>
        <w:tc>
          <w:tcPr>
            <w:tcW w:w="979" w:type="dxa"/>
            <w:vMerge w:val="restart"/>
            <w:noWrap/>
            <w:vAlign w:val="center"/>
          </w:tcPr>
          <w:p>
            <w:pPr>
              <w:spacing w:line="240" w:lineRule="exact"/>
              <w:ind w:firstLineChars="0" w:firstLine="0"/>
              <w:rPr>
                <w:rFonts w:ascii="仿宋_GB2312" w:cs="宋体" w:hint="eastAsia"/>
                <w:color w:val="000000"/>
                <w:kern w:val="0"/>
                <w:sz w:val="16"/>
                <w:szCs w:val="16"/>
              </w:rPr>
            </w:pPr>
            <w:r>
              <w:rPr>
                <w:rFonts w:ascii="仿宋_GB2312" w:cs="宋体" w:hint="eastAsia"/>
                <w:sz w:val="16"/>
                <w:szCs w:val="16"/>
              </w:rPr>
              <w:t>兴化湾-莆田段</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海湾污染治理</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农村污水治理工程</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开展农村污水治理工程，计划新铺设污水收集管网124千米。</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三江口镇、江口镇、黄石镇、北高镇</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养殖废水和农村生活污水影响海域水环境质量。</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农村生活污水治理类村庄整治完成率达到75%以上。</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涵江区人民政府、</w:t>
            </w:r>
          </w:p>
          <w:p>
            <w:pPr>
              <w:spacing w:line="240" w:lineRule="exact"/>
              <w:ind w:firstLineChars="0" w:firstLine="0"/>
              <w:rPr>
                <w:rFonts w:ascii="仿宋_GB2312" w:cs="宋体" w:hint="eastAsia"/>
                <w:sz w:val="16"/>
                <w:szCs w:val="16"/>
              </w:rPr>
            </w:pPr>
            <w:r>
              <w:rPr>
                <w:rFonts w:ascii="仿宋_GB2312" w:cs="宋体" w:hint="eastAsia"/>
                <w:sz w:val="16"/>
                <w:szCs w:val="16"/>
              </w:rPr>
              <w:t>荔城区人民政府</w:t>
            </w:r>
          </w:p>
        </w:tc>
      </w:tr>
      <w:tr>
        <w:tc>
          <w:tcPr>
            <w:tcW w:w="776" w:type="dxa"/>
            <w:vMerge/>
            <w:noWrap/>
            <w:vAlign w:val="center"/>
          </w:tcPr>
          <w:p/>
        </w:tc>
        <w:tc>
          <w:tcPr>
            <w:tcW w:w="979" w:type="dxa"/>
            <w:vMerge/>
            <w:noWrap/>
            <w:vAlign w:val="center"/>
          </w:tcP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海湾污染治理</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入海排污口整治项目</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开展入海排污口“全口径”整治，规范排污口设置。</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三江口近岸海域所有排污口</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三江口近岸海域污染较为严重，超标污染物主要为活性磷酸盐和无机氮。</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消除水质富营养化，达到水质四类标准。</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莆田市生态环境局</w:t>
            </w:r>
          </w:p>
        </w:tc>
      </w:tr>
      <w:tr>
        <w:tc>
          <w:tcPr>
            <w:tcW w:w="776" w:type="dxa"/>
            <w:vMerge/>
            <w:noWrap/>
            <w:vAlign w:val="center"/>
          </w:tcPr>
          <w:p/>
        </w:tc>
        <w:tc>
          <w:tcPr>
            <w:tcW w:w="979" w:type="dxa"/>
            <w:vMerge/>
            <w:noWrap/>
            <w:vAlign w:val="center"/>
          </w:tcP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海湾生态保护修复</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蓝色海湾整治行动项目</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实施木兰溪河口岸线整治、清违清占和海堤生态化改造加固。开展红树林、芦苇草滩生态修复，建设防风林等。</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木兰溪河口区</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围填海工程造成滨海湿地生态系统服务功能受损。</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红树林修复24.48公顷；新增黑脸琵鹭栖息地36.43公顷；海堤生态化改造2.5千米；养殖清退98.59公顷。</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涵江区人民政府、</w:t>
            </w:r>
          </w:p>
          <w:p>
            <w:pPr>
              <w:spacing w:line="240" w:lineRule="exact"/>
              <w:ind w:firstLineChars="0" w:firstLine="0"/>
              <w:rPr>
                <w:rFonts w:ascii="仿宋_GB2312" w:cs="宋体" w:hint="eastAsia"/>
                <w:sz w:val="16"/>
                <w:szCs w:val="16"/>
              </w:rPr>
            </w:pPr>
            <w:r>
              <w:rPr>
                <w:rFonts w:ascii="仿宋_GB2312" w:cs="宋体" w:hint="eastAsia"/>
                <w:sz w:val="16"/>
                <w:szCs w:val="16"/>
              </w:rPr>
              <w:t>荔城区人民政府</w:t>
            </w:r>
          </w:p>
        </w:tc>
      </w:tr>
      <w:tr>
        <w:tc>
          <w:tcPr>
            <w:tcW w:w="776" w:type="dxa"/>
            <w:vMerge/>
            <w:noWrap/>
            <w:vAlign w:val="center"/>
          </w:tcPr>
          <w:p/>
        </w:tc>
        <w:tc>
          <w:tcPr>
            <w:tcW w:w="979" w:type="dxa"/>
            <w:vMerge w:val="restart"/>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平海湾</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海湾生态保护修复</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海湾增殖放流项目</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每年开展增殖放流行动。</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平海湾</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渔业资源衰退。</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逐步恢复渔业资源。</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莆田市海洋与渔业局</w:t>
            </w:r>
          </w:p>
        </w:tc>
      </w:tr>
      <w:tr>
        <w:trPr>
          <w:trHeight w:val="1055"/>
        </w:trPr>
        <w:tc>
          <w:tcPr>
            <w:tcW w:w="776" w:type="dxa"/>
            <w:vMerge/>
            <w:noWrap/>
            <w:vAlign w:val="center"/>
          </w:tcPr>
          <w:p/>
        </w:tc>
        <w:tc>
          <w:tcPr>
            <w:tcW w:w="979" w:type="dxa"/>
            <w:vMerge/>
            <w:noWrap/>
            <w:vAlign w:val="center"/>
          </w:tcP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亲海环境品质提升</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近岸海漂垃圾治理项目</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建立近岸海漂垃圾清理保洁长效机制，在重点岸段增设视频在线监控，定期巡查、清理近岸海滩垃圾。</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平海湾近岸</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海漂垃圾散乱堆积岸滩，污染环境。</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平海湾岸滩清洁率75%。</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秀屿区人民政府</w:t>
            </w:r>
          </w:p>
        </w:tc>
      </w:tr>
      <w:tr>
        <w:trPr>
          <w:trHeight w:val="90"/>
        </w:trPr>
        <w:tc>
          <w:tcPr>
            <w:tcW w:w="776" w:type="dxa"/>
            <w:vMerge/>
            <w:noWrap/>
            <w:vAlign w:val="center"/>
          </w:tcPr>
          <w:p/>
        </w:tc>
        <w:tc>
          <w:tcPr>
            <w:tcW w:w="979" w:type="dxa"/>
            <w:vMerge w:val="restart"/>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湄洲湾-莆田段</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海湾生态保护修复</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蓝色海湾整治行动项目</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实施妈祖城海岸带生态修复、岸线整治与修复、海堤生态化改造与加固等。</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湄洲岛妈祖城</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围填海工程造成滨海湿地生态系统服务功能受损；渔业资源衰退。</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海堤生态改造4.52千米；滨海湿地生态修复5.41公顷。</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北岸经济开发区管委会</w:t>
            </w:r>
          </w:p>
        </w:tc>
      </w:tr>
      <w:tr>
        <w:tc>
          <w:tcPr>
            <w:tcW w:w="776" w:type="dxa"/>
            <w:vMerge/>
            <w:noWrap/>
            <w:vAlign w:val="center"/>
          </w:tcPr>
          <w:p/>
        </w:tc>
        <w:tc>
          <w:tcPr>
            <w:tcW w:w="979" w:type="dxa"/>
            <w:vMerge/>
            <w:noWrap/>
            <w:vAlign w:val="center"/>
          </w:tcP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亲海环境品质提升</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近岸海域海漂垃圾治理项目</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建立近岸海漂垃圾清理保洁长效机制，在重点岸段增设视频在线监控，定期巡查、清理近岸海滩垃圾。</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湄洲湾近岸</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海漂垃圾散乱堆积岸滩，污染环境。</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在沿海陆域建立垃圾收集、转运、处置机制，实现垃圾不入河、不下海。</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秀屿区人民政府</w:t>
            </w:r>
          </w:p>
        </w:tc>
      </w:tr>
      <w:tr>
        <w:tc>
          <w:tcPr>
            <w:tcW w:w="776" w:type="dxa"/>
            <w:vMerge/>
            <w:noWrap/>
            <w:vAlign w:val="center"/>
          </w:tcPr>
          <w:p/>
        </w:tc>
        <w:tc>
          <w:tcPr>
            <w:tcW w:w="979" w:type="dxa"/>
            <w:vMerge/>
            <w:noWrap/>
            <w:vAlign w:val="center"/>
          </w:tcP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海湾环境风险防范</w:t>
            </w:r>
          </w:p>
          <w:p>
            <w:pPr>
              <w:spacing w:line="240" w:lineRule="exact"/>
              <w:ind w:firstLineChars="0" w:firstLine="0"/>
              <w:rPr>
                <w:rFonts w:ascii="仿宋_GB2312" w:cs="宋体" w:hint="eastAsia"/>
                <w:sz w:val="16"/>
                <w:szCs w:val="16"/>
              </w:rPr>
            </w:pPr>
            <w:r>
              <w:rPr>
                <w:rFonts w:ascii="仿宋_GB2312" w:cs="宋体" w:hint="eastAsia"/>
                <w:sz w:val="16"/>
                <w:szCs w:val="16"/>
              </w:rPr>
              <w:t>和应急响应</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强化突发事件的应急响应能力建设</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联合政府部门、船舶污染清除单位、港口码头企业等开展溢油应急能力建设。</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湄洲湾</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航道内溢油事故环境风险较高。</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建立区域风险联防联控机制。</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莆田市政府、</w:t>
            </w:r>
          </w:p>
          <w:p>
            <w:pPr>
              <w:spacing w:line="240" w:lineRule="exact"/>
              <w:ind w:firstLineChars="0" w:firstLine="0"/>
              <w:rPr>
                <w:rFonts w:ascii="仿宋_GB2312" w:cs="宋体" w:hint="eastAsia"/>
                <w:sz w:val="16"/>
                <w:szCs w:val="16"/>
              </w:rPr>
            </w:pPr>
            <w:r>
              <w:rPr>
                <w:rFonts w:ascii="仿宋_GB2312" w:cs="宋体" w:hint="eastAsia"/>
                <w:sz w:val="16"/>
                <w:szCs w:val="16"/>
              </w:rPr>
              <w:t>莆田市海事局</w:t>
            </w:r>
          </w:p>
        </w:tc>
      </w:tr>
      <w:tr>
        <w:trPr>
          <w:trHeight w:val="738"/>
        </w:trPr>
        <w:tc>
          <w:tcPr>
            <w:tcW w:w="776" w:type="dxa"/>
            <w:vMerge w:val="restart"/>
            <w:noWrap/>
            <w:vAlign w:val="center"/>
          </w:tcPr>
          <w:p>
            <w:pPr>
              <w:widowControl/>
              <w:spacing w:line="240" w:lineRule="exact"/>
              <w:ind w:firstLineChars="0" w:firstLine="0"/>
              <w:rPr>
                <w:rFonts w:ascii="仿宋_GB2312" w:cs="宋体" w:hint="eastAsia"/>
                <w:color w:val="000000"/>
                <w:kern w:val="0"/>
                <w:sz w:val="16"/>
                <w:szCs w:val="16"/>
              </w:rPr>
            </w:pPr>
            <w:r>
              <w:rPr>
                <w:rFonts w:ascii="仿宋_GB2312" w:cs="宋体" w:hint="eastAsia"/>
                <w:color w:val="000000"/>
                <w:kern w:val="0"/>
                <w:sz w:val="16"/>
                <w:szCs w:val="16"/>
              </w:rPr>
              <w:t>莆田市</w:t>
            </w:r>
          </w:p>
        </w:tc>
        <w:tc>
          <w:tcPr>
            <w:tcW w:w="979"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南日群岛</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亲海环境品质提升</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近岸海漂垃圾治理项目</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建立海上环卫制度，开展海漂垃圾常态化整治，定期开展专项整治行动。</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近岸海域</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岸线分布有大量养殖垃圾</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岸滩清洁率80%。</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秀屿区人民政府</w:t>
            </w:r>
          </w:p>
        </w:tc>
      </w:tr>
      <w:tr>
        <w:tc>
          <w:tcPr>
            <w:tcW w:w="776" w:type="dxa"/>
            <w:vMerge/>
            <w:noWrap/>
            <w:vAlign w:val="center"/>
          </w:tcPr>
          <w:p/>
        </w:tc>
        <w:tc>
          <w:tcPr>
            <w:tcW w:w="979"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海域湾区</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环境风险防范和应急响应</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赤潮灾害监测预警体系项目</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建立健全赤潮灾害监测预警体系。</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近岸海域</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赤潮频发。</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养殖区增设数个实时在线监测生态浮标。</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莆田市海洋与渔业局</w:t>
            </w:r>
          </w:p>
        </w:tc>
      </w:tr>
      <w:tr>
        <w:tc>
          <w:tcPr>
            <w:tcW w:w="776" w:type="dxa"/>
            <w:vMerge w:val="restart"/>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宁德市</w:t>
            </w:r>
          </w:p>
        </w:tc>
        <w:tc>
          <w:tcPr>
            <w:tcW w:w="979"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沙埕港</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海湾污染治理</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入海排污口污染治理</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取缔非法入海排污口，实施入海排污口治理和监管。建设城市污水处理厂和农村生活污水集中处理设施。建设龙安开发区南侧污水处理厂尾水深海排放工程。</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沙埕港沿线和入海河流沿线，龙安工业区污水厂和第三污水厂</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沿岸排污口多，污水排放入海，特别是农村生活污水直排入海。</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完成排污口和农村生活污水整治，农村生活污水治理率达60%以上，入海排污口达标率100%。</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福鼎市人民政府</w:t>
            </w:r>
          </w:p>
        </w:tc>
      </w:tr>
      <w:tr>
        <w:tc>
          <w:tcPr>
            <w:tcW w:w="776" w:type="dxa"/>
            <w:vMerge/>
            <w:noWrap/>
          </w:tcPr>
          <w:p/>
        </w:tc>
        <w:tc>
          <w:tcPr>
            <w:tcW w:w="979"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福鼎市东部岸段</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海湾污染治理</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入海排污口污染治理</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取缔非法入海排污口、实施入海排污口治理和监管；农村生活污水集中处理达标后排放，加强工业集中区污水处理厂尾水监管；根据养殖规划适当退养网箱养殖。</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建设福鼎市沙埕镇小白鹭村污水处理设施，店下镇</w:t>
            </w:r>
            <w:r>
              <w:rPr>
                <w:rFonts w:ascii="仿宋_GB2312" w:eastAsia="宋体" w:cs="宋体" w:hAnsi="仿宋_GB2312" w:hint="eastAsia"/>
                <w:sz w:val="16"/>
                <w:szCs w:val="16"/>
              </w:rPr>
              <w:t>筼筜</w:t>
            </w:r>
            <w:r>
              <w:rPr>
                <w:rFonts w:ascii="仿宋_GB2312" w:cs="宋体" w:hint="eastAsia"/>
                <w:sz w:val="16"/>
                <w:szCs w:val="16"/>
              </w:rPr>
              <w:t>村管网完善</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加强生活污水治理，控制网箱养殖规模。</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完成排污口和农村生活污水整治，农村生活污水治理率达60%以上，入海排污口达标率100%。</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福鼎市人民政府</w:t>
            </w:r>
          </w:p>
        </w:tc>
      </w:tr>
      <w:tr>
        <w:trPr>
          <w:trHeight w:val="1685"/>
        </w:trPr>
        <w:tc>
          <w:tcPr>
            <w:tcW w:w="776" w:type="dxa"/>
            <w:vMerge/>
            <w:noWrap/>
          </w:tcPr>
          <w:p/>
        </w:tc>
        <w:tc>
          <w:tcPr>
            <w:tcW w:w="979"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霞浦县福宁湾岸段</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海湾污染治理</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入海排污口污染治理</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取缔非法入海排污口、实施入海排污口治理和监管；农村生活污水集中处理达标后排放，加强工业集中区污水处理厂尾水监管；开展114个城镇污水厂和乡村污水站工程，沿海主要有牙城镇污水处理厂扩建工程。</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海岸沿线村庄</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沿岸农村生活污水直排入海。</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农村生活污水治理率达60%以上，入海排污口达标率100%。</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霞浦县人民政府</w:t>
            </w:r>
          </w:p>
        </w:tc>
      </w:tr>
      <w:tr>
        <w:tc>
          <w:tcPr>
            <w:tcW w:w="776" w:type="dxa"/>
            <w:vMerge/>
            <w:noWrap/>
          </w:tcPr>
          <w:p/>
        </w:tc>
        <w:tc>
          <w:tcPr>
            <w:tcW w:w="979" w:type="dxa"/>
            <w:vMerge w:val="restart"/>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三沙湾</w:t>
            </w:r>
          </w:p>
        </w:tc>
        <w:tc>
          <w:tcPr>
            <w:tcW w:w="911" w:type="dxa"/>
            <w:vMerge w:val="restart"/>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海湾污染治理</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入海排污口污染治理</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实施三沙湾所有入海排污口的全口径排查，建立健全入海排污口台账和分类监管体系；取缔非法排污口，整治不合理设置的入海排污口；加强工业企业废水排污监管；完善市政污水管网建设，实施雨污分流。</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三沙湾内所有排污口、沿海渔村</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陆源污染物直排入海，湾内海水水质差。</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清理全部非法排污口，整治不合理设置的入海排污口，入海排污口100%纳入监管；工业和市政排污口100%稳定达标排放。</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蕉城区人民政府，福安市人民政府，霞浦县人民政府</w:t>
            </w:r>
          </w:p>
        </w:tc>
      </w:tr>
      <w:tr>
        <w:tc>
          <w:tcPr>
            <w:tcW w:w="776" w:type="dxa"/>
            <w:vMerge/>
            <w:noWrap/>
          </w:tcPr>
          <w:p/>
        </w:tc>
        <w:tc>
          <w:tcPr>
            <w:tcW w:w="979" w:type="dxa"/>
            <w:vMerge/>
            <w:noWrap/>
          </w:tcPr>
          <w:p/>
        </w:tc>
        <w:tc>
          <w:tcPr>
            <w:tcW w:w="911" w:type="dxa"/>
            <w:vMerge/>
            <w:noWrap/>
            <w:vAlign w:val="center"/>
          </w:tcP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污水处理设施及配套工程建设</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推进污水处理厂项目建设，开展深海排放工程相关工作。</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蕉城飞鸾镇、福安市湾坞半岛工业区</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区域污水处理厂及配套污水管网建设滞后。</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实现工业区污水100%收集处理。</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蕉城区人民政府，福安市人民政府，霞浦县人民政府</w:t>
            </w:r>
          </w:p>
        </w:tc>
      </w:tr>
      <w:tr>
        <w:tc>
          <w:tcPr>
            <w:tcW w:w="776" w:type="dxa"/>
            <w:vMerge w:val="restart"/>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宁德市</w:t>
            </w:r>
          </w:p>
        </w:tc>
        <w:tc>
          <w:tcPr>
            <w:tcW w:w="979" w:type="dxa"/>
            <w:vMerge w:val="restart"/>
            <w:noWrap/>
            <w:vAlign w:val="center"/>
          </w:tcPr>
          <w:p>
            <w:pPr>
              <w:spacing w:line="240" w:lineRule="exact"/>
              <w:ind w:firstLineChars="0" w:firstLine="0"/>
              <w:jc w:val="center"/>
              <w:rPr>
                <w:rFonts w:ascii="仿宋_GB2312" w:cs="宋体" w:hint="eastAsia"/>
                <w:sz w:val="16"/>
                <w:szCs w:val="16"/>
              </w:rPr>
            </w:pPr>
            <w:r>
              <w:rPr>
                <w:rFonts w:ascii="仿宋_GB2312" w:cs="宋体" w:hint="eastAsia"/>
                <w:sz w:val="16"/>
                <w:szCs w:val="16"/>
              </w:rPr>
              <w:t>三沙湾</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海湾污染治理</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海漂垃圾治理</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组建海上环卫队伍，对重点区域进行每日打捞，近岸海域每周至少进行一次打捞清理。养殖设施升级改造，废旧设施同步集中上岸到高潮线以上堆场处置。完善海湾沿岸、河流两岸镇村垃圾收集、转运设施。</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三沙湾内</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湾内海漂垃圾严重。</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组建海上环卫队伍，并定期开展清理工作。100%实现养殖设施改造淘汰设施的收集处理。海湾沿岸、河流两岸镇村垃圾收集率100%。</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蕉城区人民政府，福安市人民政府，霞浦县人民政府</w:t>
            </w:r>
          </w:p>
        </w:tc>
      </w:tr>
      <w:tr>
        <w:tc>
          <w:tcPr>
            <w:tcW w:w="776" w:type="dxa"/>
            <w:vMerge/>
            <w:noWrap/>
          </w:tcPr>
          <w:p/>
        </w:tc>
        <w:tc>
          <w:tcPr>
            <w:tcW w:w="979" w:type="dxa"/>
            <w:vMerge/>
            <w:noWrap/>
          </w:tcP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基础能力建设</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应急监测能力建设</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增加沿海县（市、区）海洋环境及应急监测能力，配备海洋环境应急检测等相关物资设备。</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市生态环境局</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海洋环境及应急监测能力不足</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实验设施配备齐全，具备海水水质监测能力。</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宁德市生态环境局</w:t>
            </w:r>
          </w:p>
        </w:tc>
      </w:tr>
      <w:tr>
        <w:tc>
          <w:tcPr>
            <w:tcW w:w="776" w:type="dxa"/>
            <w:vMerge/>
            <w:noWrap/>
          </w:tcPr>
          <w:p/>
        </w:tc>
        <w:tc>
          <w:tcPr>
            <w:tcW w:w="979" w:type="dxa"/>
            <w:vMerge w:val="restart"/>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五大湾区集中实施</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海湾生态保护修复</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近岸海域生态环境基础调查评估</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开展宁德市近岸海域海洋生态环境基础调查与评估工作，编制调查与评估报告。</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全市</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海洋生态环境本底不清。</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完成近岸海域海洋生态环境基础调查评估工作。</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宁德市人民政府</w:t>
            </w:r>
          </w:p>
        </w:tc>
      </w:tr>
      <w:tr>
        <w:tc>
          <w:tcPr>
            <w:tcW w:w="776" w:type="dxa"/>
            <w:vMerge/>
            <w:noWrap/>
          </w:tcPr>
          <w:p/>
        </w:tc>
        <w:tc>
          <w:tcPr>
            <w:tcW w:w="979" w:type="dxa"/>
            <w:vMerge/>
            <w:noWrap/>
          </w:tcP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海湾污染治理</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近岸海域垃圾打捞处置</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开展重点海湾、海滩、养殖区海漂垃圾的打捞清理工作。</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三沙湾、沙埕港</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近岸存在大量海漂垃圾。</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岸滩海漂垃圾得到有效清理。</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福鼎市、蕉城区、霞浦县、福安市人民政府</w:t>
            </w:r>
          </w:p>
        </w:tc>
      </w:tr>
      <w:tr>
        <w:trPr>
          <w:trHeight w:val="1033"/>
        </w:trPr>
        <w:tc>
          <w:tcPr>
            <w:tcW w:w="776" w:type="dxa"/>
            <w:vMerge w:val="restart"/>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平潭综合实验区</w:t>
            </w:r>
          </w:p>
        </w:tc>
        <w:tc>
          <w:tcPr>
            <w:tcW w:w="979" w:type="dxa"/>
            <w:vMerge w:val="restart"/>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平潭东南湾区</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海湾生态保护修复</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岸线/海堤生态修复</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开展滨海侵蚀区域的自然岸线修复；改善防护林生态发育较差现状，提高植物多样性和生长质量，构建健康海岸带生态环境。</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裕藩湾（湾底澳）</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干滩侵蚀、岸线后退、海滩坡度变陡、滩面物质粗化。</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人工补沙、植被固沙面积约2.6公顷，植被修复面积约25.18公顷，海滩养护岸线长度约1千米。</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平潭综合实验区管委会及有关职能部门</w:t>
            </w:r>
          </w:p>
        </w:tc>
      </w:tr>
      <w:tr>
        <w:trPr>
          <w:trHeight w:val="832"/>
        </w:trPr>
        <w:tc>
          <w:tcPr>
            <w:tcW w:w="776" w:type="dxa"/>
            <w:vMerge/>
            <w:noWrap/>
          </w:tcPr>
          <w:p/>
        </w:tc>
        <w:tc>
          <w:tcPr>
            <w:tcW w:w="979" w:type="dxa"/>
            <w:vMerge/>
            <w:noWrap/>
          </w:tcP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亲海岸滩“净滩净海”</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岸滩和海漂垃圾治理</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组建“海上环卫”队伍，对辖区主岛及有人居住的离岛海岸带及近岸海域海漂垃圾实施全域常态化清理保洁。</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海岸带和近岸海域</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缺乏海漂垃圾治理的有效机制，海漂垃圾问题比较突出。</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海漂垃圾分布密度明显降低。</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平潭综合实验区管委会及有关职能部门</w:t>
            </w:r>
          </w:p>
        </w:tc>
      </w:tr>
      <w:tr>
        <w:tc>
          <w:tcPr>
            <w:tcW w:w="776" w:type="dxa"/>
            <w:vMerge/>
            <w:noWrap/>
          </w:tcPr>
          <w:p/>
        </w:tc>
        <w:tc>
          <w:tcPr>
            <w:tcW w:w="979"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平潭东北湾区</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海湾生态保护修复</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亲海空间环境综合整治</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开展侵蚀区域的沙滩修复及海滩后滨沙地植被修复，加强沙滩管理，严禁盗采砂行为，提升岸线的稳定性和安全性。</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大富澳</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浪蚀作用强烈，盗采砂现象严重，岸坡侵蚀后退问题比较突出。</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修复沙滩面积约1.24公顷，人工补沙面积约1.2公顷，后滨沙地植被修复面积约0.5公顷。岸线修复长度约2.9千米，砾质海滩生境构建与养护长度约0.8千米，回填砾石方量约为10.3万立方米。建立（平均宽度约0.2千米，面积约53.5公顷）滨海生态缓冲带。</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平潭综合实验区管委会及有关职能部门</w:t>
            </w:r>
          </w:p>
        </w:tc>
      </w:tr>
      <w:tr>
        <w:tc>
          <w:tcPr>
            <w:tcW w:w="776" w:type="dxa"/>
            <w:vMerge w:val="restart"/>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平潭综合实验区</w:t>
            </w:r>
          </w:p>
        </w:tc>
        <w:tc>
          <w:tcPr>
            <w:tcW w:w="979" w:type="dxa"/>
            <w:noWrap/>
          </w:tcPr>
          <w:p>
            <w:pPr>
              <w:spacing w:line="240" w:lineRule="exact"/>
              <w:ind w:firstLineChars="0" w:firstLine="0"/>
              <w:rPr>
                <w:rFonts w:ascii="仿宋_GB2312" w:cs="宋体" w:hint="eastAsia"/>
                <w:sz w:val="16"/>
                <w:szCs w:val="16"/>
              </w:rPr>
            </w:pPr>
            <w:r>
              <w:rPr>
                <w:rFonts w:ascii="仿宋_GB2312" w:cs="宋体" w:hint="eastAsia"/>
                <w:sz w:val="16"/>
                <w:szCs w:val="16"/>
              </w:rPr>
              <w:t>平潭东北湾区</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亲海岸滩“净滩净海”</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岸滩和海漂垃圾治理</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组建“海上环卫”队伍，对辖区主岛及有人居住的离岛海岸带及近岸海域海漂垃圾实施全域常态化清理保洁。</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海岸带和近岸海域</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缺乏海漂垃圾治理的有效机制，海漂垃圾问题比较突出。</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海漂垃圾分布密度明显降低。</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平潭综合实验区管委会及有关职能部门</w:t>
            </w:r>
          </w:p>
        </w:tc>
      </w:tr>
      <w:tr>
        <w:tc>
          <w:tcPr>
            <w:tcW w:w="776" w:type="dxa"/>
            <w:vMerge/>
            <w:noWrap/>
          </w:tcPr>
          <w:p/>
        </w:tc>
        <w:tc>
          <w:tcPr>
            <w:tcW w:w="979"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平潭西部湾区</w:t>
            </w:r>
          </w:p>
        </w:tc>
        <w:tc>
          <w:tcPr>
            <w:tcW w:w="91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亲海岸滩“净滩净海”</w:t>
            </w:r>
          </w:p>
        </w:tc>
        <w:tc>
          <w:tcPr>
            <w:tcW w:w="135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岸滩和海漂垃圾治理</w:t>
            </w:r>
          </w:p>
        </w:tc>
        <w:tc>
          <w:tcPr>
            <w:tcW w:w="28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组建“海上环卫”队伍，对辖区主岛及有人居住的离岛海岸带及近岸海域海漂垃圾实施全域常态化清理保洁。</w:t>
            </w:r>
          </w:p>
        </w:tc>
        <w:tc>
          <w:tcPr>
            <w:tcW w:w="1455"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海岸带和近岸海域</w:t>
            </w:r>
          </w:p>
        </w:tc>
        <w:tc>
          <w:tcPr>
            <w:tcW w:w="2041"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缺乏海漂垃圾治理的有效机制，海漂垃圾问题比较突出。</w:t>
            </w:r>
          </w:p>
        </w:tc>
        <w:tc>
          <w:tcPr>
            <w:tcW w:w="2312"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海漂垃圾分布密度明显降低。</w:t>
            </w:r>
          </w:p>
        </w:tc>
        <w:tc>
          <w:tcPr>
            <w:tcW w:w="1567" w:type="dxa"/>
            <w:noWrap/>
            <w:vAlign w:val="center"/>
          </w:tcPr>
          <w:p>
            <w:pPr>
              <w:spacing w:line="240" w:lineRule="exact"/>
              <w:ind w:firstLineChars="0" w:firstLine="0"/>
              <w:rPr>
                <w:rFonts w:ascii="仿宋_GB2312" w:cs="宋体" w:hint="eastAsia"/>
                <w:sz w:val="16"/>
                <w:szCs w:val="16"/>
              </w:rPr>
            </w:pPr>
            <w:r>
              <w:rPr>
                <w:rFonts w:ascii="仿宋_GB2312" w:cs="宋体" w:hint="eastAsia"/>
                <w:sz w:val="16"/>
                <w:szCs w:val="16"/>
              </w:rPr>
              <w:t>平潭综合实验区管委会及有关职能部门</w:t>
            </w:r>
          </w:p>
        </w:tc>
      </w:tr>
    </w:tbl>
    <w:p>
      <w:pPr>
        <w:spacing w:line="220" w:lineRule="atLeast"/>
        <w:ind w:firstLineChars="0" w:firstLine="0"/>
        <w:rPr>
          <w:rFonts w:ascii="仿宋_GB2312" w:cs="楷体" w:hint="eastAsia"/>
          <w:sz w:val="24"/>
          <w:szCs w:val="22"/>
        </w:rPr>
      </w:pPr>
    </w:p>
    <w:p>
      <w:pPr>
        <w:spacing w:line="220" w:lineRule="atLeast"/>
        <w:ind w:left="720" w:hangingChars="300" w:hanging="720"/>
        <w:rPr>
          <w:rFonts w:ascii="仿宋_GB2312" w:cs="楷体" w:hint="eastAsia"/>
          <w:sz w:val="24"/>
        </w:rPr>
      </w:pPr>
      <w:r>
        <w:rPr>
          <w:rFonts w:ascii="仿宋_GB2312" w:cs="楷体" w:hint="eastAsia"/>
          <w:sz w:val="24"/>
          <w:szCs w:val="22"/>
        </w:rPr>
        <w:t>注：</w:t>
      </w:r>
      <w:r>
        <w:rPr>
          <w:rFonts w:ascii="仿宋_GB2312" w:cs="楷体" w:hint="eastAsia"/>
          <w:sz w:val="24"/>
        </w:rPr>
        <w:t>1.由沿海各省（区、市）负责，按照“一湾一策”要求，对沿海设区市和平潭综合实验区</w:t>
      </w:r>
      <w:r>
        <w:rPr>
          <w:rFonts w:ascii="仿宋_GB2312" w:cs="楷体" w:hint="eastAsia"/>
          <w:sz w:val="24"/>
          <w:lang w:eastAsia="zh-CN"/>
        </w:rPr>
        <w:t>各个</w:t>
      </w:r>
      <w:r>
        <w:rPr>
          <w:rFonts w:ascii="仿宋_GB2312" w:cs="楷体" w:hint="eastAsia"/>
          <w:sz w:val="24"/>
        </w:rPr>
        <w:t>主要海湾（湾区）“十四五”期间的重点工程项目和政策措施情况逐一作出规划部署，提出明确要求。</w:t>
      </w:r>
    </w:p>
    <w:p>
      <w:pPr>
        <w:spacing w:line="220" w:lineRule="atLeast"/>
        <w:rPr>
          <w:rFonts w:ascii="仿宋_GB2312" w:cs="楷体" w:hint="eastAsia"/>
          <w:sz w:val="24"/>
        </w:rPr>
      </w:pPr>
      <w:r>
        <w:rPr>
          <w:rFonts w:ascii="仿宋_GB2312" w:cs="楷体" w:hint="eastAsia"/>
          <w:sz w:val="24"/>
        </w:rPr>
        <w:t>2.各流域海域局负责跨省域海湾（湾区）重点工程项目和政策措施的统筹协调。</w:t>
      </w:r>
    </w:p>
    <w:p>
      <w:pPr>
        <w:spacing w:line="220" w:lineRule="atLeast"/>
        <w:rPr>
          <w:rFonts w:ascii="仿宋_GB2312" w:cs="楷体" w:hint="eastAsia"/>
          <w:sz w:val="24"/>
        </w:rPr>
      </w:pPr>
      <w:r>
        <w:rPr>
          <w:rFonts w:ascii="仿宋_GB2312" w:cs="楷体" w:hint="eastAsia"/>
          <w:sz w:val="24"/>
        </w:rPr>
        <w:t>3.贯彻落实“一湾一策”精准治污要求，分海湾（湾区）规划部署差异化的海洋生态环境保护目标任务。</w:t>
      </w:r>
    </w:p>
    <w:p>
      <w:pPr>
        <w:spacing w:line="220" w:lineRule="atLeast"/>
        <w:ind w:leftChars="170" w:left="716" w:hangingChars="100" w:hanging="240"/>
        <w:rPr>
          <w:rFonts w:ascii="仿宋_GB2312" w:cs="楷体" w:hint="eastAsia"/>
          <w:sz w:val="24"/>
        </w:rPr>
      </w:pPr>
      <w:r>
        <w:rPr>
          <w:rFonts w:ascii="仿宋_GB2312" w:cs="楷体" w:hint="eastAsia"/>
          <w:sz w:val="24"/>
        </w:rPr>
        <w:t>4.坚持问题导向、目标导向和结果导向，逐一明确沿海设区市和平潭综合实验区各海湾（湾区）拟解决的突出问题，以及对应工程项目或政策措施的类别、名称、具体实施内容、区域对象、预期目标指标和责任单位等。</w:t>
      </w:r>
    </w:p>
    <w:p>
      <w:pPr>
        <w:spacing w:line="220" w:lineRule="atLeast"/>
        <w:ind w:leftChars="170" w:left="716" w:hangingChars="100" w:hanging="240"/>
        <w:rPr>
          <w:rFonts w:ascii="仿宋_GB2312" w:cs="楷体" w:hint="eastAsia"/>
          <w:sz w:val="24"/>
        </w:rPr>
      </w:pPr>
      <w:r>
        <w:rPr>
          <w:rFonts w:ascii="仿宋_GB2312" w:cs="楷体" w:hint="eastAsia"/>
          <w:sz w:val="24"/>
        </w:rPr>
        <w:t>5.工程项目和政策措施类别分为：重点海湾污染治理、海洋生态保护修复、亲海岸滩“净滩净海”、环境风险防范和应急响应、生态环境监管能力建设等5大类。</w:t>
      </w:r>
    </w:p>
    <w:p>
      <w:pPr>
        <w:spacing w:line="220" w:lineRule="atLeast"/>
        <w:rPr>
          <w:rFonts w:ascii="仿宋_GB2312" w:cs="楷体" w:hint="eastAsia"/>
          <w:sz w:val="24"/>
          <w:szCs w:val="22"/>
        </w:rPr>
      </w:pPr>
      <w:r>
        <w:rPr>
          <w:rFonts w:ascii="仿宋_GB2312" w:cs="楷体" w:hint="eastAsia"/>
          <w:sz w:val="24"/>
        </w:rPr>
        <w:t>6.各海湾（湾区）每项工程项目或政策措施的具体内容及目标指标，需满足可监测、可评估、可考核等要求。</w:t>
      </w:r>
    </w:p>
    <w:p>
      <w:pPr>
        <w:spacing w:line="220" w:lineRule="atLeast"/>
        <w:ind w:firstLineChars="0" w:firstLine="560"/>
        <w:rPr>
          <w:rFonts w:eastAsia="楷体_GB2312"/>
          <w:spacing w:val="10"/>
          <w:kern w:val="0"/>
          <w:sz w:val="52"/>
          <w:szCs w:val="52"/>
        </w:rPr>
      </w:pPr>
    </w:p>
    <w:p>
      <w:pPr>
        <w:ind w:firstLineChars="0" w:firstLine="0"/>
      </w:pPr>
    </w:p>
    <w:sectPr>
      <w:pgSz w:w="16838" w:h="11906" w:orient="landscape"/>
      <w:pgMar w:top="1797" w:right="1440" w:bottom="1797" w:left="1440" w:header="851" w:footer="992" w:gutter="0"/>
      <w:docGrid w:type="lines" w:linePitch="381" w:charSpace="0"/>
    </w:sectPr>
  </w:body>
</w:document>
</file>

<file path=word/fontTable.xml><?xml version="1.0" encoding="utf-8"?>
<w:fonts xmlns:w="http://schemas.openxmlformats.org/wordprocessingml/2006/main" xmlns:r="http://schemas.openxmlformats.org/officeDocument/2006/relationships">
  <w:font w:name="黑体">
    <w:panose1 w:val="02010609060101010101"/>
    <w:charset w:val="86"/>
    <w:family w:val="auto"/>
    <w:pitch w:val="variable"/>
    <w:sig w:usb0="800002BF" w:usb1="38CF7CFA"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 w:name="华文中宋">
    <w:panose1 w:val="02010600040101010101"/>
    <w:charset w:val="86"/>
    <w:family w:val="auto"/>
    <w:pitch w:val="variable"/>
    <w:sig w:usb0="00000287" w:usb1="080F0000" w:usb2="00000000" w:usb3="00000000" w:csb0="0004009F" w:csb1="DFD70000"/>
  </w:font>
  <w:font w:name="楷体_GB2312">
    <w:panose1 w:val="02010609030101010101"/>
    <w:charset w:val="86"/>
    <w:family w:val="modern"/>
    <w:pitch w:val="variable"/>
    <w:sig w:usb0="00000001" w:usb1="080E0000" w:usb2="00000000" w:usb3="00000000" w:csb0="00040000" w:csb1="00000000"/>
  </w:font>
  <w:font w:name="Times New Roman">
    <w:panose1 w:val="02020603050405020304"/>
    <w:charset w:val="7A"/>
    <w:family w:val="auto"/>
    <w:pitch w:val="variable"/>
    <w:sig w:usb0="E0002EFF" w:usb1="C000785B" w:usb2="00000009" w:usb3="00000000" w:csb0="400001FF" w:csb1="FFFF0000"/>
  </w:font>
  <w:font w:name="仿宋_GB2312">
    <w:panose1 w:val="02010609030101010101"/>
    <w:charset w:val="86"/>
    <w:family w:val="auto"/>
    <w:pitch w:val="variable"/>
    <w:sig w:usb0="00000001" w:usb1="080E0000" w:usb2="00000000" w:usb3="00000000" w:csb0="00040000" w:csb1="00000000"/>
  </w:font>
  <w:font w:name="Calibri">
    <w:panose1 w:val="020F0502020204030204"/>
    <w:charset w:val="00"/>
    <w:family w:val="swiss"/>
    <w:pitch w:val="variable"/>
    <w:sig w:usb0="E4002EFF" w:usb1="C000247B" w:usb2="00000009" w:usb3="00000000" w:csb0="200001FF" w:csb1="00000000"/>
  </w:font>
  <w:font w:name="Arial">
    <w:panose1 w:val="020B0604020202020204"/>
    <w:charset w:val="01"/>
    <w:family w:val="swiss"/>
    <w:pitch w:val="variable"/>
    <w:sig w:usb0="E0002EFF" w:usb1="C000785B" w:usb2="00000009" w:usb3="00000000" w:csb0="400001FF" w:csb1="FFFF0000"/>
  </w:font>
  <w:font w:name="宋体">
    <w:panose1 w:val="02010600030101010101"/>
    <w:charset w:val="86"/>
    <w:family w:val="auto"/>
    <w:pitch w:val="variable"/>
    <w:sig w:usb0="00000203" w:usb1="288F0000" w:usb2="00000006" w:usb3="00000000" w:csb0="00040001" w:csb1="00000000"/>
  </w:font>
  <w:font w:name="仿宋">
    <w:panose1 w:val="02010609060101010101"/>
    <w:charset w:val="86"/>
    <w:family w:val="modern"/>
    <w:pitch w:val="variable"/>
    <w:sig w:usb0="800002BF" w:usb1="38CF7CFA" w:usb2="00000016" w:usb3="00000000" w:csb0="00040001" w:csb1="00000000"/>
  </w:font>
  <w:font w:name="楷体">
    <w:panose1 w:val="02010609060101010101"/>
    <w:charset w:val="86"/>
    <w:family w:val="modern"/>
    <w:pitch w:val="variable"/>
    <w:sig w:usb0="800002BF" w:usb1="38CF7CFA" w:usb2="00000016" w:usb3="00000000" w:csb0="00040001" w:csb1="00000000"/>
  </w:font>
  <w:font w:name="Courier New">
    <w:panose1 w:val="02070309020205020404"/>
    <w:charset w:val="01"/>
    <w:family w:val="modern"/>
    <w:pitch w:val="variable"/>
    <w:sig w:usb0="E0002EFF" w:usb1="C0007843" w:usb2="00000009" w:usb3="00000000" w:csb0="400001FF" w:csb1="FFFF0000"/>
  </w:font>
  <w:font w:name="Arial Narrow">
    <w:panose1 w:val="020B0606020202030204"/>
    <w:charset w:val="00"/>
    <w:family w:val="swiss"/>
    <w:pitch w:val="variable"/>
    <w:sig w:usb0="00000287" w:usb1="00000800" w:usb2="00000000" w:usb3="00000000" w:csb0="2000009F" w:csb1="DFD70000"/>
  </w:font>
  <w:font w:name="Cambria">
    <w:panose1 w:val="02040503050406030204"/>
    <w:charset w:val="00"/>
    <w:family w:val="roman"/>
    <w:pitch w:val="variable"/>
    <w:sig w:usb0="E00006FF" w:usb1="420024FF" w:usb2="02000000" w:usb3="00000000" w:csb0="2000019F" w:csb1="00000000"/>
  </w:font>
  <w:font w:name="方正书宋简体">
    <w:altName w:val="宋体"/>
    <w:panose1 w:val="00000000000000000000"/>
    <w:charset w:val="86"/>
    <w:family w:val="auto"/>
    <w:pitch w:val="variable"/>
    <w:sig w:usb0="00000000" w:usb1="00000000" w:usb2="00000012" w:usb3="00000000" w:csb0="00040001" w:csb1="00000000"/>
  </w:font>
  <w:font w:name="微软雅黑">
    <w:panose1 w:val="020B0503020204020204"/>
    <w:charset w:val="86"/>
    <w:family w:val="swiss"/>
    <w:pitch w:val="variable"/>
    <w:sig w:usb0="80000287" w:usb1="2ACF3C50" w:usb2="00000016" w:usb3="00000000" w:csb0="0004001F" w:csb1="00000000"/>
  </w:font>
  <w:font w:name="Helv">
    <w:altName w:val="Segoe Print"/>
    <w:panose1 w:val="020B0604020202030204"/>
    <w:charset w:val="00"/>
    <w:family w:val="swiss"/>
    <w:pitch w:val="variable"/>
    <w:sig w:usb0="00000000" w:usb1="00000000" w:usb2="00000000" w:usb3="00000000" w:csb0="00000001" w:csb1="00000000"/>
  </w:font>
  <w:font w:name="Verdana">
    <w:panose1 w:val="020B0604030504040204"/>
    <w:charset w:val="00"/>
    <w:family w:val="swiss"/>
    <w:pitch w:val="variable"/>
    <w:sig w:usb0="A00006FF" w:usb1="4000205B" w:usb2="00000010" w:usb3="00000000" w:csb0="2000019F" w:csb1="00000000"/>
  </w:font>
  <w:font w:name="Wingdings">
    <w:panose1 w:val="05000000000000000000"/>
    <w:charset w:val="02"/>
    <w:family w:val="auto"/>
    <w:pitch w:val="variable"/>
    <w:sig w:usb0="00000000" w:usb1="00000000" w:usb2="00000000" w:usb3="00000000" w:csb0="80000000" w:csb1="00000000"/>
  </w:font>
  <w:font w:name="华文仿宋">
    <w:panose1 w:val="02010600040101010101"/>
    <w:charset w:val="86"/>
    <w:family w:val="auto"/>
    <w:pitch w:val="variable"/>
    <w:sig w:usb0="00000287" w:usb1="080F0000" w:usb2="00000000" w:usb3="00000000" w:csb0="0004009F" w:csb1="DFD7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53"/>
      <w:tabs>
        <w:tab w:val="center" w:pos="4153"/>
        <w:tab w:val="right" w:pos="8306"/>
      </w:tabs>
      <w:ind w:left="1120" w:right="360"/>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53"/>
      <w:framePr w:w="0" w:hRule="auto" w:wrap="around" w:vAnchor="text" w:hAnchor="margin" w:xAlign="center" w:y="1" w:anchorLock="0"/>
      <w:tabs>
        <w:tab w:val="center" w:pos="4153"/>
        <w:tab w:val="right" w:pos="8306"/>
      </w:tabs>
      <w:rPr>
        <w:rStyle w:val="83"/>
      </w:rPr>
    </w:pPr>
    <w:r>
      <w:rPr>
        <w:rStyle w:val="83"/>
      </w:rPr>
      <w:fldChar w:fldCharType="begin"/>
    </w:r>
    <w:r>
      <w:rPr>
        <w:rStyle w:val="83"/>
      </w:rPr>
      <w:instrText xml:space="preserve">PAGE  </w:instrText>
    </w:r>
    <w:r>
      <w:fldChar w:fldCharType="separate"/>
    </w:r>
    <w:r>
      <w:fldChar w:fldCharType="end"/>
    </w:r>
  </w:p>
  <w:p>
    <w:pPr>
      <w:pStyle w:val="53"/>
      <w:tabs>
        <w:tab w:val="center" w:pos="4153"/>
        <w:tab w:val="right" w:pos="8306"/>
      </w:tabs>
      <w:ind w:right="360"/>
    </w:pPr>
  </w:p>
</w:ftr>
</file>

<file path=word/footer3.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53"/>
      <w:tabs>
        <w:tab w:val="center" w:pos="4153"/>
        <w:tab w:val="right" w:pos="8306"/>
      </w:tabs>
      <w:jc w:val="center"/>
      <w:rPr>
        <w:sz w:val="21"/>
        <w:szCs w:val="21"/>
      </w:rPr>
    </w:pPr>
    <w:r>
      <w:rPr>
        <w:sz w:val="21"/>
      </w:rPr>
      <mc:AlternateContent>
        <mc:Choice Requires="wps">
          <w:drawing>
            <wp:anchor distT="0" distB="0" distL="114298" distR="114298" simplePos="0" relativeHeight="39" behindDoc="0" locked="0" layoutInCell="1" hidden="0" allowOverlap="1">
              <wp:simplePos x="0" y="0"/>
              <wp:positionH relativeFrom="margin">
                <wp:align>center</wp:align>
              </wp:positionH>
              <wp:positionV relativeFrom="paragraph">
                <wp:posOffset>95</wp:posOffset>
              </wp:positionV>
              <wp:extent cx="333375" cy="230505"/>
              <wp:effectExtent l="0" t="0" r="0" b="0"/>
              <wp:wrapNone/>
              <wp:docPr id="1" name="文本框 1"/>
              <wp:cNvGraphicFramePr>
                <a:graphicFrameLocks noChangeAspect="0"/>
              </wp:cNvGraphicFramePr>
              <a:graphic>
                <a:graphicData uri="http://schemas.microsoft.com/office/word/2010/wordprocessingShape">
                  <wps:wsp>
                    <wps:cNvSpPr/>
                    <wps:spPr>
                      <a:xfrm rot="0">
                        <a:off x="0" y="0"/>
                        <a:ext cx="333375" cy="230505"/>
                      </a:xfrm>
                      <a:prstGeom prst="rect"/>
                      <a:noFill/>
                      <a:ln w="9525" cmpd="sng" cap="flat">
                        <a:noFill/>
                        <a:prstDash val="solid"/>
                        <a:round/>
                      </a:ln>
                    </wps:spPr>
                    <wps:txbx id="2">
                      <w:txbxContent>
                        <w:p>
                          <w:pPr>
                            <w:pStyle w:val="53"/>
                            <w:tabs>
                              <w:tab w:val="center" w:pos="4153"/>
                              <w:tab w:val="right" w:pos="8306"/>
                            </w:tabs>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w:t>
                          </w:r>
                          <w:r>
                            <w:rPr>
                              <w:sz w:val="21"/>
                              <w:szCs w:val="21"/>
                            </w:rPr>
                            <w:fldChar w:fldCharType="end"/>
                          </w:r>
                        </w:p>
                      </w:txbxContent>
                    </wps:txbx>
                    <wps:bodyPr vert="horz" wrap="none" lIns="0" tIns="0" rIns="0" bIns="0" anchor="t" anchorCtr="0" upright="0">
                      <a:spAutoFit/>
                    </wps:bodyPr>
                  </wps:wsp>
                </a:graphicData>
              </a:graphic>
            </wp:anchor>
          </w:drawing>
        </mc:Choice>
        <mc:Fallback>
          <w:pict>
            <v:rect type="#_x0000_t1" id="文本框 1 3" o:spid="_x0000_s3" filled="f" stroked="f" style="position:absolute;margin-left:0.0075072097pt;margin-top:0.0075072097pt;width:26.25pt;height:18.15pt;z-index:39;mso-position-horizontal:center;mso-position-horizontal-relative:margin;mso-position-vertical:absolute;mso-wrap-distance-left:8.999863pt;mso-wrap-distance-right:8.999863pt;mso-wrap-style:none;">
              <v:stroke color="#000000"/>
              <v:textbox id="862" inset="0mm,0mm,0mm,0mm" o:insetmode="custom" style="layout-flow:horizontal;v-text-anchor:top;mso-fit-shape-to-text:t;">
                <w:txbxContent>
                  <w:p>
                    <w:pPr>
                      <w:pStyle w:val="53"/>
                      <w:tabs>
                        <w:tab w:val="center" w:pos="4153"/>
                        <w:tab w:val="right" w:pos="8306"/>
                      </w:tabs>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w:t>
                    </w:r>
                    <w:r>
                      <w:rPr>
                        <w:sz w:val="21"/>
                        <w:szCs w:val="21"/>
                      </w:rPr>
                      <w:fldChar w:fldCharType="end"/>
                    </w:r>
                  </w:p>
                </w:txbxContent>
              </v:textbox>
            </v:rect>
          </w:pict>
        </mc:Fallback>
      </mc:AlternateContent>
    </w:r>
  </w:p>
</w:ftr>
</file>

<file path=word/footer4.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53"/>
      <w:tabs>
        <w:tab w:val="center" w:pos="4153"/>
        <w:tab w:val="right" w:pos="8306"/>
      </w:tabs>
      <w:ind w:left="1120" w:right="360"/>
    </w:pPr>
    <w:r>
      <mc:AlternateContent>
        <mc:Choice Requires="wps">
          <w:drawing>
            <wp:anchor distT="0" distB="0" distL="114298" distR="114298" simplePos="0" relativeHeight="40" behindDoc="0" locked="0" layoutInCell="1" hidden="0" allowOverlap="1">
              <wp:simplePos x="0" y="0"/>
              <wp:positionH relativeFrom="margin">
                <wp:align>center</wp:align>
              </wp:positionH>
              <wp:positionV relativeFrom="paragraph">
                <wp:posOffset>0</wp:posOffset>
              </wp:positionV>
              <wp:extent cx="355599" cy="537210"/>
              <wp:effectExtent l="0" t="0" r="0" b="0"/>
              <wp:wrapNone/>
              <wp:docPr id="4" name="文本框 2"/>
              <wp:cNvGraphicFramePr>
                <a:graphicFrameLocks noChangeAspect="0"/>
              </wp:cNvGraphicFramePr>
              <a:graphic>
                <a:graphicData uri="http://schemas.microsoft.com/office/word/2010/wordprocessingShape">
                  <wps:wsp>
                    <wps:cNvSpPr/>
                    <wps:spPr>
                      <a:xfrm rot="0">
                        <a:off x="0" y="0"/>
                        <a:ext cx="355599" cy="537210"/>
                      </a:xfrm>
                      <a:prstGeom prst="rect"/>
                      <a:noFill/>
                      <a:ln w="9525" cmpd="sng" cap="flat">
                        <a:noFill/>
                        <a:prstDash val="solid"/>
                        <a:round/>
                      </a:ln>
                    </wps:spPr>
                    <wps:txbx id="5">
                      <w:txbxContent>
                        <w:p>
                          <w:pPr>
                            <w:pStyle w:val="53"/>
                            <w:tabs>
                              <w:tab w:val="center" w:pos="4153"/>
                              <w:tab w:val="right" w:pos="8306"/>
                            </w:tabs>
                            <w:ind w:firstLineChars="0" w:firstLine="0"/>
                            <w:rPr>
                              <w:rStyle w:val="83"/>
                              <w:b w:val="0"/>
                              <w:sz w:val="21"/>
                              <w:szCs w:val="21"/>
                            </w:rPr>
                          </w:pPr>
                          <w:r>
                            <w:rPr>
                              <w:rStyle w:val="83"/>
                              <w:b w:val="0"/>
                              <w:sz w:val="21"/>
                              <w:szCs w:val="21"/>
                            </w:rPr>
                            <w:fldChar w:fldCharType="begin"/>
                          </w:r>
                          <w:r>
                            <w:rPr>
                              <w:rStyle w:val="83"/>
                              <w:b w:val="0"/>
                              <w:sz w:val="21"/>
                              <w:szCs w:val="21"/>
                            </w:rPr>
                            <w:instrText xml:space="preserve">PAGE  </w:instrText>
                          </w:r>
                          <w:r>
                            <w:rPr>
                              <w:b/>
                              <w:sz w:val="21"/>
                              <w:szCs w:val="21"/>
                            </w:rPr>
                            <w:fldChar w:fldCharType="separate"/>
                          </w:r>
                          <w:r>
                            <w:rPr>
                              <w:rStyle w:val="83"/>
                              <w:b w:val="0"/>
                              <w:sz w:val="21"/>
                              <w:szCs w:val="21"/>
                            </w:rPr>
                            <w:t>8</w:t>
                          </w:r>
                          <w:r>
                            <w:rPr>
                              <w:b/>
                              <w:sz w:val="21"/>
                              <w:szCs w:val="21"/>
                            </w:rPr>
                            <w:fldChar w:fldCharType="end"/>
                          </w:r>
                        </w:p>
                        <w:p/>
                      </w:txbxContent>
                    </wps:txbx>
                    <wps:bodyPr vert="horz" wrap="none" lIns="0" tIns="0" rIns="0" bIns="0" anchor="t" anchorCtr="0" upright="0">
                      <a:spAutoFit/>
                    </wps:bodyPr>
                  </wps:wsp>
                </a:graphicData>
              </a:graphic>
            </wp:anchor>
          </w:drawing>
        </mc:Choice>
        <mc:Fallback>
          <w:pict>
            <v:rect type="#_x0000_t1" id="文本框 2 6" o:spid="_x0000_s6" filled="f" stroked="f" style="position:absolute;margin-left:0.0pt;margin-top:0.0pt;width:27.999998pt;height:42.3pt;z-index:40;mso-position-horizontal:center;mso-position-horizontal-relative:margin;mso-position-vertical:absolute;mso-wrap-distance-left:8.999863pt;mso-wrap-distance-right:8.999863pt;mso-wrap-style:none;">
              <v:stroke color="#000000"/>
              <v:textbox id="863" inset="0mm,0mm,0mm,0mm" o:insetmode="custom" style="layout-flow:horizontal;v-text-anchor:top;mso-fit-shape-to-text:t;">
                <w:txbxContent>
                  <w:p>
                    <w:pPr>
                      <w:pStyle w:val="53"/>
                      <w:tabs>
                        <w:tab w:val="center" w:pos="4153"/>
                        <w:tab w:val="right" w:pos="8306"/>
                      </w:tabs>
                      <w:ind w:firstLineChars="0" w:firstLine="0"/>
                      <w:rPr>
                        <w:rStyle w:val="83"/>
                        <w:b w:val="0"/>
                        <w:sz w:val="21"/>
                        <w:szCs w:val="21"/>
                      </w:rPr>
                    </w:pPr>
                    <w:r>
                      <w:rPr>
                        <w:rStyle w:val="83"/>
                        <w:b w:val="0"/>
                        <w:sz w:val="21"/>
                        <w:szCs w:val="21"/>
                      </w:rPr>
                      <w:fldChar w:fldCharType="begin"/>
                    </w:r>
                    <w:r>
                      <w:rPr>
                        <w:rStyle w:val="83"/>
                        <w:b w:val="0"/>
                        <w:sz w:val="21"/>
                        <w:szCs w:val="21"/>
                      </w:rPr>
                      <w:instrText xml:space="preserve">PAGE  </w:instrText>
                    </w:r>
                    <w:r>
                      <w:rPr>
                        <w:b/>
                        <w:sz w:val="21"/>
                        <w:szCs w:val="21"/>
                      </w:rPr>
                      <w:fldChar w:fldCharType="separate"/>
                    </w:r>
                    <w:r>
                      <w:rPr>
                        <w:rStyle w:val="83"/>
                        <w:b w:val="0"/>
                        <w:sz w:val="21"/>
                        <w:szCs w:val="21"/>
                      </w:rPr>
                      <w:t>8</w:t>
                    </w:r>
                    <w:r>
                      <w:rPr>
                        <w:b/>
                        <w:sz w:val="21"/>
                        <w:szCs w:val="21"/>
                      </w:rPr>
                      <w:fldChar w:fldCharType="end"/>
                    </w:r>
                  </w:p>
                  <w:p/>
                </w:txbxContent>
              </v:textbox>
            </v:rect>
          </w:pict>
        </mc:Fallback>
      </mc:AlternateContent>
    </w:r>
  </w:p>
</w:ftr>
</file>

<file path=word/footer5.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53"/>
      <w:framePr w:w="0" w:hRule="auto" w:wrap="around" w:vAnchor="text" w:hAnchor="margin" w:xAlign="center" w:y="1" w:anchorLock="0"/>
      <w:tabs>
        <w:tab w:val="center" w:pos="4153"/>
        <w:tab w:val="right" w:pos="8306"/>
      </w:tabs>
      <w:rPr>
        <w:rStyle w:val="83"/>
      </w:rPr>
    </w:pPr>
    <w:r>
      <w:rPr>
        <w:rStyle w:val="83"/>
      </w:rPr>
      <w:fldChar w:fldCharType="begin"/>
    </w:r>
    <w:r>
      <w:rPr>
        <w:rStyle w:val="83"/>
      </w:rPr>
      <w:instrText xml:space="preserve">PAGE  </w:instrText>
    </w:r>
    <w:r>
      <w:fldChar w:fldCharType="separate"/>
    </w:r>
    <w:r>
      <w:fldChar w:fldCharType="end"/>
    </w:r>
  </w:p>
  <w:p>
    <w:pPr>
      <w:pStyle w:val="53"/>
      <w:tabs>
        <w:tab w:val="center" w:pos="4153"/>
        <w:tab w:val="right" w:pos="8306"/>
      </w:tabs>
      <w:ind w:right="360"/>
    </w:pPr>
  </w:p>
</w:ftr>
</file>

<file path=word/footer6.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53"/>
      <w:tabs>
        <w:tab w:val="center" w:pos="4153"/>
        <w:tab w:val="right" w:pos="8306"/>
      </w:tabs>
    </w:pPr>
  </w:p>
</w:ftr>
</file>

<file path=word/footnotes.xml><?xml version="1.0" encoding="utf-8"?>
<w:footnotes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http://schemas.openxmlformats.org/drawingml/2006/wordprocessingDrawing" xmlns:pic="http://schemas.openxmlformats.org/drawingml/2006/picture" xmlns:mc="http://schemas.openxmlformats.org/markup-compatibility/2006" xmlns:w14="http://schemas.microsoft.com/office/word/2010/wordml" xmlns:a14="http://schemas.microsoft.com/office/drawing/2010/main" mc:Ignorable="w14">
  <w:footnote w:type="separator" w:id="0">
    <w:p>
      <w:r>
        <w:separator/>
      </w:r>
    </w:p>
  </w:footnote>
  <w:footnote w:type="continuationSeparator" w:id="1">
    <w:p>
      <w:r>
        <w:continuationSeparator/>
      </w:r>
    </w:p>
  </w:footnote>
  <w:footnote w:id="2">
    <w:p>
      <w:pPr>
        <w:pStyle w:val="63"/>
        <w:rPr>
          <w:rFonts w:hint="eastAsia"/>
        </w:rPr>
      </w:pPr>
      <w:r>
        <w:rPr>
          <w:rStyle w:val="95"/>
        </w:rPr>
        <w:footnoteRef/>
      </w:r>
      <w:r>
        <w:t xml:space="preserve"> </w:t>
      </w:r>
      <w:r>
        <w:rPr>
          <w:rFonts w:hint="eastAsia"/>
        </w:rPr>
        <w:t>主要海湾指沙埕港、三沙湾、罗源湾、闽江口、福清湾、兴化湾、湄洲湾、泉州湾、深沪湾、厦门湾、旧镇湾、东山湾、诏安湾1</w:t>
      </w:r>
      <w:r>
        <w:t>3</w:t>
      </w:r>
      <w:r>
        <w:rPr>
          <w:rFonts w:hint="eastAsia"/>
        </w:rPr>
        <w:t>个海湾。</w:t>
      </w:r>
    </w:p>
  </w:footnote>
  <w:footnote w:id="3">
    <w:p>
      <w:pPr>
        <w:pStyle w:val="63"/>
        <w:rPr>
          <w:rFonts w:hint="eastAsia"/>
        </w:rPr>
      </w:pPr>
      <w:r>
        <w:rPr>
          <w:rStyle w:val="95"/>
        </w:rPr>
        <w:footnoteRef/>
      </w:r>
      <w:r>
        <w:t xml:space="preserve"> </w:t>
      </w:r>
      <w:r>
        <w:rPr>
          <w:rFonts w:hint="eastAsia"/>
        </w:rPr>
        <w:t>主要入海河流指宁德市交溪、霍童溪，福州市敖江、闽江、龙江，莆田市萩芦溪、木兰溪，泉州市晋江</w:t>
      </w:r>
      <w:r>
        <w:rPr>
          <w:rFonts w:hint="eastAsia"/>
          <w:lang w:eastAsia="zh-CN"/>
        </w:rPr>
        <w:t>，</w:t>
      </w:r>
      <w:r>
        <w:rPr>
          <w:rFonts w:hint="eastAsia"/>
        </w:rPr>
        <w:t>漳州市九龙江、漳江、东溪1</w:t>
      </w:r>
      <w:r>
        <w:t>1</w:t>
      </w:r>
      <w:r>
        <w:rPr>
          <w:rFonts w:hint="eastAsia"/>
        </w:rPr>
        <w:t>条入海河流。</w:t>
      </w:r>
    </w:p>
  </w:footnote>
</w:footnotes>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hdr>
</file>

<file path=word/header2.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55"/>
      <w:pBdr>
        <w:bottom w:val="none" w:sz="0" w:space="0" w:color="auto"/>
      </w:pBdr>
      <w:tabs>
        <w:tab w:val="center" w:pos="4153"/>
        <w:tab w:val="right" w:pos="8306"/>
      </w:tabs>
    </w:pPr>
  </w:p>
</w:hdr>
</file>

<file path=word/header3.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hdr>
</file>

<file path=word/header4.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55"/>
      <w:tabs>
        <w:tab w:val="center" w:pos="4153"/>
        <w:tab w:val="right" w:pos="8306"/>
      </w:tabs>
    </w:pPr>
  </w:p>
</w:hdr>
</file>

<file path=word/header5.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55"/>
      <w:tabs>
        <w:tab w:val="center" w:pos="4153"/>
        <w:tab w:val="right" w:pos="8306"/>
      </w:tabs>
    </w:pPr>
  </w:p>
</w:hd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w:abstractNum w:abstractNumId="0">
    <w:nsid w:val="7EAD097D"/>
    <w:multiLevelType w:val="multilevel"/>
    <w:tmpl w:val="7EAD097D"/>
    <w:lvl w:ilvl="0">
      <w:start w:val="1"/>
      <w:numFmt w:val="chineseCountingThousand"/>
      <w:lvlRestart w:val="0"/>
      <w:pStyle w:val="1"/>
      <w:suff w:val="space"/>
      <w:lvlText w:val="第%1章"/>
      <w:lvlJc w:val="left"/>
      <w:pPr>
        <w:tabs>
          <w:tab w:val="num" w:pos="0"/>
        </w:tabs>
        <w:ind w:left="0" w:hanging="0"/>
      </w:pPr>
      <w:rPr>
        <w:rFonts w:ascii="Arial Narrow" w:hAnsi="Arial Narrow" w:eastAsia="黑体" w:hint="default"/>
        <w:b w:val="0"/>
        <w:i w:val="0"/>
        <w:snapToGrid w:val="0"/>
        <w:vanish w:val="0"/>
        <w:color w:val="auto"/>
        <w:spacing w:val="0"/>
        <w:w w:val="100"/>
        <w:kern w:val="0"/>
        <w:position w:val="0"/>
        <w:sz w:val="36"/>
        <w:szCs w:val="36"/>
        <w:u w:val="none"/>
      </w:rPr>
    </w:lvl>
    <w:lvl w:ilvl="1">
      <w:start w:val="1"/>
      <w:numFmt w:val="japaneseCounting"/>
      <w:suff w:val="nothing"/>
      <w:lvlText w:val="%2、"/>
      <w:lvlJc w:val="left"/>
      <w:pPr>
        <w:tabs>
          <w:tab w:val="num" w:pos="0"/>
        </w:tabs>
        <w:ind w:left="1134" w:hanging="0"/>
      </w:pPr>
      <w:rPr>
        <w:rFonts w:ascii="Times New Roman" w:hAnsi="Times New Roman" w:eastAsia="黑体" w:cs="Times New Roman"/>
        <w:b w:val="0"/>
        <w:i w:val="0"/>
        <w:snapToGrid w:val="0"/>
        <w:spacing w:val="0"/>
        <w:w w:val="100"/>
        <w:kern w:val="0"/>
        <w:position w:val="0"/>
        <w:sz w:val="30"/>
        <w:szCs w:val="30"/>
      </w:rPr>
    </w:lvl>
    <w:lvl w:ilvl="2">
      <w:start w:val="1"/>
      <w:numFmt w:val="chineseCountingThousand"/>
      <w:pStyle w:val="3"/>
      <w:suff w:val="nothing"/>
      <w:lvlText w:val="（%3）"/>
      <w:lvlJc w:val="left"/>
      <w:pPr>
        <w:tabs>
          <w:tab w:val="num" w:pos="0"/>
        </w:tabs>
        <w:ind w:left="284" w:hanging="0"/>
      </w:pPr>
      <w:rPr>
        <w:rFonts w:ascii="黑体" w:hAnsi="黑体" w:eastAsia="黑体" w:hint="eastAsia"/>
        <w:b w:val="0"/>
        <w:i w:val="0"/>
        <w:caps w:val="0"/>
        <w:smallCaps w:val="0"/>
        <w:strike w:val="0"/>
        <w:dstrike w:val="0"/>
        <w:snapToGrid w:val="0"/>
        <w:vanish w:val="0"/>
        <w:color w:val="000000"/>
        <w:spacing w:val="0"/>
        <w:w w:val="100"/>
        <w:kern w:val="0"/>
        <w:position w:val="0"/>
        <w:sz w:val="30"/>
        <w:szCs w:val="30"/>
        <w:vertAlign w:val="baseline"/>
      </w:rPr>
    </w:lvl>
    <w:lvl w:ilvl="3">
      <w:start w:val="1"/>
      <w:numFmt w:val="decimal"/>
      <w:pStyle w:val="4"/>
      <w:isLgl/>
      <w:suff w:val="nothing"/>
      <w:lvlText w:val="%4、"/>
      <w:lvlJc w:val="left"/>
      <w:pPr>
        <w:tabs>
          <w:tab w:val="num" w:pos="0"/>
        </w:tabs>
        <w:ind w:left="0" w:hanging="0"/>
      </w:pPr>
      <w:rPr>
        <w:rFonts w:ascii="Times New Roman" w:hAnsi="Times New Roman" w:eastAsia="楷体_GB2312" w:hint="default"/>
        <w:b/>
        <w:i w:val="0"/>
        <w:snapToGrid w:val="0"/>
        <w:spacing w:val="0"/>
        <w:w w:val="100"/>
        <w:kern w:val="0"/>
        <w:position w:val="0"/>
        <w:sz w:val="28"/>
        <w:szCs w:val="28"/>
      </w:rPr>
    </w:lvl>
    <w:lvl w:ilvl="4">
      <w:start w:val="1"/>
      <w:numFmt w:val="decimalEnclosedCircle"/>
      <w:pStyle w:val="5"/>
      <w:suff w:val="nothing"/>
      <w:lvlText w:val="%5"/>
      <w:lvlJc w:val="left"/>
      <w:pPr>
        <w:tabs>
          <w:tab w:val="num" w:pos="0"/>
        </w:tabs>
        <w:ind w:left="0" w:hanging="0"/>
      </w:pPr>
      <w:rPr>
        <w:rFonts w:ascii="Arial Narrow" w:hAnsi="Arial Narrow" w:eastAsia="仿宋_GB2312" w:hint="default"/>
        <w:b/>
        <w:i w:val="0"/>
        <w:snapToGrid w:val="0"/>
        <w:spacing w:val="0"/>
        <w:w w:val="100"/>
        <w:kern w:val="0"/>
        <w:position w:val="0"/>
        <w:sz w:val="24"/>
      </w:rPr>
    </w:lvl>
    <w:lvl w:ilvl="5">
      <w:start w:val="1"/>
      <w:numFmt w:val="decimal"/>
      <w:isLgl/>
      <w:lvlText w:val="%1.%2.%3.%4.%5.%6."/>
      <w:lvlJc w:val="left"/>
      <w:pPr>
        <w:tabs>
          <w:tab w:val="num" w:pos="0"/>
        </w:tabs>
        <w:ind w:left="1701" w:hanging="1701"/>
      </w:pPr>
      <w:rPr>
        <w:rFonts w:ascii="Arial Narrow" w:hAnsi="Arial Narrow" w:eastAsia="黑体" w:hint="default"/>
        <w:b/>
        <w:i w:val="0"/>
        <w:snapToGrid w:val="0"/>
        <w:spacing w:val="0"/>
        <w:w w:val="100"/>
        <w:kern w:val="0"/>
        <w:position w:val="0"/>
        <w:sz w:val="24"/>
      </w:rPr>
    </w:lvl>
    <w:lvl w:ilvl="6">
      <w:start w:val="1"/>
      <w:numFmt w:val="decimal"/>
      <w:isLgl/>
      <w:lvlText w:val="%1.%2.%3.%4.%5.%6.%7."/>
      <w:lvlJc w:val="left"/>
      <w:pPr>
        <w:tabs>
          <w:tab w:val="num" w:pos="0"/>
        </w:tabs>
        <w:ind w:left="1296" w:hanging="1296"/>
      </w:pPr>
      <w:rPr>
        <w:rFonts w:ascii="Arial Narrow" w:hAnsi="Arial Narrow" w:eastAsia="宋体" w:hint="default"/>
        <w:b w:val="0"/>
        <w:i w:val="0"/>
        <w:snapToGrid w:val="0"/>
        <w:kern w:val="0"/>
        <w:sz w:val="24"/>
      </w:rPr>
    </w:lvl>
    <w:lvl w:ilvl="7">
      <w:start w:val="1"/>
      <w:numFmt w:val="decimal"/>
      <w:isLgl/>
      <w:lvlText w:val="%1.%2.%3.%4.%5.%6.%7.%8."/>
      <w:lvlJc w:val="left"/>
      <w:pPr>
        <w:tabs>
          <w:tab w:val="num" w:pos="0"/>
        </w:tabs>
        <w:ind w:left="1440" w:hanging="1440"/>
      </w:pPr>
      <w:rPr>
        <w:rFonts w:ascii="Arial Narrow" w:hAnsi="Arial Narrow" w:eastAsia="宋体" w:hint="default"/>
        <w:b w:val="0"/>
        <w:i w:val="0"/>
        <w:snapToGrid w:val="0"/>
        <w:kern w:val="0"/>
        <w:sz w:val="24"/>
      </w:rPr>
    </w:lvl>
    <w:lvl w:ilvl="8">
      <w:start w:val="1"/>
      <w:numFmt w:val="decimal"/>
      <w:isLgl/>
      <w:lvlText w:val="%1.%2.%3.%4.%5.%6.%7.%8.%9."/>
      <w:lvlJc w:val="left"/>
      <w:pPr>
        <w:tabs>
          <w:tab w:val="num" w:pos="0"/>
        </w:tabs>
        <w:ind w:left="1584" w:hanging="1584"/>
      </w:pPr>
      <w:rPr>
        <w:rFonts w:ascii="Arial Narrow" w:hAnsi="Arial Narrow" w:eastAsia="宋体" w:hint="default"/>
        <w:snapToGrid w:val="0"/>
        <w:kern w:val="0"/>
      </w:rPr>
    </w:lvl>
  </w:abstractNum>
  <w:abstractNum w:abstractNumId="1">
    <w:nsid w:val="FFFFFF7F"/>
    <w:multiLevelType w:val="singleLevel"/>
    <w:tmpl w:val="FFFFFF7F"/>
    <w:lvl w:ilvl="0">
      <w:start w:val="1"/>
      <w:numFmt w:val="decimal"/>
      <w:lvlRestart w:val="0"/>
      <w:pStyle w:val="20"/>
      <w:lvlText w:val="%1."/>
      <w:lvlJc w:val="left"/>
      <w:pPr>
        <w:tabs>
          <w:tab w:val="num" w:pos="0"/>
        </w:tabs>
        <w:ind w:left="780" w:hanging="360"/>
      </w:pPr>
    </w:lvl>
  </w:abstractNum>
  <w:abstractNum w:abstractNumId="2">
    <w:nsid w:val="FFFFFF81"/>
    <w:multiLevelType w:val="singleLevel"/>
    <w:tmpl w:val="FFFFFF81"/>
    <w:lvl w:ilvl="0">
      <w:start w:val="1"/>
      <w:numFmt w:val="bullet"/>
      <w:lvlRestart w:val="0"/>
      <w:pStyle w:val="22"/>
      <w:lvlText w:val=""/>
      <w:lvlJc w:val="left"/>
      <w:pPr>
        <w:tabs>
          <w:tab w:val="num" w:pos="0"/>
        </w:tabs>
        <w:ind w:left="1620" w:hanging="360"/>
      </w:pPr>
      <w:rPr>
        <w:rFonts w:ascii="Wingdings" w:hAnsi="Wingdings" w:hint="default"/>
      </w:rPr>
    </w:lvl>
  </w:abstractNum>
  <w:abstractNum w:abstractNumId="3">
    <w:nsid w:val="FFFFFF88"/>
    <w:multiLevelType w:val="singleLevel"/>
    <w:tmpl w:val="FFFFFF88"/>
    <w:lvl w:ilvl="0">
      <w:start w:val="1"/>
      <w:numFmt w:val="decimal"/>
      <w:lvlRestart w:val="0"/>
      <w:pStyle w:val="24"/>
      <w:lvlText w:val="%1."/>
      <w:lvlJc w:val="left"/>
      <w:pPr>
        <w:tabs>
          <w:tab w:val="num" w:pos="0"/>
        </w:tabs>
        <w:ind w:left="360" w:hanging="360"/>
      </w:pPr>
    </w:lvl>
  </w:abstractNum>
  <w:abstractNum w:abstractNumId="4">
    <w:nsid w:val="FFFFFF89"/>
    <w:multiLevelType w:val="singleLevel"/>
    <w:tmpl w:val="FFFFFF89"/>
    <w:lvl w:ilvl="0">
      <w:start w:val="1"/>
      <w:numFmt w:val="bullet"/>
      <w:lvlRestart w:val="0"/>
      <w:pStyle w:val="27"/>
      <w:lvlText w:val=""/>
      <w:lvlJc w:val="left"/>
      <w:pPr>
        <w:tabs>
          <w:tab w:val="num" w:pos="0"/>
        </w:tabs>
        <w:ind w:left="360" w:hanging="360"/>
      </w:pPr>
      <w:rPr>
        <w:rFonts w:ascii="Wingdings" w:hAnsi="Wingdings" w:hint="default"/>
      </w:rPr>
    </w:lvl>
  </w:abstractNum>
  <w:abstractNum w:abstractNumId="5">
    <w:nsid w:val="FFFFFF82"/>
    <w:multiLevelType w:val="singleLevel"/>
    <w:tmpl w:val="FFFFFF82"/>
    <w:lvl w:ilvl="0">
      <w:start w:val="1"/>
      <w:numFmt w:val="bullet"/>
      <w:lvlRestart w:val="0"/>
      <w:pStyle w:val="34"/>
      <w:lvlText w:val=""/>
      <w:lvlJc w:val="left"/>
      <w:pPr>
        <w:tabs>
          <w:tab w:val="num" w:pos="0"/>
        </w:tabs>
        <w:ind w:left="1200" w:hanging="360"/>
      </w:pPr>
      <w:rPr>
        <w:rFonts w:ascii="Wingdings" w:hAnsi="Wingdings" w:hint="default"/>
      </w:rPr>
    </w:lvl>
  </w:abstractNum>
  <w:abstractNum w:abstractNumId="6">
    <w:nsid w:val="FFFFFF7E"/>
    <w:multiLevelType w:val="singleLevel"/>
    <w:tmpl w:val="FFFFFF7E"/>
    <w:lvl w:ilvl="0">
      <w:start w:val="1"/>
      <w:numFmt w:val="decimal"/>
      <w:lvlRestart w:val="0"/>
      <w:pStyle w:val="36"/>
      <w:lvlText w:val="%1."/>
      <w:lvlJc w:val="left"/>
      <w:pPr>
        <w:tabs>
          <w:tab w:val="num" w:pos="0"/>
        </w:tabs>
        <w:ind w:left="1200" w:hanging="360"/>
      </w:pPr>
    </w:lvl>
  </w:abstractNum>
  <w:abstractNum w:abstractNumId="7">
    <w:nsid w:val="FFFFFF83"/>
    <w:multiLevelType w:val="singleLevel"/>
    <w:tmpl w:val="FFFFFF83"/>
    <w:lvl w:ilvl="0">
      <w:start w:val="1"/>
      <w:numFmt w:val="bullet"/>
      <w:lvlRestart w:val="0"/>
      <w:pStyle w:val="40"/>
      <w:lvlText w:val=""/>
      <w:lvlJc w:val="left"/>
      <w:pPr>
        <w:tabs>
          <w:tab w:val="num" w:pos="0"/>
        </w:tabs>
        <w:ind w:left="780" w:hanging="360"/>
      </w:pPr>
      <w:rPr>
        <w:rFonts w:ascii="Wingdings" w:hAnsi="Wingdings" w:hint="default"/>
      </w:rPr>
    </w:lvl>
  </w:abstractNum>
  <w:abstractNum w:abstractNumId="8">
    <w:nsid w:val="FFFFFF80"/>
    <w:multiLevelType w:val="singleLevel"/>
    <w:tmpl w:val="FFFFFF80"/>
    <w:lvl w:ilvl="0">
      <w:start w:val="1"/>
      <w:numFmt w:val="bullet"/>
      <w:lvlRestart w:val="0"/>
      <w:pStyle w:val="45"/>
      <w:lvlText w:val=""/>
      <w:lvlJc w:val="left"/>
      <w:pPr>
        <w:tabs>
          <w:tab w:val="num" w:pos="0"/>
        </w:tabs>
        <w:ind w:left="2040" w:hanging="360"/>
      </w:pPr>
      <w:rPr>
        <w:rFonts w:ascii="Wingdings" w:hAnsi="Wingdings" w:hint="default"/>
      </w:rPr>
    </w:lvl>
  </w:abstractNum>
  <w:abstractNum w:abstractNumId="9">
    <w:nsid w:val="FFFFFF7D"/>
    <w:multiLevelType w:val="singleLevel"/>
    <w:tmpl w:val="FFFFFF7D"/>
    <w:lvl w:ilvl="0">
      <w:start w:val="1"/>
      <w:numFmt w:val="decimal"/>
      <w:lvlRestart w:val="0"/>
      <w:pStyle w:val="46"/>
      <w:lvlText w:val="%1."/>
      <w:lvlJc w:val="left"/>
      <w:pPr>
        <w:tabs>
          <w:tab w:val="num" w:pos="0"/>
        </w:tabs>
        <w:ind w:left="1620" w:hanging="360"/>
      </w:pPr>
    </w:lvl>
  </w:abstractNum>
  <w:abstractNum w:abstractNumId="10">
    <w:nsid w:val="FFFFFF7C"/>
    <w:multiLevelType w:val="singleLevel"/>
    <w:tmpl w:val="FFFFFF7C"/>
    <w:lvl w:ilvl="0">
      <w:start w:val="1"/>
      <w:numFmt w:val="decimal"/>
      <w:lvlRestart w:val="0"/>
      <w:pStyle w:val="61"/>
      <w:lvlText w:val="%1."/>
      <w:lvlJc w:val="left"/>
      <w:pPr>
        <w:tabs>
          <w:tab w:val="num" w:pos="0"/>
        </w:tabs>
        <w:ind w:left="2040" w:hanging="360"/>
      </w:pPr>
    </w:lvl>
  </w:abstractNum>
  <w:abstractNum w:abstractNumId="11">
    <w:nsid w:val="68A305C4"/>
    <w:multiLevelType w:val="multilevel"/>
    <w:tmpl w:val="68A305C4"/>
    <w:lvl w:ilvl="0">
      <w:start w:val="1"/>
      <w:numFmt w:val="japaneseCounting"/>
      <w:lvlRestart w:val="0"/>
      <w:pStyle w:val="99"/>
      <w:lvlText w:val="（%1）"/>
      <w:lvlJc w:val="left"/>
      <w:pPr>
        <w:tabs>
          <w:tab w:val="num" w:pos="0"/>
        </w:tabs>
        <w:ind w:left="540" w:hanging="0"/>
      </w:pPr>
      <w:rPr>
        <w:rFonts w:eastAsia="黑体" w:hint="eastAsia"/>
        <w:sz w:val="28"/>
        <w:szCs w:val="28"/>
      </w:rPr>
    </w:lvl>
    <w:lvl w:ilvl="1">
      <w:start w:val="1"/>
      <w:numFmt w:val="lowerLetter"/>
      <w:lvlText w:val="%2)"/>
      <w:lvlJc w:val="left"/>
      <w:pPr>
        <w:tabs>
          <w:tab w:val="num" w:pos="0"/>
        </w:tabs>
        <w:ind w:left="1380" w:hanging="420"/>
      </w:pPr>
    </w:lvl>
    <w:lvl w:ilvl="2">
      <w:start w:val="1"/>
      <w:numFmt w:val="lowerRoman"/>
      <w:lvlText w:val="%3."/>
      <w:lvlJc w:val="right"/>
      <w:pPr>
        <w:tabs>
          <w:tab w:val="num" w:pos="0"/>
        </w:tabs>
        <w:ind w:left="1800" w:hanging="420"/>
      </w:pPr>
    </w:lvl>
    <w:lvl w:ilvl="3">
      <w:start w:val="1"/>
      <w:numFmt w:val="decimal"/>
      <w:lvlText w:val="%4."/>
      <w:lvlJc w:val="left"/>
      <w:pPr>
        <w:tabs>
          <w:tab w:val="num" w:pos="0"/>
        </w:tabs>
        <w:ind w:left="2220" w:hanging="420"/>
      </w:pPr>
    </w:lvl>
    <w:lvl w:ilvl="4">
      <w:start w:val="1"/>
      <w:numFmt w:val="lowerLetter"/>
      <w:lvlText w:val="%5)"/>
      <w:lvlJc w:val="left"/>
      <w:pPr>
        <w:tabs>
          <w:tab w:val="num" w:pos="0"/>
        </w:tabs>
        <w:ind w:left="2640" w:hanging="420"/>
      </w:pPr>
    </w:lvl>
    <w:lvl w:ilvl="5">
      <w:start w:val="1"/>
      <w:numFmt w:val="lowerRoman"/>
      <w:lvlText w:val="%6."/>
      <w:lvlJc w:val="right"/>
      <w:pPr>
        <w:tabs>
          <w:tab w:val="num" w:pos="0"/>
        </w:tabs>
        <w:ind w:left="3060" w:hanging="420"/>
      </w:pPr>
    </w:lvl>
    <w:lvl w:ilvl="6">
      <w:start w:val="1"/>
      <w:numFmt w:val="decimal"/>
      <w:lvlText w:val="%7."/>
      <w:lvlJc w:val="left"/>
      <w:pPr>
        <w:tabs>
          <w:tab w:val="num" w:pos="0"/>
        </w:tabs>
        <w:ind w:left="3480" w:hanging="420"/>
      </w:pPr>
    </w:lvl>
    <w:lvl w:ilvl="7">
      <w:start w:val="1"/>
      <w:numFmt w:val="lowerLetter"/>
      <w:lvlText w:val="%8)"/>
      <w:lvlJc w:val="left"/>
      <w:pPr>
        <w:tabs>
          <w:tab w:val="num" w:pos="0"/>
        </w:tabs>
        <w:ind w:left="3900" w:hanging="420"/>
      </w:pPr>
    </w:lvl>
    <w:lvl w:ilvl="8">
      <w:start w:val="1"/>
      <w:numFmt w:val="lowerRoman"/>
      <w:lvlText w:val="%9."/>
      <w:lvlJc w:val="right"/>
      <w:pPr>
        <w:tabs>
          <w:tab w:val="num" w:pos="0"/>
        </w:tabs>
        <w:ind w:left="4320" w:hanging="420"/>
      </w:pPr>
    </w:lvl>
  </w:abstractNum>
  <w:abstractNum w:abstractNumId="12">
    <w:nsid w:val="51420B6F"/>
    <w:multiLevelType w:val="multilevel"/>
    <w:tmpl w:val="51420B6F"/>
    <w:lvl w:ilvl="0">
      <w:start w:val="1"/>
      <w:numFmt w:val="bullet"/>
      <w:lvlRestart w:val="0"/>
      <w:pStyle w:val="183"/>
      <w:lvlText w:val=""/>
      <w:lvlJc w:val="left"/>
      <w:pPr>
        <w:tabs>
          <w:tab w:val="num" w:pos="0"/>
        </w:tabs>
        <w:ind w:left="1020" w:hanging="420"/>
      </w:pPr>
      <w:rPr>
        <w:rFonts w:ascii="Wingdings" w:hAnsi="Wingdings" w:hint="default"/>
      </w:rPr>
    </w:lvl>
    <w:lvl w:ilvl="1">
      <w:start w:val="1"/>
      <w:numFmt w:val="bullet"/>
      <w:lvlText w:val=""/>
      <w:lvlJc w:val="left"/>
      <w:pPr>
        <w:tabs>
          <w:tab w:val="num" w:pos="0"/>
        </w:tabs>
        <w:ind w:left="1440" w:hanging="420"/>
      </w:pPr>
      <w:rPr>
        <w:rFonts w:ascii="Wingdings" w:hAnsi="Wingdings" w:hint="default"/>
      </w:rPr>
    </w:lvl>
    <w:lvl w:ilvl="2">
      <w:start w:val="1"/>
      <w:numFmt w:val="bullet"/>
      <w:lvlText w:val=""/>
      <w:lvlJc w:val="left"/>
      <w:pPr>
        <w:tabs>
          <w:tab w:val="num" w:pos="0"/>
        </w:tabs>
        <w:ind w:left="1860" w:hanging="420"/>
      </w:pPr>
      <w:rPr>
        <w:rFonts w:ascii="Wingdings" w:hAnsi="Wingdings" w:hint="default"/>
      </w:rPr>
    </w:lvl>
    <w:lvl w:ilvl="3">
      <w:start w:val="1"/>
      <w:numFmt w:val="bullet"/>
      <w:lvlText w:val=""/>
      <w:lvlJc w:val="left"/>
      <w:pPr>
        <w:tabs>
          <w:tab w:val="num" w:pos="0"/>
        </w:tabs>
        <w:ind w:left="2280" w:hanging="420"/>
      </w:pPr>
      <w:rPr>
        <w:rFonts w:ascii="Wingdings" w:hAnsi="Wingdings" w:hint="default"/>
      </w:rPr>
    </w:lvl>
    <w:lvl w:ilvl="4">
      <w:start w:val="1"/>
      <w:numFmt w:val="bullet"/>
      <w:lvlText w:val=""/>
      <w:lvlJc w:val="left"/>
      <w:pPr>
        <w:tabs>
          <w:tab w:val="num" w:pos="0"/>
        </w:tabs>
        <w:ind w:left="2700" w:hanging="420"/>
      </w:pPr>
      <w:rPr>
        <w:rFonts w:ascii="Wingdings" w:hAnsi="Wingdings" w:hint="default"/>
      </w:rPr>
    </w:lvl>
    <w:lvl w:ilvl="5">
      <w:start w:val="1"/>
      <w:numFmt w:val="bullet"/>
      <w:lvlText w:val=""/>
      <w:lvlJc w:val="left"/>
      <w:pPr>
        <w:tabs>
          <w:tab w:val="num" w:pos="0"/>
        </w:tabs>
        <w:ind w:left="3120" w:hanging="420"/>
      </w:pPr>
      <w:rPr>
        <w:rFonts w:ascii="Wingdings" w:hAnsi="Wingdings" w:hint="default"/>
      </w:rPr>
    </w:lvl>
    <w:lvl w:ilvl="6">
      <w:start w:val="1"/>
      <w:numFmt w:val="bullet"/>
      <w:lvlText w:val=""/>
      <w:lvlJc w:val="left"/>
      <w:pPr>
        <w:tabs>
          <w:tab w:val="num" w:pos="0"/>
        </w:tabs>
        <w:ind w:left="3540" w:hanging="420"/>
      </w:pPr>
      <w:rPr>
        <w:rFonts w:ascii="Wingdings" w:hAnsi="Wingdings" w:hint="default"/>
      </w:rPr>
    </w:lvl>
    <w:lvl w:ilvl="7">
      <w:start w:val="1"/>
      <w:numFmt w:val="bullet"/>
      <w:lvlText w:val=""/>
      <w:lvlJc w:val="left"/>
      <w:pPr>
        <w:tabs>
          <w:tab w:val="num" w:pos="0"/>
        </w:tabs>
        <w:ind w:left="3960" w:hanging="420"/>
      </w:pPr>
      <w:rPr>
        <w:rFonts w:ascii="Wingdings" w:hAnsi="Wingdings" w:hint="default"/>
      </w:rPr>
    </w:lvl>
    <w:lvl w:ilvl="8">
      <w:start w:val="1"/>
      <w:numFmt w:val="bullet"/>
      <w:lvlText w:val=""/>
      <w:lvlJc w:val="left"/>
      <w:pPr>
        <w:tabs>
          <w:tab w:val="num" w:pos="0"/>
        </w:tabs>
        <w:ind w:left="4380" w:hanging="420"/>
      </w:pPr>
      <w:rPr>
        <w:rFonts w:ascii="Wingdings" w:hAnsi="Wingdings" w:hint="default"/>
      </w:rPr>
    </w:lvl>
  </w:abstractNum>
  <w:abstractNum w:abstractNumId="13">
    <w:nsid w:val="088E65CE"/>
    <w:multiLevelType w:val="multilevel"/>
    <w:tmpl w:val="088E65CE"/>
    <w:lvl w:ilvl="0">
      <w:start w:val="1"/>
      <w:numFmt w:val="japaneseCounting"/>
      <w:lvlRestart w:val="0"/>
      <w:pStyle w:val="188"/>
      <w:lvlText w:val="（%1）"/>
      <w:lvlJc w:val="left"/>
      <w:pPr>
        <w:tabs>
          <w:tab w:val="num" w:pos="0"/>
        </w:tabs>
        <w:ind w:left="720" w:hanging="720"/>
      </w:pPr>
      <w:rPr>
        <w:rFonts w:eastAsia="黑体" w:hint="eastAsia"/>
        <w:sz w:val="28"/>
        <w:szCs w:val="28"/>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nsid w:val="3BD47E8F"/>
    <w:multiLevelType w:val="multilevel"/>
    <w:tmpl w:val="3BD47E8F"/>
    <w:lvl w:ilvl="0">
      <w:start w:val="1"/>
      <w:numFmt w:val="decimal"/>
      <w:lvlRestart w:val="0"/>
      <w:lvlText w:val="%1."/>
      <w:lvlJc w:val="left"/>
      <w:pPr>
        <w:tabs>
          <w:tab w:val="num" w:pos="0"/>
        </w:tabs>
        <w:ind w:left="425" w:hanging="425"/>
      </w:pPr>
      <w:rPr>
        <w:rFonts w:hint="eastAsia"/>
      </w:rPr>
    </w:lvl>
    <w:lvl w:ilvl="1">
      <w:start w:val="1"/>
      <w:numFmt w:val="decimal"/>
      <w:lvlText w:val="%1.%2."/>
      <w:lvlJc w:val="left"/>
      <w:pPr>
        <w:tabs>
          <w:tab w:val="num" w:pos="0"/>
        </w:tabs>
        <w:ind w:left="567" w:hanging="567"/>
      </w:pPr>
      <w:rPr>
        <w:rFonts w:hint="eastAsia"/>
      </w:rPr>
    </w:lvl>
    <w:lvl w:ilvl="2">
      <w:start w:val="1"/>
      <w:numFmt w:val="decimal"/>
      <w:pStyle w:val="203"/>
      <w:lvlText w:val="1.4.%3"/>
      <w:lvlJc w:val="left"/>
      <w:pPr>
        <w:tabs>
          <w:tab w:val="num" w:pos="0"/>
        </w:tabs>
        <w:ind w:left="709" w:hanging="709"/>
      </w:pPr>
      <w:rPr>
        <w:rFonts w:hint="eastAsia"/>
        <w:sz w:val="28"/>
        <w:szCs w:val="28"/>
      </w:rPr>
    </w:lvl>
    <w:lvl w:ilvl="3">
      <w:start w:val="1"/>
      <w:numFmt w:val="decimal"/>
      <w:lvlText w:val="1.%4"/>
      <w:lvlJc w:val="left"/>
      <w:pPr>
        <w:tabs>
          <w:tab w:val="num" w:pos="0"/>
        </w:tabs>
        <w:ind w:left="851" w:hanging="851"/>
      </w:pPr>
      <w:rPr>
        <w:rFonts w:hint="eastAsia"/>
      </w:rPr>
    </w:lvl>
    <w:lvl w:ilvl="4">
      <w:start w:val="1"/>
      <w:numFmt w:val="decimal"/>
      <w:lvlText w:val="%1.%2.%3.%4.%5."/>
      <w:lvlJc w:val="left"/>
      <w:pPr>
        <w:tabs>
          <w:tab w:val="num" w:pos="0"/>
        </w:tabs>
        <w:ind w:left="992" w:hanging="992"/>
      </w:pPr>
      <w:rPr>
        <w:rFonts w:hint="eastAsia"/>
      </w:rPr>
    </w:lvl>
    <w:lvl w:ilvl="5">
      <w:start w:val="1"/>
      <w:numFmt w:val="decimal"/>
      <w:lvlText w:val="%1.%2.%3.%4.%5.%6."/>
      <w:lvlJc w:val="left"/>
      <w:pPr>
        <w:tabs>
          <w:tab w:val="num" w:pos="0"/>
        </w:tabs>
        <w:ind w:left="1134" w:hanging="1134"/>
      </w:pPr>
      <w:rPr>
        <w:rFonts w:hint="eastAsia"/>
      </w:rPr>
    </w:lvl>
    <w:lvl w:ilvl="6">
      <w:start w:val="1"/>
      <w:numFmt w:val="decimal"/>
      <w:lvlText w:val="%1.%2.%3.%4.%5.%6.%7."/>
      <w:lvlJc w:val="left"/>
      <w:pPr>
        <w:tabs>
          <w:tab w:val="num" w:pos="0"/>
        </w:tabs>
        <w:ind w:left="1276" w:hanging="1276"/>
      </w:pPr>
      <w:rPr>
        <w:rFonts w:hint="eastAsia"/>
      </w:rPr>
    </w:lvl>
    <w:lvl w:ilvl="7">
      <w:start w:val="1"/>
      <w:numFmt w:val="decimal"/>
      <w:lvlText w:val="%1.%2.%3.%4.%5.%6.%7.%8."/>
      <w:lvlJc w:val="left"/>
      <w:pPr>
        <w:tabs>
          <w:tab w:val="num" w:pos="0"/>
        </w:tabs>
        <w:ind w:left="1418" w:hanging="1418"/>
      </w:pPr>
      <w:rPr>
        <w:rFonts w:hint="eastAsia"/>
      </w:rPr>
    </w:lvl>
    <w:lvl w:ilvl="8">
      <w:start w:val="1"/>
      <w:numFmt w:val="decimal"/>
      <w:lvlText w:val="%1.%2.%3.%4.%5.%6.%7.%8.%9."/>
      <w:lvlJc w:val="left"/>
      <w:pPr>
        <w:tabs>
          <w:tab w:val="num" w:pos="0"/>
        </w:tabs>
        <w:ind w:left="1559" w:hanging="1559"/>
      </w:pPr>
      <w:rPr>
        <w:rFonts w:hint="eastAsia"/>
      </w:rPr>
    </w:lvl>
  </w:abstractNum>
  <w:abstractNum w:abstractNumId="15">
    <w:nsid w:val="045B4B2E"/>
    <w:multiLevelType w:val="multilevel"/>
    <w:tmpl w:val="045B4B2E"/>
    <w:lvl w:ilvl="0">
      <w:start w:val="1"/>
      <w:numFmt w:val="decimal"/>
      <w:lvlRestart w:val="0"/>
      <w:lvlText w:val="（%1）"/>
      <w:lvlJc w:val="left"/>
      <w:pPr>
        <w:tabs>
          <w:tab w:val="num" w:pos="0"/>
        </w:tabs>
        <w:ind w:left="720" w:hanging="720"/>
      </w:pPr>
      <w:rPr>
        <w:rFonts w:hint="default"/>
        <w:b/>
        <w:i w:val="0"/>
        <w:snapToGrid w:val="0"/>
        <w:color w:val="auto"/>
        <w:spacing w:val="0"/>
        <w:w w:val="100"/>
        <w:kern w:val="0"/>
        <w:position w:val="0"/>
        <w:sz w:val="28"/>
        <w:szCs w:val="28"/>
        <w:u w:val="none"/>
      </w:rPr>
    </w:lvl>
    <w:lvl w:ilvl="1">
      <w:start w:val="1"/>
      <w:numFmt w:val="chineseCountingThousand"/>
      <w:suff w:val="nothing"/>
      <w:lvlText w:val="（%2）"/>
      <w:lvlJc w:val="left"/>
      <w:pPr>
        <w:tabs>
          <w:tab w:val="num" w:pos="0"/>
        </w:tabs>
        <w:ind w:left="0" w:hanging="0"/>
      </w:pPr>
      <w:rPr>
        <w:rFonts w:ascii="Arial Narrow" w:hAnsi="Arial Narrow" w:eastAsia="黑体" w:hint="default"/>
        <w:b/>
        <w:i w:val="0"/>
        <w:snapToGrid w:val="0"/>
        <w:spacing w:val="0"/>
        <w:w w:val="100"/>
        <w:kern w:val="0"/>
        <w:position w:val="0"/>
        <w:sz w:val="30"/>
        <w:szCs w:val="30"/>
      </w:rPr>
    </w:lvl>
    <w:lvl w:ilvl="2">
      <w:start w:val="1"/>
      <w:numFmt w:val="decimal"/>
      <w:isLgl/>
      <w:suff w:val="nothing"/>
      <w:lvlText w:val="%3、"/>
      <w:lvlJc w:val="left"/>
      <w:pPr>
        <w:tabs>
          <w:tab w:val="num" w:pos="0"/>
        </w:tabs>
        <w:ind w:left="0" w:hanging="0"/>
      </w:pPr>
      <w:rPr>
        <w:rFonts w:ascii="黑体" w:hAnsi="黑体" w:eastAsia="黑体" w:hint="eastAsia"/>
        <w:b/>
        <w:i w:val="0"/>
        <w:snapToGrid w:val="0"/>
        <w:spacing w:val="0"/>
        <w:w w:val="100"/>
        <w:kern w:val="0"/>
        <w:position w:val="0"/>
        <w:sz w:val="28"/>
        <w:szCs w:val="28"/>
      </w:rPr>
    </w:lvl>
    <w:lvl w:ilvl="3">
      <w:start w:val="1"/>
      <w:numFmt w:val="decimal"/>
      <w:isLgl/>
      <w:suff w:val="nothing"/>
      <w:lvlText w:val="（%4）"/>
      <w:lvlJc w:val="left"/>
      <w:pPr>
        <w:tabs>
          <w:tab w:val="num" w:pos="0"/>
        </w:tabs>
        <w:ind w:left="1620" w:hanging="0"/>
      </w:pPr>
      <w:rPr>
        <w:rFonts w:ascii="华文仿宋" w:hAnsi="华文仿宋" w:eastAsia="华文仿宋" w:hint="eastAsia"/>
        <w:b/>
        <w:i w:val="0"/>
        <w:snapToGrid w:val="0"/>
        <w:spacing w:val="0"/>
        <w:w w:val="100"/>
        <w:kern w:val="0"/>
        <w:position w:val="0"/>
        <w:sz w:val="28"/>
        <w:szCs w:val="28"/>
      </w:rPr>
    </w:lvl>
    <w:lvl w:ilvl="4">
      <w:start w:val="1"/>
      <w:numFmt w:val="decimal"/>
      <w:pStyle w:val="230"/>
      <w:lvlText w:val="%5)"/>
      <w:lvlJc w:val="left"/>
      <w:pPr>
        <w:tabs>
          <w:tab w:val="num" w:pos="0"/>
        </w:tabs>
        <w:ind w:left="0" w:hanging="0"/>
      </w:pPr>
      <w:rPr>
        <w:rFonts w:ascii="Arial" w:hAnsi="Arial" w:eastAsia="宋体" w:hint="default"/>
        <w:b w:val="0"/>
        <w:i w:val="0"/>
        <w:snapToGrid w:val="0"/>
        <w:spacing w:val="0"/>
        <w:w w:val="100"/>
        <w:kern w:val="0"/>
        <w:position w:val="0"/>
        <w:sz w:val="24"/>
        <w:szCs w:val="24"/>
      </w:rPr>
    </w:lvl>
    <w:lvl w:ilvl="5">
      <w:start w:val="1"/>
      <w:numFmt w:val="decimal"/>
      <w:isLgl/>
      <w:lvlText w:val="%1.%2.%3.%4.%5.%6."/>
      <w:lvlJc w:val="left"/>
      <w:pPr>
        <w:tabs>
          <w:tab w:val="num" w:pos="0"/>
        </w:tabs>
        <w:ind w:left="1701" w:hanging="1701"/>
      </w:pPr>
      <w:rPr>
        <w:rFonts w:ascii="Arial Narrow" w:hAnsi="Arial Narrow" w:eastAsia="黑体" w:hint="default"/>
        <w:b/>
        <w:i w:val="0"/>
        <w:snapToGrid w:val="0"/>
        <w:spacing w:val="0"/>
        <w:w w:val="100"/>
        <w:kern w:val="0"/>
        <w:position w:val="0"/>
        <w:sz w:val="24"/>
      </w:rPr>
    </w:lvl>
    <w:lvl w:ilvl="6">
      <w:start w:val="1"/>
      <w:numFmt w:val="decimal"/>
      <w:isLgl/>
      <w:lvlText w:val="%1.%2.%3.%4.%5.%6.%7."/>
      <w:lvlJc w:val="left"/>
      <w:pPr>
        <w:tabs>
          <w:tab w:val="num" w:pos="0"/>
        </w:tabs>
        <w:ind w:left="1296" w:hanging="1296"/>
      </w:pPr>
      <w:rPr>
        <w:rFonts w:ascii="Arial Narrow" w:hAnsi="Arial Narrow" w:eastAsia="宋体" w:hint="default"/>
        <w:b w:val="0"/>
        <w:i w:val="0"/>
        <w:snapToGrid w:val="0"/>
        <w:kern w:val="0"/>
        <w:sz w:val="24"/>
      </w:rPr>
    </w:lvl>
    <w:lvl w:ilvl="7">
      <w:start w:val="1"/>
      <w:numFmt w:val="decimal"/>
      <w:isLgl/>
      <w:lvlText w:val="%1.%2.%3.%4.%5.%6.%7.%8."/>
      <w:lvlJc w:val="left"/>
      <w:pPr>
        <w:tabs>
          <w:tab w:val="num" w:pos="0"/>
        </w:tabs>
        <w:ind w:left="1440" w:hanging="1440"/>
      </w:pPr>
      <w:rPr>
        <w:rFonts w:ascii="Arial Narrow" w:hAnsi="Arial Narrow" w:eastAsia="宋体" w:hint="default"/>
        <w:b w:val="0"/>
        <w:i w:val="0"/>
        <w:snapToGrid w:val="0"/>
        <w:kern w:val="0"/>
        <w:sz w:val="24"/>
      </w:rPr>
    </w:lvl>
    <w:lvl w:ilvl="8">
      <w:start w:val="1"/>
      <w:numFmt w:val="decimal"/>
      <w:isLgl/>
      <w:lvlText w:val="%1.%2.%3.%4.%5.%6.%7.%8.%9."/>
      <w:lvlJc w:val="left"/>
      <w:pPr>
        <w:tabs>
          <w:tab w:val="num" w:pos="0"/>
        </w:tabs>
        <w:ind w:left="1584" w:hanging="1584"/>
      </w:pPr>
      <w:rPr>
        <w:rFonts w:ascii="Arial Narrow" w:hAnsi="Arial Narrow" w:eastAsia="宋体" w:hint="default"/>
        <w:snapToGrid w:val="0"/>
        <w:kern w:val="0"/>
      </w:rPr>
    </w:lvl>
  </w:abstractNum>
  <w:abstractNum w:abstractNumId="16">
    <w:nsid w:val="080F5B80"/>
    <w:multiLevelType w:val="multilevel"/>
    <w:tmpl w:val="080F5B80"/>
    <w:lvl w:ilvl="0">
      <w:start w:val="1"/>
      <w:numFmt w:val="japaneseCounting"/>
      <w:lvlRestart w:val="0"/>
      <w:pStyle w:val="254"/>
      <w:lvlText w:val="（%1）"/>
      <w:lvlJc w:val="left"/>
      <w:pPr>
        <w:tabs>
          <w:tab w:val="num" w:pos="0"/>
        </w:tabs>
        <w:ind w:left="540" w:hanging="0"/>
      </w:pPr>
      <w:rPr>
        <w:rFonts w:eastAsia="黑体" w:hint="eastAsia"/>
        <w:sz w:val="28"/>
        <w:szCs w:val="28"/>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7">
    <w:nsid w:val="5E3F6DF4"/>
    <w:multiLevelType w:val="multilevel"/>
    <w:tmpl w:val="5E3F6DF4"/>
    <w:lvl w:ilvl="0">
      <w:start w:val="1"/>
      <w:numFmt w:val="japaneseCounting"/>
      <w:lvlRestart w:val="0"/>
      <w:pStyle w:val="259"/>
      <w:lvlText w:val="%1"/>
      <w:lvlJc w:val="left"/>
      <w:pPr>
        <w:tabs>
          <w:tab w:val="num" w:pos="0"/>
        </w:tabs>
        <w:ind w:left="540" w:hanging="0"/>
      </w:pPr>
      <w:rPr>
        <w:rFonts w:eastAsia="黑体" w:hint="eastAsia"/>
        <w:sz w:val="28"/>
        <w:szCs w:val="28"/>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8">
    <w:nsid w:val="4FAA6E92"/>
    <w:multiLevelType w:val="multilevel"/>
    <w:tmpl w:val="4FAA6E92"/>
    <w:lvl w:ilvl="0">
      <w:start w:val="1"/>
      <w:numFmt w:val="decimal"/>
      <w:lvlRestart w:val="0"/>
      <w:lvlText w:val="%1"/>
      <w:lvlJc w:val="left"/>
      <w:pPr>
        <w:tabs>
          <w:tab w:val="num" w:pos="0"/>
        </w:tabs>
        <w:ind w:left="-66" w:hanging="0"/>
      </w:pPr>
      <w:rPr>
        <w:rFonts w:eastAsia="黑体" w:hint="eastAsia"/>
        <w:sz w:val="28"/>
        <w:szCs w:val="28"/>
      </w:rPr>
    </w:lvl>
    <w:lvl w:ilvl="1">
      <w:start w:val="1"/>
      <w:numFmt w:val="decimal"/>
      <w:pStyle w:val="275"/>
      <w:lvlText w:val="%1.%2"/>
      <w:lvlJc w:val="left"/>
      <w:pPr>
        <w:tabs>
          <w:tab w:val="num" w:pos="0"/>
        </w:tabs>
        <w:ind w:left="926" w:hanging="567"/>
      </w:pPr>
      <w:rPr>
        <w:rFonts w:hint="eastAsia"/>
      </w:rPr>
    </w:lvl>
    <w:lvl w:ilvl="2">
      <w:start w:val="1"/>
      <w:numFmt w:val="decimal"/>
      <w:lvlText w:val="%1.%2.%3"/>
      <w:lvlJc w:val="left"/>
      <w:pPr>
        <w:tabs>
          <w:tab w:val="num" w:pos="0"/>
        </w:tabs>
        <w:ind w:left="1352" w:hanging="567"/>
      </w:pPr>
      <w:rPr>
        <w:rFonts w:hint="eastAsia"/>
      </w:rPr>
    </w:lvl>
    <w:lvl w:ilvl="3">
      <w:start w:val="1"/>
      <w:numFmt w:val="decimal"/>
      <w:lvlText w:val="%1.%2.%3.%4"/>
      <w:lvlJc w:val="left"/>
      <w:pPr>
        <w:tabs>
          <w:tab w:val="num" w:pos="0"/>
        </w:tabs>
        <w:ind w:left="1918" w:hanging="708"/>
      </w:pPr>
      <w:rPr>
        <w:rFonts w:hint="eastAsia"/>
      </w:rPr>
    </w:lvl>
    <w:lvl w:ilvl="4">
      <w:start w:val="1"/>
      <w:numFmt w:val="decimal"/>
      <w:lvlText w:val="%1.%2.%3.%4.%5"/>
      <w:lvlJc w:val="left"/>
      <w:pPr>
        <w:tabs>
          <w:tab w:val="num" w:pos="0"/>
        </w:tabs>
        <w:ind w:left="2485" w:hanging="850"/>
      </w:pPr>
      <w:rPr>
        <w:rFonts w:hint="eastAsia"/>
      </w:rPr>
    </w:lvl>
    <w:lvl w:ilvl="5">
      <w:start w:val="1"/>
      <w:numFmt w:val="decimal"/>
      <w:lvlText w:val="%1.%2.%3.%4.%5.%6"/>
      <w:lvlJc w:val="left"/>
      <w:pPr>
        <w:tabs>
          <w:tab w:val="num" w:pos="0"/>
        </w:tabs>
        <w:ind w:left="3194" w:hanging="1134"/>
      </w:pPr>
      <w:rPr>
        <w:rFonts w:hint="eastAsia"/>
      </w:rPr>
    </w:lvl>
    <w:lvl w:ilvl="6">
      <w:start w:val="1"/>
      <w:numFmt w:val="decimal"/>
      <w:lvlText w:val="%1.%2.%3.%4.%5.%6.%7"/>
      <w:lvlJc w:val="left"/>
      <w:pPr>
        <w:tabs>
          <w:tab w:val="num" w:pos="0"/>
        </w:tabs>
        <w:ind w:left="3761" w:hanging="1276"/>
      </w:pPr>
      <w:rPr>
        <w:rFonts w:hint="eastAsia"/>
      </w:rPr>
    </w:lvl>
    <w:lvl w:ilvl="7">
      <w:start w:val="1"/>
      <w:numFmt w:val="decimal"/>
      <w:lvlText w:val="%1.%2.%3.%4.%5.%6.%7.%8"/>
      <w:lvlJc w:val="left"/>
      <w:pPr>
        <w:tabs>
          <w:tab w:val="num" w:pos="0"/>
        </w:tabs>
        <w:ind w:left="4328" w:hanging="1418"/>
      </w:pPr>
      <w:rPr>
        <w:rFonts w:hint="eastAsia"/>
      </w:rPr>
    </w:lvl>
    <w:lvl w:ilvl="8">
      <w:start w:val="1"/>
      <w:numFmt w:val="decimal"/>
      <w:lvlText w:val="%1.%2.%3.%4.%5.%6.%7.%8.%9"/>
      <w:lvlJc w:val="left"/>
      <w:pPr>
        <w:tabs>
          <w:tab w:val="num" w:pos="0"/>
        </w:tabs>
        <w:ind w:left="5036" w:hanging="1700"/>
      </w:pPr>
      <w:rPr>
        <w:rFonts w:hint="eastAsi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70"/>
  <w:bordersDoNotSurroundHeader w:val="0"/>
  <w:bordersDoNotSurroundFooter w:val="0"/>
  <w:trackRevisions/>
  <w:defaultTabStop w:val="420"/>
  <w:drawingGridHorizontalSpacing w:val="140"/>
  <w:drawingGridVerticalSpacing w:val="381"/>
  <w:displayHorizontalDrawingGridEvery w:val="1"/>
  <w:displayVerticalDrawingGridEvery w:val="1"/>
  <w:noPunctuationKerning/>
  <w:characterSpacingControl w:val="compressPunctuation"/>
  <w:footnotePr>
    <w:footnote w:id="0"/>
    <w:footnote w:id="1"/>
  </w:footnotePr>
  <w:compat>
    <w:spaceForUL/>
    <w:balanceSingleByteDoubleByteWidth/>
    <w:ulTrailSpace/>
    <w:doNotExpandShiftReturn/>
    <w:adjustLineHeightInTable/>
    <w:growAutofit/>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next w:val="16"/>
    <w:pPr>
      <w:widowControl w:val="0"/>
      <w:spacing w:line="360" w:lineRule="auto"/>
      <w:ind w:firstLineChars="200" w:firstLine="200"/>
      <w:jc w:val="both"/>
    </w:pPr>
    <w:rPr>
      <w:rFonts w:ascii="Times New Roman" w:eastAsia="仿宋_GB2312" w:cs="Times New Roman" w:hAnsi="Times New Roman"/>
      <w:kern w:val="2"/>
      <w:sz w:val="28"/>
      <w:szCs w:val="24"/>
      <w:lang w:val="en-US" w:eastAsia="zh-CN" w:bidi="ar-SA"/>
    </w:rPr>
  </w:style>
  <w:style w:type="paragraph" w:styleId="1">
    <w:name w:val="heading 1"/>
    <w:basedOn w:val="0"/>
    <w:next w:val="0"/>
    <w:pPr>
      <w:keepNext/>
      <w:keepLines/>
      <w:widowControl w:val="0"/>
      <w:numPr>
        <w:ilvl w:val="0"/>
        <w:numId w:val="1"/>
      </w:numPr>
      <w:tabs>
        <w:tab w:val="left" w:pos="360"/>
      </w:tabs>
      <w:overflowPunct w:val="0"/>
      <w:autoSpaceDE w:val="0"/>
      <w:autoSpaceDN w:val="0"/>
      <w:adjustRightInd w:val="0"/>
      <w:ind w:firstLineChars="0"/>
      <w:jc w:val="center"/>
      <w:textAlignment w:val="baseline"/>
      <w:outlineLvl w:val="0"/>
    </w:pPr>
    <w:rPr>
      <w:rFonts w:ascii="黑体" w:eastAsia="黑体"/>
      <w:bCs/>
      <w:kern w:val="44"/>
      <w:sz w:val="36"/>
      <w:szCs w:val="44"/>
    </w:rPr>
  </w:style>
  <w:style w:type="paragraph" w:styleId="2">
    <w:name w:val="heading 2"/>
    <w:basedOn w:val="15"/>
    <w:next w:val="0"/>
    <w:pPr>
      <w:keepNext w:val="0"/>
      <w:keepLines w:val="0"/>
      <w:widowControl w:val="0"/>
      <w:numPr>
        <w:ilvl w:val="0"/>
        <w:numId w:val="0"/>
      </w:numPr>
      <w:tabs>
        <w:tab w:val="left" w:pos="0"/>
        <w:tab w:val="left" w:pos="900"/>
        <w:tab w:val="left" w:pos="926"/>
      </w:tabs>
      <w:spacing w:before="240" w:after="60"/>
      <w:ind w:left="1134"/>
      <w:outlineLvl w:val="1"/>
    </w:pPr>
    <w:rPr>
      <w:rFonts w:eastAsia="黑体"/>
      <w:bCs w:val="0"/>
      <w:sz w:val="30"/>
    </w:rPr>
  </w:style>
  <w:style w:type="paragraph" w:styleId="3">
    <w:name w:val="heading 3"/>
    <w:basedOn w:val="0"/>
    <w:next w:val="0"/>
    <w:pPr>
      <w:keepNext/>
      <w:keepLines/>
      <w:widowControl w:val="0"/>
      <w:numPr>
        <w:ilvl w:val="2"/>
        <w:numId w:val="1"/>
      </w:numPr>
      <w:spacing w:before="240" w:after="60"/>
      <w:ind w:firstLineChars="0"/>
      <w:outlineLvl w:val="2"/>
    </w:pPr>
    <w:rPr>
      <w:rFonts w:eastAsia="黑体"/>
      <w:bCs/>
      <w:kern w:val="0"/>
      <w:sz w:val="30"/>
      <w:szCs w:val="32"/>
    </w:rPr>
  </w:style>
  <w:style w:type="paragraph" w:styleId="4">
    <w:name w:val="heading 4"/>
    <w:basedOn w:val="2"/>
    <w:next w:val="17"/>
    <w:pPr>
      <w:numPr>
        <w:ilvl w:val="3"/>
        <w:numId w:val="1"/>
      </w:numPr>
      <w:tabs>
        <w:tab w:val="clear" w:pos="900"/>
        <w:tab w:val="left" w:pos="0"/>
        <w:tab w:val="left" w:pos="926"/>
      </w:tabs>
      <w:outlineLvl w:val="3"/>
    </w:pPr>
    <w:rPr>
      <w:rFonts w:eastAsia="仿宋_GB2312"/>
      <w:b/>
      <w:bCs/>
      <w:kern w:val="2"/>
      <w:sz w:val="28"/>
      <w:szCs w:val="30"/>
    </w:rPr>
  </w:style>
  <w:style w:type="paragraph" w:styleId="5">
    <w:name w:val="heading 5"/>
    <w:basedOn w:val="0"/>
    <w:next w:val="0"/>
    <w:pPr>
      <w:keepNext/>
      <w:keepLines/>
      <w:widowControl w:val="0"/>
      <w:numPr>
        <w:ilvl w:val="4"/>
        <w:numId w:val="1"/>
      </w:numPr>
      <w:spacing w:before="240" w:after="60"/>
      <w:ind w:firstLineChars="0"/>
      <w:outlineLvl w:val="4"/>
    </w:pPr>
    <w:rPr>
      <w:bCs/>
      <w:szCs w:val="28"/>
    </w:rPr>
  </w:style>
  <w:style w:type="paragraph" w:styleId="6">
    <w:name w:val="heading 6"/>
    <w:basedOn w:val="0"/>
    <w:next w:val="0"/>
    <w:pPr>
      <w:keepNext/>
      <w:keepLines/>
      <w:widowControl w:val="0"/>
      <w:spacing w:before="240" w:after="64" w:line="319" w:lineRule="auto"/>
      <w:outlineLvl w:val="5"/>
    </w:pPr>
    <w:rPr>
      <w:rFonts w:ascii="Arial" w:eastAsia="黑体" w:hAnsi="Arial"/>
      <w:b/>
      <w:bCs/>
      <w:sz w:val="24"/>
    </w:rPr>
  </w:style>
  <w:style w:type="paragraph" w:styleId="7">
    <w:name w:val="heading 7"/>
    <w:basedOn w:val="0"/>
    <w:next w:val="0"/>
    <w:pPr>
      <w:keepNext/>
      <w:keepLines/>
      <w:widowControl w:val="0"/>
      <w:tabs>
        <w:tab w:val="left" w:pos="1296"/>
      </w:tabs>
      <w:spacing w:before="240" w:after="64" w:line="319" w:lineRule="auto"/>
      <w:ind w:left="1296"/>
      <w:outlineLvl w:val="6"/>
    </w:pPr>
    <w:rPr>
      <w:b/>
      <w:bCs/>
      <w:sz w:val="24"/>
    </w:rPr>
  </w:style>
  <w:style w:type="paragraph" w:styleId="8">
    <w:name w:val="heading 8"/>
    <w:basedOn w:val="0"/>
    <w:next w:val="0"/>
    <w:pPr>
      <w:keepNext/>
      <w:keepLines/>
      <w:widowControl w:val="0"/>
      <w:tabs>
        <w:tab w:val="left" w:pos="1440"/>
      </w:tabs>
      <w:spacing w:before="240" w:after="64" w:line="319" w:lineRule="auto"/>
      <w:ind w:left="1440"/>
      <w:outlineLvl w:val="7"/>
    </w:pPr>
    <w:rPr>
      <w:rFonts w:ascii="Arial" w:eastAsia="黑体" w:hAnsi="Arial"/>
      <w:sz w:val="24"/>
    </w:rPr>
  </w:style>
  <w:style w:type="paragraph" w:styleId="9">
    <w:name w:val="heading 9"/>
    <w:basedOn w:val="0"/>
    <w:next w:val="0"/>
    <w:pPr>
      <w:keepNext/>
      <w:keepLines/>
      <w:widowControl w:val="0"/>
      <w:tabs>
        <w:tab w:val="left" w:pos="1584"/>
      </w:tabs>
      <w:spacing w:before="240" w:after="64" w:line="319" w:lineRule="auto"/>
      <w:ind w:left="1584"/>
      <w:outlineLvl w:val="8"/>
    </w:pPr>
    <w:rPr>
      <w:rFonts w:ascii="Arial" w:eastAsia="黑体" w:hAnsi="Arial"/>
      <w:szCs w:val="21"/>
    </w:rPr>
  </w:style>
  <w:style w:type="character" w:default="1" w:styleId="10">
    <w:name w:val="Default Paragraph Font"/>
  </w:style>
  <w:style w:type="paragraph" w:customStyle="1" w:styleId="15">
    <w:name w:val="样式2"/>
    <w:basedOn w:val="3"/>
    <w:pPr>
      <w:tabs>
        <w:tab w:val="left" w:pos="926"/>
      </w:tabs>
      <w:spacing w:before="260" w:after="260"/>
      <w:ind w:left="925" w:hanging="567"/>
    </w:pPr>
    <w:rPr>
      <w:rFonts w:eastAsia="宋体"/>
      <w:sz w:val="32"/>
    </w:rPr>
  </w:style>
  <w:style w:type="paragraph" w:styleId="16">
    <w:name w:val="Body Text"/>
    <w:basedOn w:val="0"/>
    <w:pPr>
      <w:spacing w:after="120"/>
    </w:pPr>
  </w:style>
  <w:style w:type="paragraph" w:customStyle="1" w:styleId="17">
    <w:name w:val="!正文"/>
    <w:basedOn w:val="0"/>
    <w:pPr>
      <w:spacing w:line="560" w:lineRule="exact"/>
      <w:ind w:firstLineChars="0" w:firstLine="0"/>
      <w:jc w:val="center"/>
    </w:pPr>
    <w:rPr>
      <w:color w:val="424242"/>
      <w:szCs w:val="28"/>
    </w:rPr>
  </w:style>
  <w:style w:type="paragraph" w:styleId="18">
    <w:name w:val="List 3"/>
    <w:basedOn w:val="0"/>
    <w:pPr>
      <w:ind w:leftChars="400" w:left="600" w:hangingChars="200" w:hanging="200"/>
    </w:pPr>
  </w:style>
  <w:style w:type="paragraph" w:styleId="19">
    <w:name w:val="toc 7"/>
    <w:basedOn w:val="0"/>
    <w:next w:val="0"/>
    <w:pPr>
      <w:ind w:left="1260"/>
      <w:jc w:val="left"/>
    </w:pPr>
    <w:rPr>
      <w:sz w:val="18"/>
      <w:szCs w:val="18"/>
    </w:rPr>
  </w:style>
  <w:style w:type="paragraph" w:styleId="20">
    <w:name w:val="List Number 2"/>
    <w:basedOn w:val="0"/>
    <w:pPr>
      <w:numPr>
        <w:ilvl w:val="0"/>
        <w:numId w:val="2"/>
      </w:numPr>
      <w:ind w:firstLineChars="0"/>
    </w:pPr>
  </w:style>
  <w:style w:type="paragraph" w:styleId="21">
    <w:name w:val="Note Heading"/>
    <w:basedOn w:val="0"/>
    <w:next w:val="0"/>
    <w:pPr>
      <w:jc w:val="center"/>
    </w:pPr>
  </w:style>
  <w:style w:type="paragraph" w:styleId="22">
    <w:name w:val="List Bullet 4"/>
    <w:basedOn w:val="0"/>
    <w:pPr>
      <w:numPr>
        <w:ilvl w:val="0"/>
        <w:numId w:val="3"/>
      </w:numPr>
      <w:ind w:firstLineChars="0"/>
    </w:pPr>
  </w:style>
  <w:style w:type="paragraph" w:styleId="23">
    <w:name w:val="E-mail Signature"/>
    <w:basedOn w:val="0"/>
  </w:style>
  <w:style w:type="paragraph" w:styleId="24">
    <w:name w:val="List Number"/>
    <w:basedOn w:val="0"/>
    <w:pPr>
      <w:numPr>
        <w:ilvl w:val="0"/>
        <w:numId w:val="4"/>
      </w:numPr>
      <w:ind w:firstLineChars="0"/>
    </w:pPr>
  </w:style>
  <w:style w:type="paragraph" w:styleId="25">
    <w:name w:val="Normal Indent"/>
    <w:basedOn w:val="0"/>
  </w:style>
  <w:style w:type="paragraph" w:styleId="26">
    <w:name w:val="caption"/>
    <w:basedOn w:val="0"/>
    <w:next w:val="0"/>
    <w:rPr>
      <w:rFonts w:ascii="Arial" w:eastAsia="黑体" w:cs="Arial" w:hAnsi="Arial"/>
      <w:sz w:val="20"/>
      <w:szCs w:val="20"/>
    </w:rPr>
  </w:style>
  <w:style w:type="paragraph" w:styleId="27">
    <w:name w:val="List Bullet"/>
    <w:basedOn w:val="0"/>
    <w:pPr>
      <w:numPr>
        <w:ilvl w:val="0"/>
        <w:numId w:val="5"/>
      </w:numPr>
      <w:ind w:firstLineChars="0"/>
    </w:pPr>
  </w:style>
  <w:style w:type="paragraph" w:styleId="28">
    <w:name w:val="envelope address"/>
    <w:basedOn w:val="0"/>
    <w:pPr>
      <w:framePr w:w="7920" w:hRule="exact" w:h="1980" w:hSpace="180" w:wrap="around" w:vAnchor="margin" w:hAnchor="page" w:xAlign="center" w:yAlign="bottom" w:anchorLock="0"/>
      <w:snapToGrid w:val="0"/>
      <w:ind w:leftChars="1400" w:left="1400"/>
    </w:pPr>
    <w:rPr>
      <w:rFonts w:ascii="Arial" w:cs="Arial" w:hAnsi="Arial"/>
      <w:sz w:val="24"/>
    </w:rPr>
  </w:style>
  <w:style w:type="paragraph" w:styleId="29">
    <w:name w:val="Document Map"/>
    <w:basedOn w:val="0"/>
    <w:pPr>
      <w:shd w:val="clear" w:color="auto" w:fill="000080"/>
    </w:pPr>
    <w:rPr>
      <w:rFonts w:eastAsia="宋体"/>
      <w:sz w:val="21"/>
    </w:rPr>
  </w:style>
  <w:style w:type="paragraph" w:styleId="30">
    <w:name w:val="annotation text"/>
    <w:basedOn w:val="0"/>
    <w:pPr>
      <w:jc w:val="left"/>
    </w:pPr>
  </w:style>
  <w:style w:type="paragraph" w:styleId="31">
    <w:name w:val="Salutation"/>
    <w:basedOn w:val="0"/>
    <w:next w:val="0"/>
  </w:style>
  <w:style w:type="paragraph" w:styleId="32">
    <w:name w:val="Body Text 3"/>
    <w:basedOn w:val="0"/>
    <w:pPr>
      <w:spacing w:after="120"/>
    </w:pPr>
    <w:rPr>
      <w:sz w:val="16"/>
      <w:szCs w:val="16"/>
    </w:rPr>
  </w:style>
  <w:style w:type="paragraph" w:styleId="33">
    <w:name w:val="Closing"/>
    <w:basedOn w:val="0"/>
    <w:pPr>
      <w:ind w:leftChars="2100" w:left="2100"/>
    </w:pPr>
  </w:style>
  <w:style w:type="paragraph" w:styleId="34">
    <w:name w:val="List Bullet 3"/>
    <w:basedOn w:val="0"/>
    <w:pPr>
      <w:numPr>
        <w:ilvl w:val="0"/>
        <w:numId w:val="6"/>
      </w:numPr>
      <w:ind w:firstLineChars="0"/>
    </w:pPr>
  </w:style>
  <w:style w:type="paragraph" w:styleId="35">
    <w:name w:val="Body Text Indent"/>
    <w:basedOn w:val="0"/>
    <w:pPr>
      <w:adjustRightInd w:val="0"/>
      <w:snapToGrid w:val="0"/>
      <w:spacing w:line="358" w:lineRule="auto"/>
    </w:pPr>
    <w:rPr>
      <w:rFonts w:ascii="仿宋_GB2312"/>
      <w:szCs w:val="30"/>
    </w:rPr>
  </w:style>
  <w:style w:type="paragraph" w:styleId="36">
    <w:name w:val="List Number 3"/>
    <w:basedOn w:val="0"/>
    <w:pPr>
      <w:numPr>
        <w:ilvl w:val="0"/>
        <w:numId w:val="7"/>
      </w:numPr>
      <w:ind w:firstLineChars="0"/>
    </w:pPr>
  </w:style>
  <w:style w:type="paragraph" w:styleId="37">
    <w:name w:val="List 2"/>
    <w:basedOn w:val="0"/>
    <w:pPr>
      <w:ind w:leftChars="200" w:left="400" w:hangingChars="200" w:hanging="200"/>
    </w:pPr>
  </w:style>
  <w:style w:type="paragraph" w:styleId="38">
    <w:name w:val="List Continue"/>
    <w:basedOn w:val="0"/>
    <w:pPr>
      <w:spacing w:after="120"/>
      <w:ind w:leftChars="200" w:left="200"/>
    </w:pPr>
  </w:style>
  <w:style w:type="paragraph" w:styleId="39">
    <w:name w:val="Block Text"/>
    <w:basedOn w:val="0"/>
    <w:pPr>
      <w:spacing w:after="120"/>
      <w:ind w:leftChars="700" w:left="700" w:rightChars="700" w:right="700"/>
    </w:pPr>
  </w:style>
  <w:style w:type="paragraph" w:styleId="40">
    <w:name w:val="List Bullet 2"/>
    <w:basedOn w:val="0"/>
    <w:pPr>
      <w:numPr>
        <w:ilvl w:val="0"/>
        <w:numId w:val="8"/>
      </w:numPr>
      <w:ind w:firstLineChars="0"/>
    </w:pPr>
  </w:style>
  <w:style w:type="paragraph" w:styleId="41">
    <w:name w:val="HTML Address"/>
    <w:basedOn w:val="0"/>
    <w:rPr>
      <w:i/>
      <w:iCs/>
    </w:rPr>
  </w:style>
  <w:style w:type="paragraph" w:styleId="42">
    <w:name w:val="toc 5"/>
    <w:basedOn w:val="0"/>
    <w:next w:val="0"/>
    <w:pPr>
      <w:ind w:left="840"/>
      <w:jc w:val="left"/>
    </w:pPr>
    <w:rPr>
      <w:sz w:val="18"/>
      <w:szCs w:val="18"/>
    </w:rPr>
  </w:style>
  <w:style w:type="paragraph" w:styleId="43">
    <w:name w:val="toc 3"/>
    <w:basedOn w:val="0"/>
    <w:next w:val="0"/>
    <w:pPr>
      <w:tabs>
        <w:tab w:val="right" w:leader="dot" w:pos="8302"/>
      </w:tabs>
      <w:jc w:val="left"/>
    </w:pPr>
    <w:rPr>
      <w:iCs/>
      <w:sz w:val="24"/>
      <w:szCs w:val="20"/>
    </w:rPr>
  </w:style>
  <w:style w:type="paragraph" w:styleId="44">
    <w:name w:val="Plain Text"/>
    <w:basedOn w:val="0"/>
    <w:rPr>
      <w:rFonts w:ascii="宋体" w:cs="Courier New" w:hAnsi="宋体"/>
      <w:szCs w:val="21"/>
    </w:rPr>
  </w:style>
  <w:style w:type="paragraph" w:styleId="45">
    <w:name w:val="List Bullet 5"/>
    <w:basedOn w:val="0"/>
    <w:pPr>
      <w:numPr>
        <w:ilvl w:val="0"/>
        <w:numId w:val="9"/>
      </w:numPr>
      <w:ind w:firstLineChars="0"/>
    </w:pPr>
  </w:style>
  <w:style w:type="paragraph" w:styleId="46">
    <w:name w:val="List Number 4"/>
    <w:basedOn w:val="0"/>
    <w:pPr>
      <w:numPr>
        <w:ilvl w:val="0"/>
        <w:numId w:val="10"/>
      </w:numPr>
      <w:ind w:firstLineChars="0"/>
    </w:pPr>
  </w:style>
  <w:style w:type="paragraph" w:styleId="47">
    <w:name w:val="toc 8"/>
    <w:basedOn w:val="0"/>
    <w:next w:val="0"/>
    <w:pPr>
      <w:ind w:left="1470"/>
      <w:jc w:val="left"/>
    </w:pPr>
    <w:rPr>
      <w:sz w:val="18"/>
      <w:szCs w:val="18"/>
    </w:rPr>
  </w:style>
  <w:style w:type="paragraph" w:styleId="48">
    <w:name w:val="Date"/>
    <w:basedOn w:val="0"/>
    <w:next w:val="0"/>
    <w:pPr>
      <w:ind w:leftChars="2500" w:left="2500"/>
    </w:pPr>
  </w:style>
  <w:style w:type="paragraph" w:styleId="49">
    <w:name w:val="Body Text Indent 2"/>
    <w:basedOn w:val="0"/>
    <w:pPr>
      <w:spacing w:after="120" w:line="480" w:lineRule="auto"/>
      <w:ind w:leftChars="200" w:left="200"/>
    </w:pPr>
  </w:style>
  <w:style w:type="paragraph" w:styleId="50">
    <w:name w:val="endnote text"/>
    <w:basedOn w:val="0"/>
    <w:pPr>
      <w:snapToGrid w:val="0"/>
      <w:jc w:val="left"/>
    </w:pPr>
  </w:style>
  <w:style w:type="paragraph" w:styleId="51">
    <w:name w:val="List Continue 5"/>
    <w:basedOn w:val="0"/>
    <w:pPr>
      <w:spacing w:after="120"/>
      <w:ind w:leftChars="1000" w:left="1000"/>
    </w:pPr>
  </w:style>
  <w:style w:type="paragraph" w:styleId="52">
    <w:name w:val="Balloon Text"/>
    <w:basedOn w:val="0"/>
    <w:rPr>
      <w:sz w:val="18"/>
      <w:szCs w:val="18"/>
    </w:rPr>
  </w:style>
  <w:style w:type="paragraph" w:styleId="53">
    <w:name w:val="footer"/>
    <w:basedOn w:val="0"/>
    <w:pPr>
      <w:tabs>
        <w:tab w:val="center" w:pos="4153"/>
        <w:tab w:val="right" w:pos="8306"/>
      </w:tabs>
      <w:snapToGrid w:val="0"/>
      <w:jc w:val="left"/>
    </w:pPr>
    <w:rPr>
      <w:sz w:val="18"/>
      <w:szCs w:val="18"/>
    </w:rPr>
  </w:style>
  <w:style w:type="paragraph" w:styleId="54">
    <w:name w:val="envelope return"/>
    <w:basedOn w:val="0"/>
    <w:pPr>
      <w:snapToGrid w:val="0"/>
    </w:pPr>
    <w:rPr>
      <w:rFonts w:ascii="Arial" w:cs="Arial" w:hAnsi="Arial"/>
    </w:rPr>
  </w:style>
  <w:style w:type="paragraph" w:styleId="55">
    <w:name w:val="header"/>
    <w:basedOn w:val="0"/>
    <w:pPr>
      <w:pBdr>
        <w:bottom w:val="single" w:sz="6" w:space="1" w:color="auto"/>
      </w:pBdr>
      <w:tabs>
        <w:tab w:val="center" w:pos="4153"/>
        <w:tab w:val="right" w:pos="8306"/>
      </w:tabs>
      <w:snapToGrid w:val="0"/>
      <w:jc w:val="center"/>
    </w:pPr>
    <w:rPr>
      <w:sz w:val="18"/>
      <w:szCs w:val="18"/>
    </w:rPr>
  </w:style>
  <w:style w:type="paragraph" w:styleId="56">
    <w:name w:val="Signature"/>
    <w:basedOn w:val="0"/>
    <w:pPr>
      <w:ind w:leftChars="2100" w:left="2100"/>
    </w:pPr>
  </w:style>
  <w:style w:type="paragraph" w:styleId="57">
    <w:name w:val="toc 1"/>
    <w:basedOn w:val="0"/>
    <w:next w:val="0"/>
    <w:pPr>
      <w:tabs>
        <w:tab w:val="left" w:pos="0"/>
        <w:tab w:val="right" w:leader="dot" w:pos="8302"/>
      </w:tabs>
      <w:spacing w:line="240" w:lineRule="auto"/>
      <w:ind w:firstLineChars="0" w:firstLine="0"/>
      <w:jc w:val="left"/>
    </w:pPr>
    <w:rPr>
      <w:rFonts w:ascii="Arial Narrow" w:eastAsia="黑体" w:hAnsi="Arial Narrow"/>
      <w:b/>
      <w:bCs/>
      <w:caps/>
      <w:smallCaps w:val="0"/>
      <w:snapToGrid w:val="0"/>
      <w:kern w:val="0"/>
      <w:szCs w:val="28"/>
    </w:rPr>
  </w:style>
  <w:style w:type="paragraph" w:styleId="58">
    <w:name w:val="List Continue 4"/>
    <w:basedOn w:val="0"/>
    <w:pPr>
      <w:spacing w:after="120"/>
      <w:ind w:leftChars="800" w:left="800"/>
    </w:pPr>
  </w:style>
  <w:style w:type="paragraph" w:styleId="59">
    <w:name w:val="toc 4"/>
    <w:basedOn w:val="0"/>
    <w:next w:val="0"/>
    <w:pPr>
      <w:ind w:left="630"/>
      <w:jc w:val="left"/>
    </w:pPr>
    <w:rPr>
      <w:szCs w:val="18"/>
    </w:rPr>
  </w:style>
  <w:style w:type="paragraph" w:styleId="60">
    <w:name w:val="Subtitle"/>
    <w:basedOn w:val="0"/>
    <w:pPr>
      <w:spacing w:before="240" w:after="60" w:line="312" w:lineRule="auto"/>
      <w:jc w:val="center"/>
      <w:outlineLvl w:val="1"/>
    </w:pPr>
    <w:rPr>
      <w:rFonts w:ascii="Arial" w:hAnsi="Arial"/>
      <w:b/>
      <w:bCs/>
      <w:kern w:val="28"/>
      <w:sz w:val="32"/>
      <w:szCs w:val="32"/>
    </w:rPr>
  </w:style>
  <w:style w:type="paragraph" w:styleId="61">
    <w:name w:val="List Number 5"/>
    <w:basedOn w:val="0"/>
    <w:pPr>
      <w:numPr>
        <w:ilvl w:val="0"/>
        <w:numId w:val="11"/>
      </w:numPr>
      <w:ind w:firstLineChars="0"/>
    </w:pPr>
  </w:style>
  <w:style w:type="paragraph" w:styleId="62">
    <w:name w:val="List"/>
    <w:basedOn w:val="0"/>
    <w:pPr>
      <w:ind w:left="200" w:hangingChars="200" w:hanging="200"/>
    </w:pPr>
  </w:style>
  <w:style w:type="paragraph" w:styleId="63">
    <w:name w:val="footnote text"/>
    <w:basedOn w:val="0"/>
    <w:pPr>
      <w:snapToGrid w:val="0"/>
      <w:jc w:val="left"/>
    </w:pPr>
    <w:rPr>
      <w:sz w:val="18"/>
      <w:szCs w:val="18"/>
    </w:rPr>
  </w:style>
  <w:style w:type="paragraph" w:styleId="64">
    <w:name w:val="toc 6"/>
    <w:basedOn w:val="0"/>
    <w:next w:val="0"/>
    <w:pPr>
      <w:ind w:left="1050"/>
      <w:jc w:val="left"/>
    </w:pPr>
    <w:rPr>
      <w:sz w:val="18"/>
      <w:szCs w:val="18"/>
    </w:rPr>
  </w:style>
  <w:style w:type="paragraph" w:styleId="65">
    <w:name w:val="List 5"/>
    <w:basedOn w:val="0"/>
    <w:pPr>
      <w:ind w:leftChars="800" w:left="1000" w:hangingChars="200" w:hanging="200"/>
    </w:pPr>
  </w:style>
  <w:style w:type="paragraph" w:styleId="66">
    <w:name w:val="Body Text Indent 3"/>
    <w:basedOn w:val="0"/>
    <w:pPr>
      <w:spacing w:after="120"/>
      <w:ind w:leftChars="200" w:left="200"/>
    </w:pPr>
    <w:rPr>
      <w:sz w:val="16"/>
      <w:szCs w:val="16"/>
    </w:rPr>
  </w:style>
  <w:style w:type="paragraph" w:styleId="67">
    <w:name w:val="table of figures"/>
    <w:basedOn w:val="0"/>
    <w:next w:val="0"/>
    <w:pPr>
      <w:ind w:leftChars="200" w:left="400" w:hangingChars="200" w:hanging="200"/>
    </w:pPr>
  </w:style>
  <w:style w:type="paragraph" w:styleId="68">
    <w:name w:val="toc 2"/>
    <w:basedOn w:val="0"/>
    <w:next w:val="0"/>
    <w:pPr>
      <w:tabs>
        <w:tab w:val="left" w:pos="1260"/>
        <w:tab w:val="right" w:leader="dot" w:pos="8302"/>
      </w:tabs>
      <w:ind w:firstLineChars="100" w:firstLine="100"/>
      <w:jc w:val="left"/>
    </w:pPr>
    <w:rPr>
      <w:b/>
      <w:caps w:val="0"/>
      <w:smallCaps/>
      <w:snapToGrid w:val="0"/>
      <w:kern w:val="0"/>
      <w:sz w:val="24"/>
    </w:rPr>
  </w:style>
  <w:style w:type="paragraph" w:styleId="69">
    <w:name w:val="toc 9"/>
    <w:basedOn w:val="0"/>
    <w:next w:val="0"/>
    <w:pPr>
      <w:ind w:left="1680"/>
      <w:jc w:val="left"/>
    </w:pPr>
    <w:rPr>
      <w:sz w:val="18"/>
      <w:szCs w:val="18"/>
    </w:rPr>
  </w:style>
  <w:style w:type="paragraph" w:styleId="70">
    <w:name w:val="Body Text 2"/>
    <w:basedOn w:val="0"/>
    <w:pPr>
      <w:spacing w:after="120" w:line="480" w:lineRule="auto"/>
    </w:pPr>
  </w:style>
  <w:style w:type="paragraph" w:styleId="71">
    <w:name w:val="List 4"/>
    <w:basedOn w:val="0"/>
    <w:pPr>
      <w:ind w:leftChars="600" w:left="800" w:hangingChars="200" w:hanging="200"/>
    </w:pPr>
  </w:style>
  <w:style w:type="paragraph" w:styleId="72">
    <w:name w:val="List Continue 2"/>
    <w:basedOn w:val="0"/>
    <w:pPr>
      <w:spacing w:after="120"/>
      <w:ind w:leftChars="400" w:left="400"/>
    </w:pPr>
  </w:style>
  <w:style w:type="paragraph" w:styleId="73">
    <w:name w:val="Message Header"/>
    <w:basedOn w:val="0"/>
    <w:pPr>
      <w:pBdr>
        <w:top w:val="single" w:sz="6" w:space="1" w:color="auto"/>
        <w:left w:val="single" w:sz="6" w:space="1" w:color="auto"/>
        <w:bottom w:val="single" w:sz="6" w:space="1" w:color="auto"/>
        <w:right w:val="single" w:sz="6" w:space="1" w:color="auto"/>
      </w:pBdr>
      <w:shd w:val="pct20" w:color="auto" w:fill="auto"/>
      <w:ind w:leftChars="500" w:left="1000" w:hangingChars="500" w:hanging="500"/>
    </w:pPr>
    <w:rPr>
      <w:rFonts w:ascii="Arial" w:hAnsi="Arial"/>
      <w:sz w:val="24"/>
    </w:rPr>
  </w:style>
  <w:style w:type="paragraph" w:styleId="74">
    <w:name w:val="HTML Preformatted"/>
    <w:basedOn w:val="0"/>
    <w:rPr>
      <w:rFonts w:ascii="Courier New" w:hAnsi="Courier New"/>
      <w:sz w:val="20"/>
      <w:szCs w:val="20"/>
    </w:rPr>
  </w:style>
  <w:style w:type="paragraph" w:styleId="75">
    <w:name w:val="Normal (Web)"/>
    <w:basedOn w:val="0"/>
    <w:rPr>
      <w:sz w:val="24"/>
    </w:rPr>
  </w:style>
  <w:style w:type="paragraph" w:styleId="76">
    <w:name w:val="List Continue 3"/>
    <w:basedOn w:val="0"/>
    <w:pPr>
      <w:spacing w:after="120"/>
      <w:ind w:leftChars="600" w:left="600"/>
    </w:pPr>
  </w:style>
  <w:style w:type="paragraph" w:styleId="77">
    <w:name w:val="Title"/>
    <w:basedOn w:val="0"/>
    <w:pPr>
      <w:spacing w:before="240" w:after="60"/>
      <w:jc w:val="center"/>
      <w:outlineLvl w:val="0"/>
    </w:pPr>
    <w:rPr>
      <w:rFonts w:ascii="Arial" w:hAnsi="Arial"/>
      <w:b/>
      <w:bCs/>
      <w:sz w:val="32"/>
      <w:szCs w:val="32"/>
    </w:rPr>
  </w:style>
  <w:style w:type="paragraph" w:styleId="78">
    <w:name w:val="annotation subject"/>
    <w:basedOn w:val="30"/>
    <w:next w:val="30"/>
    <w:rPr>
      <w:b/>
      <w:bCs/>
    </w:rPr>
  </w:style>
  <w:style w:type="paragraph" w:styleId="79">
    <w:name w:val="Body Text First Indent"/>
    <w:basedOn w:val="16"/>
    <w:pPr>
      <w:ind w:firstLineChars="100" w:firstLine="100"/>
    </w:pPr>
  </w:style>
  <w:style w:type="paragraph" w:styleId="80">
    <w:name w:val="Body Text First Indent 2"/>
    <w:basedOn w:val="35"/>
    <w:pPr>
      <w:adjustRightInd/>
      <w:snapToGrid/>
      <w:spacing w:after="120" w:line="240" w:lineRule="auto"/>
      <w:ind w:leftChars="200" w:left="200"/>
    </w:pPr>
    <w:rPr>
      <w:rFonts w:ascii="Times New Roman" w:eastAsia="宋体" w:hAnsi="Times New Roman"/>
      <w:sz w:val="21"/>
      <w:szCs w:val="24"/>
    </w:rPr>
  </w:style>
  <w:style w:type="character" w:styleId="81">
    <w:name w:val="Strong"/>
    <w:rPr>
      <w:b/>
      <w:bCs/>
    </w:rPr>
  </w:style>
  <w:style w:type="character" w:styleId="82">
    <w:name w:val="endnote reference"/>
    <w:rPr>
      <w:vertAlign w:val="superscript"/>
    </w:rPr>
  </w:style>
  <w:style w:type="character" w:styleId="83">
    <w:name w:val="page number"/>
    <w:rPr>
      <w:rFonts w:eastAsia="黑体"/>
      <w:b/>
      <w:bCs/>
      <w:kern w:val="2"/>
      <w:sz w:val="30"/>
      <w:szCs w:val="30"/>
      <w:lang w:val="en-US" w:eastAsia="zh-CN" w:bidi="ar-SA"/>
    </w:rPr>
  </w:style>
  <w:style w:type="character" w:styleId="84">
    <w:name w:val="FollowedHyperlink"/>
    <w:rPr>
      <w:rFonts w:cs="Times New Roman"/>
      <w:color w:val="800080"/>
      <w:u w:val="single"/>
    </w:rPr>
  </w:style>
  <w:style w:type="character" w:styleId="85">
    <w:name w:val="Emphasis"/>
    <w:rPr>
      <w:i/>
      <w:iCs/>
    </w:rPr>
  </w:style>
  <w:style w:type="character" w:styleId="86">
    <w:name w:val="line number"/>
  </w:style>
  <w:style w:type="character" w:styleId="87">
    <w:name w:val="HTML Definition"/>
    <w:rPr>
      <w:i/>
      <w:iCs/>
    </w:rPr>
  </w:style>
  <w:style w:type="character" w:styleId="88">
    <w:name w:val="HTML Typewriter"/>
    <w:rPr>
      <w:rFonts w:ascii="Courier New" w:cs="Courier New" w:hAnsi="Courier New"/>
      <w:sz w:val="20"/>
      <w:szCs w:val="20"/>
    </w:rPr>
  </w:style>
  <w:style w:type="character" w:styleId="89">
    <w:name w:val="HTML Acronym"/>
  </w:style>
  <w:style w:type="character" w:styleId="90">
    <w:name w:val="HTML Variable"/>
    <w:rPr>
      <w:i/>
      <w:iCs/>
    </w:rPr>
  </w:style>
  <w:style w:type="character" w:styleId="91">
    <w:name w:val="Hyperlink"/>
    <w:rPr>
      <w:color w:val="0000FF"/>
      <w:u w:val="single"/>
    </w:rPr>
  </w:style>
  <w:style w:type="character" w:styleId="92">
    <w:name w:val="HTML Code"/>
    <w:rPr>
      <w:rFonts w:ascii="Courier New" w:cs="Courier New" w:hAnsi="Courier New"/>
      <w:sz w:val="20"/>
      <w:szCs w:val="20"/>
    </w:rPr>
  </w:style>
  <w:style w:type="character" w:styleId="93">
    <w:name w:val="annotation reference"/>
    <w:rPr>
      <w:sz w:val="21"/>
      <w:szCs w:val="21"/>
    </w:rPr>
  </w:style>
  <w:style w:type="character" w:styleId="94">
    <w:name w:val="HTML Cite"/>
    <w:rPr>
      <w:i/>
      <w:iCs/>
    </w:rPr>
  </w:style>
  <w:style w:type="character" w:styleId="95">
    <w:name w:val="footnote reference"/>
    <w:rPr>
      <w:vertAlign w:val="superscript"/>
    </w:rPr>
  </w:style>
  <w:style w:type="character" w:styleId="96">
    <w:name w:val="HTML Keyboard"/>
    <w:rPr>
      <w:rFonts w:ascii="Courier New" w:cs="Courier New" w:hAnsi="Courier New"/>
      <w:sz w:val="20"/>
      <w:szCs w:val="20"/>
    </w:rPr>
  </w:style>
  <w:style w:type="character" w:styleId="97">
    <w:name w:val="HTML Sample"/>
    <w:rPr>
      <w:rFonts w:ascii="Courier New" w:cs="Courier New" w:hAnsi="Courier New"/>
    </w:rPr>
  </w:style>
  <w:style w:type="paragraph" w:customStyle="1" w:styleId="98">
    <w:name w:val="样式11"/>
    <w:basedOn w:val="0"/>
    <w:pPr>
      <w:adjustRightInd w:val="0"/>
      <w:snapToGrid w:val="0"/>
      <w:spacing w:before="0" w:after="0"/>
      <w:ind w:firstLineChars="0" w:firstLine="0"/>
      <w:jc w:val="center"/>
      <w:outlineLvl w:val="1"/>
    </w:pPr>
    <w:rPr>
      <w:rFonts w:ascii="楷体_GB2312" w:eastAsia="楷体_GB2312" w:cs="楷体_GB2312"/>
      <w:b/>
      <w:bCs/>
      <w:szCs w:val="28"/>
    </w:rPr>
  </w:style>
  <w:style w:type="paragraph" w:customStyle="1" w:styleId="99">
    <w:name w:val="样式1"/>
    <w:basedOn w:val="2"/>
    <w:pPr>
      <w:numPr>
        <w:ilvl w:val="0"/>
        <w:numId w:val="12"/>
      </w:numPr>
      <w:tabs>
        <w:tab w:val="left" w:pos="0"/>
        <w:tab w:val="left" w:pos="900"/>
        <w:tab w:val="left" w:pos="926"/>
      </w:tabs>
    </w:pPr>
  </w:style>
  <w:style w:type="character" w:customStyle="1" w:styleId="100">
    <w:name w:val="批注主题 Char1"/>
    <w:rPr>
      <w:b/>
      <w:bCs/>
      <w:kern w:val="2"/>
      <w:sz w:val="21"/>
      <w:szCs w:val="22"/>
    </w:rPr>
  </w:style>
  <w:style w:type="character" w:customStyle="1" w:styleId="101">
    <w:name w:val="标题 字符"/>
    <w:rPr>
      <w:rFonts w:ascii="Cambria" w:eastAsia="宋体" w:cs="Times New Roman" w:hAnsi="Cambria"/>
      <w:b/>
      <w:bCs/>
      <w:sz w:val="32"/>
      <w:szCs w:val="32"/>
    </w:rPr>
  </w:style>
  <w:style w:type="character" w:customStyle="1" w:styleId="102">
    <w:name w:val="脚注文本 Char1"/>
    <w:rPr>
      <w:kern w:val="2"/>
      <w:sz w:val="18"/>
      <w:szCs w:val="18"/>
    </w:rPr>
  </w:style>
  <w:style w:type="character" w:customStyle="1" w:styleId="103">
    <w:name w:val="标题 Char1"/>
    <w:rPr>
      <w:rFonts w:ascii="Cambria" w:cs="Times New Roman" w:hAnsi="Cambria"/>
      <w:b/>
      <w:bCs/>
      <w:kern w:val="2"/>
      <w:sz w:val="32"/>
      <w:szCs w:val="32"/>
    </w:rPr>
  </w:style>
  <w:style w:type="character" w:customStyle="1" w:styleId="104">
    <w:name w:val="日期 字符"/>
    <w:rPr>
      <w:rFonts w:cs="Times New Roman"/>
    </w:rPr>
  </w:style>
  <w:style w:type="character" w:customStyle="1" w:styleId="105">
    <w:name w:val="页眉 Char1"/>
    <w:rPr>
      <w:kern w:val="2"/>
      <w:sz w:val="18"/>
      <w:szCs w:val="18"/>
    </w:rPr>
  </w:style>
  <w:style w:type="character" w:customStyle="1" w:styleId="106">
    <w:name w:val="文档结构图 Char1"/>
    <w:rPr>
      <w:rFonts w:ascii="宋体" w:eastAsia="宋体"/>
      <w:kern w:val="2"/>
      <w:sz w:val="18"/>
      <w:szCs w:val="18"/>
    </w:rPr>
  </w:style>
  <w:style w:type="character" w:customStyle="1" w:styleId="107">
    <w:name w:val="页脚 Char1"/>
    <w:rPr>
      <w:kern w:val="2"/>
      <w:sz w:val="18"/>
      <w:szCs w:val="18"/>
    </w:rPr>
  </w:style>
  <w:style w:type="character" w:customStyle="1" w:styleId="108">
    <w:name w:val="批注框文本 Char1"/>
    <w:rPr>
      <w:kern w:val="2"/>
      <w:sz w:val="18"/>
      <w:szCs w:val="18"/>
    </w:rPr>
  </w:style>
  <w:style w:type="character" w:customStyle="1" w:styleId="109">
    <w:name w:val="fontstyle21"/>
    <w:rPr>
      <w:rFonts w:ascii="仿宋_GB2312" w:eastAsia="仿宋_GB2312"/>
      <w:color w:val="000000"/>
      <w:sz w:val="24"/>
    </w:rPr>
  </w:style>
  <w:style w:type="character" w:customStyle="1" w:styleId="110">
    <w:name w:val="font101"/>
    <w:rPr>
      <w:rFonts w:ascii="楷体" w:eastAsia="楷体" w:cs="楷体"/>
      <w:color w:val="000000"/>
      <w:sz w:val="20"/>
      <w:szCs w:val="20"/>
      <w:u w:val="none"/>
    </w:rPr>
  </w:style>
  <w:style w:type="character" w:customStyle="1" w:styleId="111">
    <w:name w:val="font91"/>
    <w:rPr>
      <w:rFonts w:ascii="Times New Roman" w:cs="Times New Roman" w:hAnsi="Times New Roman"/>
      <w:color w:val="FF0000"/>
      <w:sz w:val="20"/>
      <w:szCs w:val="20"/>
      <w:u w:val="none"/>
    </w:rPr>
  </w:style>
  <w:style w:type="character" w:customStyle="1" w:styleId="112">
    <w:name w:val="apple-converted-space"/>
  </w:style>
  <w:style w:type="character" w:customStyle="1" w:styleId="113">
    <w:name w:val="font01"/>
    <w:rPr>
      <w:rFonts w:ascii="Times New Roman" w:hAnsi="Times New Roman"/>
      <w:color w:val="000000"/>
      <w:sz w:val="24"/>
      <w:u w:val="none"/>
      <w:vertAlign w:val="superscript"/>
    </w:rPr>
  </w:style>
  <w:style w:type="character" w:customStyle="1" w:styleId="114">
    <w:name w:val="标题 1 字符1"/>
    <w:rPr>
      <w:rFonts w:ascii="Calibri" w:eastAsia="宋体" w:hAnsi="Calibri"/>
      <w:b/>
      <w:kern w:val="44"/>
      <w:sz w:val="44"/>
    </w:rPr>
  </w:style>
  <w:style w:type="character" w:customStyle="1" w:styleId="115">
    <w:name w:val="页脚 字符"/>
    <w:rPr>
      <w:sz w:val="18"/>
      <w:szCs w:val="18"/>
    </w:rPr>
  </w:style>
  <w:style w:type="character" w:customStyle="1" w:styleId="116">
    <w:name w:val="font51"/>
    <w:rPr>
      <w:rFonts w:ascii="Times New Roman" w:cs="Times New Roman" w:hAnsi="Times New Roman"/>
      <w:color w:val="000000"/>
      <w:sz w:val="20"/>
      <w:szCs w:val="20"/>
      <w:u w:val="none"/>
    </w:rPr>
  </w:style>
  <w:style w:type="character" w:customStyle="1" w:styleId="117">
    <w:name w:val="content1"/>
    <w:rPr>
      <w:rFonts w:ascii="宋体" w:eastAsia="宋体"/>
      <w:color w:val="333333"/>
      <w:sz w:val="21"/>
      <w:szCs w:val="21"/>
    </w:rPr>
  </w:style>
  <w:style w:type="paragraph" w:customStyle="1" w:styleId="118">
    <w:name w:val="Body text|1"/>
    <w:basedOn w:val="0"/>
    <w:pPr>
      <w:spacing w:after="320" w:line="420" w:lineRule="auto"/>
      <w:ind w:firstLineChars="0" w:firstLine="0"/>
      <w:jc w:val="left"/>
    </w:pPr>
    <w:rPr>
      <w:rFonts w:ascii="宋体" w:eastAsia="宋体" w:cs="宋体"/>
      <w:kern w:val="0"/>
      <w:sz w:val="56"/>
      <w:szCs w:val="56"/>
      <w:lang w:val="zh-TW" w:eastAsia="zh-TW"/>
    </w:rPr>
  </w:style>
  <w:style w:type="character" w:customStyle="1" w:styleId="119">
    <w:name w:val="h181"/>
  </w:style>
  <w:style w:type="character" w:customStyle="1" w:styleId="120">
    <w:name w:val="批注主题 字符1"/>
    <w:rPr>
      <w:rFonts w:ascii="Calibri" w:eastAsia="宋体" w:cs="Times New Roman" w:hAnsi="Calibri"/>
      <w:b/>
      <w:bCs/>
      <w:sz w:val="24"/>
      <w:szCs w:val="24"/>
    </w:rPr>
  </w:style>
  <w:style w:type="paragraph" w:customStyle="1" w:styleId="121">
    <w:name w:val="!图表标题"/>
    <w:basedOn w:val="0"/>
    <w:pPr>
      <w:jc w:val="center"/>
    </w:pPr>
    <w:rPr>
      <w:b/>
      <w:bCs/>
      <w:kern w:val="0"/>
      <w:sz w:val="24"/>
    </w:rPr>
  </w:style>
  <w:style w:type="paragraph" w:customStyle="1" w:styleId="122">
    <w:name w:val="表头"/>
    <w:basedOn w:val="121"/>
    <w:pPr>
      <w:ind w:firstLineChars="0" w:firstLine="0"/>
    </w:pPr>
    <w:rPr>
      <w:rFonts w:ascii="黑体" w:eastAsia="黑体"/>
      <w:kern w:val="2"/>
      <w:sz w:val="21"/>
      <w:szCs w:val="21"/>
    </w:rPr>
  </w:style>
  <w:style w:type="character" w:customStyle="1" w:styleId="123">
    <w:name w:val="批注主题 字符"/>
    <w:rPr>
      <w:rFonts w:ascii="Calibri" w:eastAsia="宋体" w:cs="Times New Roman" w:hAnsi="Calibri"/>
      <w:b/>
      <w:bCs/>
      <w:sz w:val="24"/>
      <w:szCs w:val="24"/>
    </w:rPr>
  </w:style>
  <w:style w:type="character" w:customStyle="1" w:styleId="124">
    <w:name w:val="批注文字 字符"/>
    <w:rPr>
      <w:rFonts w:ascii="Calibri" w:eastAsia="宋体" w:cs="Times New Roman" w:hAnsi="Calibri"/>
      <w:sz w:val="24"/>
      <w:szCs w:val="24"/>
    </w:rPr>
  </w:style>
  <w:style w:type="paragraph" w:customStyle="1" w:styleId="125">
    <w:name w:val="标准文字"/>
    <w:basedOn w:val="0"/>
    <w:rPr>
      <w:kern w:val="0"/>
      <w:sz w:val="30"/>
      <w:szCs w:val="30"/>
    </w:rPr>
  </w:style>
  <w:style w:type="character" w:customStyle="1" w:styleId="126">
    <w:name w:val="批注框文本 字符"/>
    <w:rPr>
      <w:rFonts w:cs="Times New Roman"/>
      <w:sz w:val="18"/>
      <w:szCs w:val="18"/>
    </w:rPr>
  </w:style>
  <w:style w:type="character" w:customStyle="1" w:styleId="127">
    <w:name w:val="标题 字符1"/>
    <w:rPr>
      <w:rFonts w:ascii="Cambria" w:eastAsia="宋体" w:cs="Times New Roman" w:hAnsi="Cambria"/>
      <w:b/>
      <w:bCs/>
      <w:sz w:val="32"/>
      <w:szCs w:val="32"/>
    </w:rPr>
  </w:style>
  <w:style w:type="character" w:customStyle="1" w:styleId="128">
    <w:name w:val="页眉 字符1"/>
    <w:rPr>
      <w:rFonts w:cs="Times New Roman"/>
      <w:sz w:val="18"/>
      <w:szCs w:val="18"/>
    </w:rPr>
  </w:style>
  <w:style w:type="character" w:customStyle="1" w:styleId="129">
    <w:name w:val="标题 3 字符1"/>
    <w:rPr>
      <w:rFonts w:cs="Times New Roman"/>
      <w:b/>
      <w:bCs/>
      <w:sz w:val="32"/>
      <w:szCs w:val="32"/>
    </w:rPr>
  </w:style>
  <w:style w:type="character" w:customStyle="1" w:styleId="130">
    <w:name w:val="文档结构图 字符1"/>
    <w:rPr>
      <w:rFonts w:ascii="宋体" w:eastAsia="宋体" w:cs="Times New Roman"/>
      <w:sz w:val="18"/>
      <w:szCs w:val="18"/>
    </w:rPr>
  </w:style>
  <w:style w:type="character" w:customStyle="1" w:styleId="131">
    <w:name w:val="日期 字符1"/>
    <w:rPr>
      <w:rFonts w:cs="Times New Roman"/>
    </w:rPr>
  </w:style>
  <w:style w:type="character" w:customStyle="1" w:styleId="132">
    <w:name w:val="标题 2 字符1"/>
    <w:rPr>
      <w:rFonts w:ascii="Cambria" w:eastAsia="宋体" w:cs="Times New Roman" w:hAnsi="Cambria"/>
      <w:b/>
      <w:bCs/>
      <w:sz w:val="32"/>
      <w:szCs w:val="32"/>
    </w:rPr>
  </w:style>
  <w:style w:type="character" w:customStyle="1" w:styleId="133">
    <w:name w:val="批注文字 字符1"/>
    <w:rPr>
      <w:rFonts w:ascii="Calibri" w:eastAsia="宋体" w:cs="Times New Roman" w:hAnsi="Calibri"/>
      <w:sz w:val="24"/>
      <w:szCs w:val="24"/>
    </w:rPr>
  </w:style>
  <w:style w:type="character" w:customStyle="1" w:styleId="134">
    <w:name w:val="页眉 字符"/>
    <w:rPr>
      <w:rFonts w:cs="Times New Roman"/>
      <w:sz w:val="18"/>
      <w:szCs w:val="18"/>
    </w:rPr>
  </w:style>
  <w:style w:type="character" w:customStyle="1" w:styleId="135">
    <w:name w:val="日期 Char1"/>
    <w:rPr>
      <w:kern w:val="2"/>
      <w:sz w:val="21"/>
      <w:szCs w:val="22"/>
    </w:rPr>
  </w:style>
  <w:style w:type="character" w:customStyle="1" w:styleId="136">
    <w:name w:val="批注文字 Char1"/>
    <w:rPr>
      <w:kern w:val="2"/>
      <w:sz w:val="21"/>
      <w:szCs w:val="22"/>
    </w:rPr>
  </w:style>
  <w:style w:type="character" w:customStyle="1" w:styleId="137">
    <w:name w:val="font21"/>
    <w:rPr>
      <w:rFonts w:ascii="宋体" w:eastAsia="宋体"/>
      <w:color w:val="000000"/>
      <w:sz w:val="22"/>
      <w:u w:val="none"/>
    </w:rPr>
  </w:style>
  <w:style w:type="paragraph" w:customStyle="1" w:styleId="138">
    <w:name w:val="公文标题"/>
    <w:basedOn w:val="77"/>
    <w:next w:val="139"/>
    <w:pPr>
      <w:widowControl/>
      <w:spacing w:before="0" w:after="0" w:line="580" w:lineRule="exact"/>
      <w:ind w:firstLineChars="0" w:firstLine="0"/>
    </w:pPr>
    <w:rPr>
      <w:rFonts w:ascii="Cambria" w:eastAsia="方正小标宋简体" w:hAnsi="Cambria"/>
      <w:kern w:val="0"/>
      <w:lang w:val="en-US" w:eastAsia="zh-CN"/>
    </w:rPr>
  </w:style>
  <w:style w:type="paragraph" w:customStyle="1" w:styleId="139">
    <w:name w:val="公文正文"/>
    <w:basedOn w:val="0"/>
    <w:pPr>
      <w:widowControl/>
      <w:spacing w:line="580" w:lineRule="exact"/>
    </w:pPr>
    <w:rPr>
      <w:rFonts w:ascii="Calibri" w:hAnsi="Calibri"/>
      <w:sz w:val="32"/>
      <w:szCs w:val="22"/>
    </w:rPr>
  </w:style>
  <w:style w:type="character" w:customStyle="1" w:styleId="140">
    <w:name w:val="font31"/>
    <w:rPr>
      <w:rFonts w:ascii="Times New Roman" w:hAnsi="Times New Roman"/>
      <w:color w:val="000000"/>
      <w:sz w:val="22"/>
      <w:u w:val="none"/>
    </w:rPr>
  </w:style>
  <w:style w:type="character" w:customStyle="1" w:styleId="141">
    <w:name w:val="标题 4 字符1"/>
    <w:rPr>
      <w:rFonts w:ascii="Cambria" w:eastAsia="宋体" w:cs="Times New Roman" w:hAnsi="Cambria"/>
      <w:b/>
      <w:bCs/>
      <w:sz w:val="28"/>
      <w:szCs w:val="28"/>
    </w:rPr>
  </w:style>
  <w:style w:type="character" w:customStyle="1" w:styleId="142">
    <w:name w:val="font112"/>
    <w:rPr>
      <w:rFonts w:ascii="仿宋_GB2312" w:eastAsia="仿宋_GB2312" w:cs="仿宋_GB2312"/>
      <w:color w:val="000000"/>
      <w:sz w:val="22"/>
      <w:szCs w:val="22"/>
      <w:u w:val="none"/>
    </w:rPr>
  </w:style>
  <w:style w:type="character" w:customStyle="1" w:styleId="143">
    <w:name w:val="st"/>
  </w:style>
  <w:style w:type="character" w:customStyle="1" w:styleId="144">
    <w:name w:val="标题 4 字符"/>
    <w:rPr>
      <w:rFonts w:ascii="Cambria" w:eastAsia="宋体" w:cs="Times New Roman" w:hAnsi="Cambria"/>
      <w:b/>
      <w:bCs/>
      <w:sz w:val="28"/>
      <w:szCs w:val="28"/>
    </w:rPr>
  </w:style>
  <w:style w:type="character" w:customStyle="1" w:styleId="145">
    <w:name w:val="标题 1 字符2"/>
    <w:rPr>
      <w:rFonts w:cs="Times New Roman"/>
      <w:b/>
      <w:bCs/>
      <w:kern w:val="44"/>
      <w:sz w:val="44"/>
      <w:szCs w:val="44"/>
    </w:rPr>
  </w:style>
  <w:style w:type="character" w:customStyle="1" w:styleId="146">
    <w:name w:val="访问过的超链接1"/>
    <w:rPr>
      <w:color w:val="800080"/>
      <w:u w:val="single"/>
    </w:rPr>
  </w:style>
  <w:style w:type="character" w:customStyle="1" w:styleId="147">
    <w:name w:val="称呼 Char2"/>
  </w:style>
  <w:style w:type="character" w:customStyle="1" w:styleId="148">
    <w:name w:val="脚注文本 字符"/>
    <w:rPr>
      <w:rFonts w:ascii="Times New Roman" w:eastAsia="宋体" w:cs="Times New Roman" w:hAnsi="Times New Roman"/>
      <w:sz w:val="18"/>
      <w:szCs w:val="18"/>
    </w:rPr>
  </w:style>
  <w:style w:type="character" w:customStyle="1" w:styleId="149">
    <w:name w:val="脚注文本 字符1"/>
    <w:rPr>
      <w:rFonts w:ascii="Times New Roman" w:eastAsia="宋体" w:cs="Times New Roman" w:hAnsi="Times New Roman"/>
      <w:sz w:val="18"/>
      <w:szCs w:val="18"/>
    </w:rPr>
  </w:style>
  <w:style w:type="character" w:customStyle="1" w:styleId="150">
    <w:name w:val="正文文本 字符1"/>
    <w:rPr>
      <w:rFonts w:eastAsia="方正书宋简体" w:cs="Times New Roman"/>
      <w:sz w:val="32"/>
      <w:szCs w:val="32"/>
    </w:rPr>
  </w:style>
  <w:style w:type="character" w:customStyle="1" w:styleId="151">
    <w:name w:val="标题 2 字符"/>
    <w:rPr>
      <w:rFonts w:ascii="Cambria" w:eastAsia="宋体" w:cs="Times New Roman" w:hAnsi="Cambria"/>
      <w:b/>
      <w:bCs/>
      <w:sz w:val="32"/>
      <w:szCs w:val="32"/>
    </w:rPr>
  </w:style>
  <w:style w:type="character" w:customStyle="1" w:styleId="152">
    <w:name w:val="页脚 字符1"/>
    <w:rPr>
      <w:rFonts w:cs="Times New Roman"/>
      <w:sz w:val="18"/>
      <w:szCs w:val="18"/>
    </w:rPr>
  </w:style>
  <w:style w:type="character" w:customStyle="1" w:styleId="153">
    <w:name w:val="正文文本 字符"/>
    <w:rPr>
      <w:rFonts w:eastAsia="方正书宋简体" w:cs="Times New Roman"/>
      <w:sz w:val="32"/>
      <w:szCs w:val="32"/>
    </w:rPr>
  </w:style>
  <w:style w:type="character" w:customStyle="1" w:styleId="154">
    <w:name w:val="font41"/>
    <w:rPr>
      <w:rFonts w:ascii="Times New Roman" w:hAnsi="Times New Roman"/>
      <w:color w:val="000000"/>
      <w:sz w:val="22"/>
      <w:u w:val="none"/>
    </w:rPr>
  </w:style>
  <w:style w:type="character" w:customStyle="1" w:styleId="155">
    <w:name w:val="font81"/>
    <w:rPr>
      <w:rFonts w:ascii="微软雅黑" w:eastAsia="微软雅黑"/>
      <w:color w:val="000000"/>
      <w:sz w:val="20"/>
      <w:u w:val="none"/>
    </w:rPr>
  </w:style>
  <w:style w:type="character" w:customStyle="1" w:styleId="156">
    <w:name w:val="font61"/>
    <w:rPr>
      <w:rFonts w:ascii="Times New Roman" w:cs="Times New Roman" w:hAnsi="Times New Roman"/>
      <w:color w:val="000000"/>
      <w:sz w:val="20"/>
      <w:szCs w:val="20"/>
      <w:u w:val="none"/>
      <w:vertAlign w:val="superscript"/>
    </w:rPr>
  </w:style>
  <w:style w:type="character" w:customStyle="1" w:styleId="157">
    <w:name w:val="apple-style-span"/>
  </w:style>
  <w:style w:type="character" w:customStyle="1" w:styleId="158">
    <w:name w:val="标题 3 字符"/>
    <w:rPr>
      <w:rFonts w:cs="Times New Roman"/>
      <w:b/>
      <w:bCs/>
      <w:sz w:val="32"/>
      <w:szCs w:val="32"/>
    </w:rPr>
  </w:style>
  <w:style w:type="character" w:customStyle="1" w:styleId="159">
    <w:name w:val="称呼 Char1"/>
    <w:rPr>
      <w:rFonts w:eastAsia="仿宋"/>
      <w:sz w:val="28"/>
      <w:szCs w:val="24"/>
    </w:rPr>
  </w:style>
  <w:style w:type="character" w:customStyle="1" w:styleId="160">
    <w:name w:val="fontstyle01"/>
    <w:rPr>
      <w:rFonts w:ascii="仿宋_GB2312" w:eastAsia="仿宋_GB2312"/>
      <w:color w:val="000000"/>
      <w:sz w:val="24"/>
    </w:rPr>
  </w:style>
  <w:style w:type="character" w:customStyle="1" w:styleId="161">
    <w:name w:val="正文文本 Char1"/>
    <w:rPr>
      <w:kern w:val="2"/>
      <w:sz w:val="21"/>
      <w:szCs w:val="22"/>
    </w:rPr>
  </w:style>
  <w:style w:type="character" w:customStyle="1" w:styleId="162">
    <w:name w:val="文档结构图 字符"/>
    <w:rPr>
      <w:rFonts w:ascii="宋体" w:eastAsia="宋体" w:cs="Times New Roman"/>
      <w:sz w:val="18"/>
      <w:szCs w:val="18"/>
    </w:rPr>
  </w:style>
  <w:style w:type="character" w:customStyle="1" w:styleId="163">
    <w:name w:val="批注框文本 字符1"/>
    <w:rPr>
      <w:rFonts w:cs="Times New Roman"/>
      <w:sz w:val="18"/>
      <w:szCs w:val="18"/>
    </w:rPr>
  </w:style>
  <w:style w:type="character" w:customStyle="1" w:styleId="164">
    <w:name w:val="font71"/>
    <w:rPr>
      <w:rFonts w:ascii="Times New Roman" w:cs="Times New Roman" w:hAnsi="Times New Roman"/>
      <w:color w:val="FF0000"/>
      <w:sz w:val="20"/>
      <w:szCs w:val="20"/>
      <w:u w:val="none"/>
      <w:vertAlign w:val="superscript"/>
    </w:rPr>
  </w:style>
  <w:style w:type="character" w:customStyle="1" w:styleId="165">
    <w:name w:val="标题 1 字符"/>
    <w:rPr>
      <w:rFonts w:cs="Times New Roman"/>
      <w:b/>
      <w:bCs/>
      <w:kern w:val="44"/>
      <w:sz w:val="44"/>
      <w:szCs w:val="44"/>
    </w:rPr>
  </w:style>
  <w:style w:type="character" w:customStyle="1" w:styleId="166">
    <w:name w:val="style31"/>
    <w:rPr>
      <w:color w:val="000000"/>
    </w:rPr>
  </w:style>
  <w:style w:type="paragraph" w:customStyle="1" w:styleId="167">
    <w:name w:val="xl161"/>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top"/>
    </w:pPr>
    <w:rPr>
      <w:rFonts w:ascii="宋体" w:eastAsia="宋体" w:cs="宋体"/>
      <w:kern w:val="0"/>
      <w:sz w:val="18"/>
      <w:szCs w:val="18"/>
    </w:rPr>
  </w:style>
  <w:style w:type="paragraph" w:customStyle="1" w:styleId="168">
    <w:name w:val="xl132"/>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169">
    <w:name w:val="xl42"/>
    <w:basedOn w:val="0"/>
    <w:pPr>
      <w:widowControl/>
      <w:pBdr>
        <w:top w:val="single" w:sz="8"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cs="宋体"/>
      <w:kern w:val="0"/>
      <w:sz w:val="24"/>
    </w:rPr>
  </w:style>
  <w:style w:type="paragraph" w:customStyle="1" w:styleId="170">
    <w:name w:val="List Paragraph"/>
    <w:basedOn w:val="0"/>
    <w:pPr>
      <w:spacing w:line="240" w:lineRule="auto"/>
    </w:pPr>
    <w:rPr>
      <w:rFonts w:ascii="Calibri" w:eastAsia="宋体" w:hAnsi="Calibri"/>
      <w:sz w:val="21"/>
      <w:szCs w:val="22"/>
    </w:rPr>
  </w:style>
  <w:style w:type="paragraph" w:customStyle="1" w:styleId="171">
    <w:name w:val="xl99"/>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172">
    <w:name w:val="xl41"/>
    <w:basedOn w:val="0"/>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cs="宋体"/>
      <w:kern w:val="0"/>
      <w:sz w:val="24"/>
    </w:rPr>
  </w:style>
  <w:style w:type="paragraph" w:customStyle="1" w:styleId="173">
    <w:name w:val="xl134"/>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cs="宋体"/>
      <w:kern w:val="0"/>
      <w:sz w:val="18"/>
      <w:szCs w:val="18"/>
    </w:rPr>
  </w:style>
  <w:style w:type="paragraph" w:customStyle="1" w:styleId="174">
    <w:name w:val="xl72"/>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175">
    <w:name w:val="font8"/>
    <w:basedOn w:val="0"/>
    <w:pPr>
      <w:widowControl/>
      <w:spacing w:before="100" w:beforeAutospacing="1" w:after="100" w:afterAutospacing="1" w:line="240" w:lineRule="auto"/>
      <w:ind w:firstLineChars="0" w:firstLine="0"/>
      <w:jc w:val="left"/>
    </w:pPr>
    <w:rPr>
      <w:rFonts w:eastAsia="宋体"/>
      <w:color w:val="000000"/>
      <w:kern w:val="0"/>
      <w:sz w:val="18"/>
      <w:szCs w:val="18"/>
    </w:rPr>
  </w:style>
  <w:style w:type="paragraph" w:customStyle="1" w:styleId="176">
    <w:name w:val="xl131"/>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color w:val="000000"/>
      <w:kern w:val="0"/>
      <w:sz w:val="18"/>
      <w:szCs w:val="18"/>
    </w:rPr>
  </w:style>
  <w:style w:type="paragraph" w:customStyle="1" w:styleId="177">
    <w:name w:val="xl101"/>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178">
    <w:name w:val="xl70"/>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179">
    <w:name w:val="xl69"/>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180">
    <w:name w:val="xl162"/>
    <w:basedOn w:val="0"/>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181">
    <w:name w:val="xl100"/>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182">
    <w:name w:val="xl43"/>
    <w:basedOn w:val="0"/>
    <w:pPr>
      <w:widowControl/>
      <w:pBdr>
        <w:top w:val="single" w:sz="4" w:space="0" w:color="auto"/>
        <w:left w:val="single" w:sz="4" w:space="0" w:color="auto"/>
        <w:bottom w:val="single" w:sz="8" w:space="0" w:color="auto"/>
      </w:pBdr>
      <w:spacing w:before="100" w:beforeAutospacing="1" w:after="100" w:afterAutospacing="1" w:line="240" w:lineRule="auto"/>
      <w:ind w:firstLineChars="0" w:firstLine="0"/>
      <w:jc w:val="left"/>
    </w:pPr>
    <w:rPr>
      <w:rFonts w:ascii="宋体" w:eastAsia="宋体" w:cs="宋体"/>
      <w:kern w:val="0"/>
      <w:sz w:val="24"/>
    </w:rPr>
  </w:style>
  <w:style w:type="paragraph" w:customStyle="1" w:styleId="183">
    <w:name w:val="样式8"/>
    <w:basedOn w:val="0"/>
    <w:pPr>
      <w:numPr>
        <w:ilvl w:val="0"/>
        <w:numId w:val="13"/>
      </w:numPr>
      <w:ind w:firstLineChars="0"/>
    </w:pPr>
  </w:style>
  <w:style w:type="paragraph" w:customStyle="1" w:styleId="184">
    <w:name w:val="xl164"/>
    <w:basedOn w:val="0"/>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185">
    <w:name w:val="xl103"/>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186">
    <w:name w:val="a"/>
    <w:basedOn w:val="0"/>
    <w:pPr>
      <w:widowControl/>
      <w:spacing w:before="100" w:beforeAutospacing="1" w:after="100" w:afterAutospacing="1" w:line="240" w:lineRule="auto"/>
      <w:ind w:firstLineChars="0" w:firstLine="0"/>
      <w:jc w:val="left"/>
    </w:pPr>
    <w:rPr>
      <w:rFonts w:ascii="宋体" w:eastAsia="宋体" w:cs="宋体"/>
      <w:kern w:val="0"/>
      <w:sz w:val="24"/>
    </w:rPr>
  </w:style>
  <w:style w:type="paragraph" w:customStyle="1" w:styleId="187">
    <w:name w:val="xl25"/>
    <w:basedOn w:val="0"/>
    <w:pPr>
      <w:widowControl/>
      <w:spacing w:before="100" w:beforeAutospacing="1" w:after="100" w:afterAutospacing="1"/>
    </w:pPr>
    <w:rPr>
      <w:rFonts w:ascii="宋体" w:hAnsi="宋体"/>
      <w:kern w:val="0"/>
      <w:sz w:val="24"/>
    </w:rPr>
  </w:style>
  <w:style w:type="paragraph" w:customStyle="1" w:styleId="188">
    <w:name w:val="1 Char"/>
    <w:basedOn w:val="3"/>
    <w:pPr>
      <w:numPr>
        <w:ilvl w:val="0"/>
        <w:numId w:val="14"/>
      </w:numPr>
    </w:pPr>
    <w:rPr>
      <w:kern w:val="2"/>
    </w:rPr>
  </w:style>
  <w:style w:type="paragraph" w:customStyle="1" w:styleId="189">
    <w:name w:val="xl104"/>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仿宋_GB2312" w:cs="宋体"/>
      <w:kern w:val="0"/>
      <w:sz w:val="18"/>
      <w:szCs w:val="18"/>
    </w:rPr>
  </w:style>
  <w:style w:type="paragraph" w:customStyle="1" w:styleId="190">
    <w:name w:val="xl73"/>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191">
    <w:name w:val="font9"/>
    <w:basedOn w:val="0"/>
    <w:pPr>
      <w:widowControl/>
      <w:spacing w:before="100" w:beforeAutospacing="1" w:after="100" w:afterAutospacing="1" w:line="240" w:lineRule="auto"/>
      <w:ind w:firstLineChars="0" w:firstLine="0"/>
      <w:jc w:val="left"/>
    </w:pPr>
    <w:rPr>
      <w:rFonts w:ascii="宋体" w:eastAsia="宋体" w:cs="宋体"/>
      <w:color w:val="FF00FF"/>
      <w:kern w:val="0"/>
      <w:sz w:val="18"/>
      <w:szCs w:val="18"/>
    </w:rPr>
  </w:style>
  <w:style w:type="paragraph" w:customStyle="1" w:styleId="192">
    <w:name w:val="样式3"/>
    <w:basedOn w:val="2"/>
    <w:pPr>
      <w:keepNext/>
      <w:keepLines/>
      <w:widowControl w:val="0"/>
      <w:tabs>
        <w:tab w:val="left" w:pos="0"/>
        <w:tab w:val="left" w:pos="900"/>
        <w:tab w:val="left" w:pos="926"/>
        <w:tab w:val="left" w:pos="992"/>
      </w:tabs>
      <w:spacing w:beforeLines="50" w:before="50" w:afterLines="50" w:after="50"/>
      <w:ind w:left="990" w:hanging="567"/>
    </w:pPr>
    <w:rPr>
      <w:sz w:val="28"/>
    </w:rPr>
  </w:style>
  <w:style w:type="paragraph" w:customStyle="1" w:styleId="193">
    <w:name w:val="xl167"/>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194">
    <w:name w:val="xl135"/>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Helv" w:eastAsia="宋体" w:cs="宋体" w:hAnsi="Helv"/>
      <w:kern w:val="0"/>
      <w:sz w:val="18"/>
      <w:szCs w:val="18"/>
    </w:rPr>
  </w:style>
  <w:style w:type="paragraph" w:customStyle="1" w:styleId="195">
    <w:name w:val="font11"/>
    <w:basedOn w:val="0"/>
    <w:pPr>
      <w:widowControl/>
      <w:spacing w:before="100" w:beforeAutospacing="1" w:after="100" w:afterAutospacing="1" w:line="240" w:lineRule="auto"/>
      <w:ind w:firstLineChars="0" w:firstLine="0"/>
      <w:jc w:val="left"/>
    </w:pPr>
    <w:rPr>
      <w:rFonts w:eastAsia="宋体"/>
      <w:color w:val="FF00FF"/>
      <w:kern w:val="0"/>
      <w:sz w:val="18"/>
      <w:szCs w:val="18"/>
    </w:rPr>
  </w:style>
  <w:style w:type="paragraph" w:customStyle="1" w:styleId="196">
    <w:name w:val="表名"/>
    <w:basedOn w:val="0"/>
    <w:pPr>
      <w:widowControl/>
      <w:adjustRightInd w:val="0"/>
      <w:snapToGrid w:val="0"/>
      <w:spacing w:beforeLines="50" w:before="50" w:line="240" w:lineRule="auto"/>
      <w:ind w:firstLineChars="0" w:firstLine="0"/>
      <w:jc w:val="center"/>
      <w:outlineLvl w:val="8"/>
    </w:pPr>
    <w:rPr>
      <w:rFonts w:ascii="黑体" w:eastAsia="黑体"/>
      <w:b/>
      <w:bCs/>
      <w:sz w:val="21"/>
      <w:szCs w:val="21"/>
    </w:rPr>
  </w:style>
  <w:style w:type="paragraph" w:customStyle="1" w:styleId="197">
    <w:name w:val="Char1"/>
    <w:basedOn w:val="0"/>
    <w:pPr>
      <w:widowControl/>
      <w:spacing w:after="160" w:line="240" w:lineRule="exact"/>
      <w:jc w:val="left"/>
    </w:pPr>
    <w:rPr>
      <w:rFonts w:ascii="Verdana" w:hAnsi="Verdana"/>
      <w:kern w:val="0"/>
      <w:sz w:val="20"/>
      <w:szCs w:val="20"/>
      <w:lang w:eastAsia="en-US"/>
    </w:rPr>
  </w:style>
  <w:style w:type="paragraph" w:customStyle="1" w:styleId="198">
    <w:name w:val="xl168"/>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color w:val="FF0000"/>
      <w:kern w:val="0"/>
      <w:sz w:val="18"/>
      <w:szCs w:val="18"/>
    </w:rPr>
  </w:style>
  <w:style w:type="paragraph" w:customStyle="1" w:styleId="199">
    <w:name w:val="xl137"/>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00">
    <w:name w:val="xl107"/>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color w:val="000000"/>
      <w:kern w:val="0"/>
      <w:sz w:val="18"/>
      <w:szCs w:val="18"/>
    </w:rPr>
  </w:style>
  <w:style w:type="paragraph" w:customStyle="1" w:styleId="201">
    <w:name w:val="xl74"/>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202">
    <w:name w:val="!t2"/>
    <w:basedOn w:val="2"/>
    <w:pPr>
      <w:tabs>
        <w:tab w:val="left" w:pos="0"/>
        <w:tab w:val="left" w:pos="900"/>
        <w:tab w:val="left" w:pos="926"/>
      </w:tabs>
    </w:pPr>
  </w:style>
  <w:style w:type="paragraph" w:customStyle="1" w:styleId="203">
    <w:name w:val="样式9"/>
    <w:basedOn w:val="3"/>
    <w:pPr>
      <w:numPr>
        <w:ilvl w:val="2"/>
        <w:numId w:val="15"/>
      </w:numPr>
      <w:adjustRightInd w:val="0"/>
      <w:snapToGrid w:val="0"/>
      <w:spacing w:beforeLines="50" w:before="50"/>
    </w:pPr>
    <w:rPr>
      <w:rFonts w:eastAsia="宋体"/>
      <w:kern w:val="2"/>
      <w:sz w:val="32"/>
      <w:szCs w:val="28"/>
    </w:rPr>
  </w:style>
  <w:style w:type="paragraph" w:customStyle="1" w:styleId="204">
    <w:name w:val="xl169"/>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color w:val="000000"/>
      <w:kern w:val="0"/>
      <w:sz w:val="18"/>
      <w:szCs w:val="18"/>
    </w:rPr>
  </w:style>
  <w:style w:type="paragraph" w:customStyle="1" w:styleId="205">
    <w:name w:val="列表段落1"/>
    <w:basedOn w:val="0"/>
    <w:pPr>
      <w:spacing w:line="240" w:lineRule="auto"/>
    </w:pPr>
    <w:rPr>
      <w:rFonts w:ascii="Calibri" w:eastAsia="宋体" w:hAnsi="Calibri"/>
      <w:sz w:val="21"/>
      <w:szCs w:val="22"/>
    </w:rPr>
  </w:style>
  <w:style w:type="paragraph" w:customStyle="1" w:styleId="206">
    <w:name w:val="xl140"/>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07">
    <w:name w:val="xl109"/>
    <w:basedOn w:val="0"/>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08">
    <w:name w:val="xl78"/>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209">
    <w:name w:val="样式 标题 4 + 段前: 1 行 段后: 1 行"/>
    <w:basedOn w:val="4"/>
    <w:pPr>
      <w:tabs>
        <w:tab w:val="clear" w:pos="900"/>
        <w:tab w:val="left" w:pos="0"/>
        <w:tab w:val="left" w:pos="926"/>
      </w:tabs>
    </w:pPr>
    <w:rPr>
      <w:rFonts w:cs="宋体"/>
      <w:szCs w:val="20"/>
    </w:rPr>
  </w:style>
  <w:style w:type="paragraph" w:customStyle="1" w:styleId="210">
    <w:name w:val="xl171"/>
    <w:basedOn w:val="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center"/>
      <w:textAlignment w:val="center"/>
    </w:pPr>
    <w:rPr>
      <w:rFonts w:ascii="宋体" w:eastAsia="宋体" w:cs="宋体"/>
      <w:b/>
      <w:bCs/>
      <w:kern w:val="0"/>
      <w:sz w:val="18"/>
      <w:szCs w:val="18"/>
    </w:rPr>
  </w:style>
  <w:style w:type="paragraph" w:customStyle="1" w:styleId="211">
    <w:name w:val="xl139"/>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12">
    <w:name w:val="xl77"/>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eastAsia="宋体"/>
      <w:kern w:val="0"/>
      <w:sz w:val="18"/>
      <w:szCs w:val="18"/>
    </w:rPr>
  </w:style>
  <w:style w:type="paragraph" w:customStyle="1" w:styleId="213">
    <w:name w:val="xl46"/>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cs="宋体"/>
      <w:color w:val="000000"/>
      <w:kern w:val="0"/>
      <w:sz w:val="24"/>
    </w:rPr>
  </w:style>
  <w:style w:type="paragraph" w:customStyle="1" w:styleId="214">
    <w:name w:val="样式 标题 4 + 段前: 1 行 段后: 1 行1"/>
    <w:basedOn w:val="4"/>
    <w:pPr>
      <w:tabs>
        <w:tab w:val="clear" w:pos="900"/>
        <w:tab w:val="left" w:pos="0"/>
        <w:tab w:val="left" w:pos="926"/>
      </w:tabs>
      <w:spacing w:before="312" w:after="312"/>
      <w:ind w:firstLineChars="240" w:firstLine="240"/>
    </w:pPr>
    <w:rPr>
      <w:rFonts w:cs="宋体"/>
      <w:b w:val="0"/>
      <w:color w:val="FF0000"/>
      <w:szCs w:val="20"/>
    </w:rPr>
  </w:style>
  <w:style w:type="paragraph" w:customStyle="1" w:styleId="215">
    <w:name w:val="xl177"/>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16">
    <w:name w:val="xl146"/>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17">
    <w:name w:val="xl115"/>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218">
    <w:name w:val="样式 样式8 + (中文) 仿宋_GB2312 小三"/>
    <w:basedOn w:val="183"/>
  </w:style>
  <w:style w:type="paragraph" w:customStyle="1" w:styleId="219">
    <w:name w:val="xl170"/>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220">
    <w:name w:val="font5"/>
    <w:basedOn w:val="0"/>
    <w:pPr>
      <w:widowControl/>
      <w:spacing w:before="100" w:beforeAutospacing="1" w:after="100" w:afterAutospacing="1" w:line="240" w:lineRule="auto"/>
      <w:ind w:firstLineChars="0" w:firstLine="0"/>
      <w:jc w:val="left"/>
    </w:pPr>
    <w:rPr>
      <w:rFonts w:ascii="宋体" w:eastAsia="宋体" w:cs="宋体"/>
      <w:kern w:val="0"/>
      <w:sz w:val="18"/>
      <w:szCs w:val="18"/>
    </w:rPr>
  </w:style>
  <w:style w:type="paragraph" w:customStyle="1" w:styleId="221">
    <w:name w:val="!正文公式"/>
    <w:next w:val="0"/>
    <w:pPr>
      <w:tabs>
        <w:tab w:val="left" w:pos="840"/>
        <w:tab w:val="right" w:pos="8296"/>
      </w:tabs>
      <w:spacing w:line="360" w:lineRule="auto"/>
      <w:jc w:val="both"/>
    </w:pPr>
    <w:rPr>
      <w:rFonts w:ascii="宋体" w:eastAsia="宋体" w:cs="Times New Roman"/>
      <w:sz w:val="24"/>
      <w:lang w:val="en-US" w:eastAsia="zh-CN" w:bidi="ar-SA"/>
    </w:rPr>
  </w:style>
  <w:style w:type="paragraph" w:customStyle="1" w:styleId="222">
    <w:name w:val="xl172"/>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23">
    <w:name w:val="xl81"/>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cs="宋体"/>
      <w:kern w:val="0"/>
      <w:sz w:val="18"/>
      <w:szCs w:val="18"/>
    </w:rPr>
  </w:style>
  <w:style w:type="paragraph" w:customStyle="1" w:styleId="224">
    <w:name w:val="xl48"/>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pPr>
    <w:rPr>
      <w:rFonts w:ascii="仿宋_GB2312" w:cs="宋体"/>
      <w:color w:val="000000"/>
      <w:kern w:val="0"/>
      <w:sz w:val="24"/>
    </w:rPr>
  </w:style>
  <w:style w:type="paragraph" w:customStyle="1" w:styleId="225">
    <w:name w:val="xl44"/>
    <w:basedOn w:val="0"/>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cs="宋体"/>
      <w:kern w:val="0"/>
      <w:sz w:val="24"/>
    </w:rPr>
  </w:style>
  <w:style w:type="paragraph" w:customStyle="1" w:styleId="226">
    <w:name w:val="样式 标题 2节Heading 2 HiddenHeading 2 CCBSChapter_Heading 21.1..."/>
    <w:basedOn w:val="2"/>
    <w:pPr>
      <w:tabs>
        <w:tab w:val="left" w:pos="0"/>
        <w:tab w:val="left" w:pos="900"/>
        <w:tab w:val="left" w:pos="926"/>
      </w:tabs>
    </w:pPr>
  </w:style>
  <w:style w:type="paragraph" w:customStyle="1" w:styleId="227">
    <w:name w:val="公文标题1"/>
    <w:basedOn w:val="1"/>
    <w:next w:val="139"/>
    <w:pPr>
      <w:keepNext w:val="0"/>
      <w:keepLines w:val="0"/>
      <w:widowControl/>
      <w:numPr>
        <w:ilvl w:val="0"/>
        <w:numId w:val="0"/>
      </w:numPr>
      <w:tabs>
        <w:tab w:val="left" w:pos="360"/>
      </w:tabs>
      <w:overflowPunct/>
      <w:autoSpaceDE/>
      <w:autoSpaceDN/>
      <w:adjustRightInd/>
      <w:spacing w:line="580" w:lineRule="exact"/>
      <w:ind w:left="0" w:firstLineChars="200" w:firstLine="200"/>
      <w:jc w:val="both"/>
      <w:textAlignment w:val="auto"/>
    </w:pPr>
    <w:rPr>
      <w:rFonts w:ascii="Calibri" w:hAnsi="Calibri"/>
      <w:sz w:val="32"/>
      <w:lang w:val="en-US" w:eastAsia="zh-CN"/>
    </w:rPr>
  </w:style>
  <w:style w:type="paragraph" w:customStyle="1" w:styleId="228">
    <w:name w:val="xl49"/>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pPr>
    <w:rPr>
      <w:rFonts w:eastAsia="宋体"/>
      <w:color w:val="000000"/>
      <w:kern w:val="0"/>
      <w:sz w:val="24"/>
    </w:rPr>
  </w:style>
  <w:style w:type="paragraph" w:customStyle="1" w:styleId="229">
    <w:name w:val="xl23"/>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eastAsia="宋体" w:cs="宋体"/>
      <w:kern w:val="0"/>
      <w:sz w:val="24"/>
    </w:rPr>
  </w:style>
  <w:style w:type="paragraph" w:customStyle="1" w:styleId="230">
    <w:name w:val="样式 标题 5 + 段前: 1 行 段后: 1 行"/>
    <w:basedOn w:val="5"/>
    <w:pPr>
      <w:numPr>
        <w:ilvl w:val="4"/>
        <w:numId w:val="16"/>
      </w:numPr>
      <w:spacing w:before="312" w:after="312"/>
    </w:pPr>
    <w:rPr>
      <w:rFonts w:cs="宋体"/>
      <w:szCs w:val="20"/>
    </w:rPr>
  </w:style>
  <w:style w:type="paragraph" w:customStyle="1" w:styleId="231">
    <w:name w:val="xl174"/>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32">
    <w:name w:val="xl144"/>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33">
    <w:name w:val="xl82"/>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34">
    <w:name w:val="正文文本 21"/>
    <w:basedOn w:val="0"/>
    <w:pPr>
      <w:overflowPunct w:val="0"/>
      <w:autoSpaceDE w:val="0"/>
      <w:autoSpaceDN w:val="0"/>
      <w:adjustRightInd w:val="0"/>
      <w:spacing w:after="120" w:line="264" w:lineRule="auto"/>
      <w:textAlignment w:val="baseline"/>
    </w:pPr>
    <w:rPr>
      <w:rFonts w:ascii="宋体" w:hAnsi="宋体"/>
      <w:kern w:val="0"/>
      <w:sz w:val="24"/>
      <w:szCs w:val="20"/>
    </w:rPr>
  </w:style>
  <w:style w:type="paragraph" w:customStyle="1" w:styleId="235">
    <w:name w:val="xl175"/>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36">
    <w:name w:val="xl51"/>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宋体"/>
      <w:color w:val="000000"/>
      <w:kern w:val="0"/>
      <w:sz w:val="24"/>
    </w:rPr>
  </w:style>
  <w:style w:type="paragraph" w:customStyle="1" w:styleId="237">
    <w:name w:val="样式 标题 1章标题(有序号) +"/>
    <w:basedOn w:val="1"/>
    <w:pPr>
      <w:tabs>
        <w:tab w:val="left" w:pos="360"/>
      </w:tabs>
      <w:spacing w:beforeLines="50" w:before="50" w:afterLines="50" w:after="50" w:line="240" w:lineRule="auto"/>
    </w:pPr>
    <w:rPr>
      <w:rFonts w:cs="宋体"/>
      <w:szCs w:val="20"/>
    </w:rPr>
  </w:style>
  <w:style w:type="paragraph" w:customStyle="1" w:styleId="238">
    <w:name w:val="xl147"/>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Helv" w:eastAsia="宋体" w:cs="宋体" w:hAnsi="Helv"/>
      <w:kern w:val="0"/>
      <w:sz w:val="18"/>
      <w:szCs w:val="18"/>
    </w:rPr>
  </w:style>
  <w:style w:type="paragraph" w:customStyle="1" w:styleId="239">
    <w:name w:val="xl85"/>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Courier New" w:eastAsia="宋体" w:cs="Courier New" w:hAnsi="Courier New"/>
      <w:kern w:val="0"/>
      <w:sz w:val="18"/>
      <w:szCs w:val="18"/>
    </w:rPr>
  </w:style>
  <w:style w:type="paragraph" w:customStyle="1" w:styleId="240">
    <w:name w:val="样式 样式 标题 1章标题(有序号) + + 段前: 0.5 行 段后: 0.5 行"/>
    <w:basedOn w:val="237"/>
    <w:pPr>
      <w:numPr>
        <w:ilvl w:val="0"/>
        <w:numId w:val="0"/>
      </w:numPr>
      <w:tabs>
        <w:tab w:val="left" w:pos="360"/>
      </w:tabs>
      <w:spacing w:beforeLines="100" w:before="100" w:afterLines="0" w:after="156"/>
    </w:pPr>
    <w:rPr>
      <w:b/>
    </w:rPr>
  </w:style>
  <w:style w:type="paragraph" w:customStyle="1" w:styleId="241">
    <w:name w:val="xl186"/>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42">
    <w:name w:val="xl148"/>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Courier New" w:eastAsia="宋体" w:cs="Courier New" w:hAnsi="Courier New"/>
      <w:kern w:val="0"/>
      <w:sz w:val="18"/>
      <w:szCs w:val="18"/>
    </w:rPr>
  </w:style>
  <w:style w:type="paragraph" w:customStyle="1" w:styleId="243">
    <w:name w:val="列出段落1"/>
    <w:basedOn w:val="0"/>
    <w:pPr>
      <w:widowControl/>
      <w:spacing w:line="240" w:lineRule="auto"/>
      <w:jc w:val="left"/>
    </w:pPr>
    <w:rPr>
      <w:rFonts w:ascii="宋体" w:eastAsia="宋体" w:cs="宋体"/>
      <w:kern w:val="0"/>
      <w:sz w:val="24"/>
    </w:rPr>
  </w:style>
  <w:style w:type="paragraph" w:customStyle="1" w:styleId="244">
    <w:name w:val="正文文字"/>
    <w:basedOn w:val="0"/>
    <w:pPr>
      <w:widowControl/>
      <w:spacing w:after="120"/>
    </w:pPr>
    <w:rPr>
      <w:kern w:val="0"/>
      <w:sz w:val="24"/>
      <w:szCs w:val="20"/>
      <w:lang w:val="en-GB"/>
    </w:rPr>
  </w:style>
  <w:style w:type="paragraph" w:customStyle="1" w:styleId="245">
    <w:name w:val="xl119"/>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eastAsia="宋体"/>
      <w:kern w:val="0"/>
      <w:sz w:val="18"/>
      <w:szCs w:val="18"/>
    </w:rPr>
  </w:style>
  <w:style w:type="paragraph" w:customStyle="1" w:styleId="246">
    <w:name w:val="xl88"/>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Courier New" w:eastAsia="宋体" w:cs="Courier New" w:hAnsi="Courier New"/>
      <w:kern w:val="0"/>
      <w:sz w:val="18"/>
      <w:szCs w:val="18"/>
    </w:rPr>
  </w:style>
  <w:style w:type="paragraph" w:customStyle="1" w:styleId="247">
    <w:name w:val="正文文本 22"/>
    <w:basedOn w:val="0"/>
    <w:pPr>
      <w:adjustRightInd w:val="0"/>
      <w:spacing w:line="240" w:lineRule="auto"/>
      <w:ind w:firstLineChars="0" w:firstLine="514"/>
      <w:textAlignment w:val="baseline"/>
    </w:pPr>
    <w:rPr>
      <w:rFonts w:eastAsia="宋体"/>
      <w:szCs w:val="20"/>
    </w:rPr>
  </w:style>
  <w:style w:type="paragraph" w:customStyle="1" w:styleId="248">
    <w:name w:val="xl31"/>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cs="宋体"/>
      <w:kern w:val="0"/>
      <w:sz w:val="24"/>
    </w:rPr>
  </w:style>
  <w:style w:type="paragraph" w:customStyle="1" w:styleId="249">
    <w:name w:val="Char Char Char Char Char Char Char Char Char Char Char Char Char Char Char Char Char Char Char Char Char Char Char Char Char Char Char Char Char Char Char Char Char"/>
    <w:basedOn w:val="2"/>
    <w:pPr>
      <w:keepNext w:val="0"/>
      <w:keepLines w:val="0"/>
      <w:widowControl/>
      <w:tabs>
        <w:tab w:val="left" w:pos="0"/>
        <w:tab w:val="left" w:pos="900"/>
        <w:tab w:val="left" w:pos="926"/>
      </w:tabs>
      <w:spacing w:before="0" w:after="0"/>
    </w:pPr>
    <w:rPr>
      <w:rFonts w:ascii="Verdana" w:eastAsia="仿宋_GB2312" w:cs="Verdana" w:hAnsi="Verdana"/>
      <w:sz w:val="28"/>
      <w:lang w:eastAsia="en-US"/>
    </w:rPr>
  </w:style>
  <w:style w:type="paragraph" w:customStyle="1" w:styleId="250">
    <w:name w:val="xl52"/>
    <w:basedOn w:val="0"/>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ascii="宋体" w:eastAsia="宋体" w:cs="宋体"/>
      <w:color w:val="000000"/>
      <w:kern w:val="0"/>
      <w:sz w:val="24"/>
    </w:rPr>
  </w:style>
  <w:style w:type="paragraph" w:customStyle="1" w:styleId="251">
    <w:name w:val="xl27"/>
    <w:basedOn w:val="0"/>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pPr>
    <w:rPr>
      <w:rFonts w:ascii="宋体" w:eastAsia="宋体" w:cs="宋体"/>
      <w:kern w:val="0"/>
      <w:sz w:val="24"/>
    </w:rPr>
  </w:style>
  <w:style w:type="paragraph" w:customStyle="1" w:styleId="252">
    <w:name w:val="xl151"/>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53">
    <w:name w:val="xl118"/>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254">
    <w:name w:val="样式4"/>
    <w:basedOn w:val="2"/>
    <w:pPr>
      <w:numPr>
        <w:ilvl w:val="0"/>
        <w:numId w:val="17"/>
      </w:numPr>
      <w:tabs>
        <w:tab w:val="left" w:pos="0"/>
        <w:tab w:val="left" w:pos="900"/>
        <w:tab w:val="left" w:pos="926"/>
      </w:tabs>
    </w:pPr>
  </w:style>
  <w:style w:type="paragraph" w:customStyle="1" w:styleId="255">
    <w:name w:val="xl154"/>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56">
    <w:name w:val="xl91"/>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57">
    <w:name w:val="!表格首行"/>
    <w:next w:val="17"/>
    <w:pPr>
      <w:jc w:val="center"/>
    </w:pPr>
    <w:rPr>
      <w:rFonts w:ascii="Times New Roman" w:eastAsia="黑体" w:cs="Times New Roman" w:hAnsi="Times New Roman"/>
      <w:kern w:val="2"/>
      <w:sz w:val="18"/>
      <w:szCs w:val="24"/>
      <w:lang w:val="en-US" w:eastAsia="zh-CN" w:bidi="ar-SA"/>
    </w:rPr>
  </w:style>
  <w:style w:type="paragraph" w:customStyle="1" w:styleId="258">
    <w:name w:val="xl33"/>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eastAsia="宋体"/>
      <w:kern w:val="0"/>
      <w:sz w:val="24"/>
    </w:rPr>
  </w:style>
  <w:style w:type="paragraph" w:customStyle="1" w:styleId="259">
    <w:name w:val="样式5"/>
    <w:basedOn w:val="1"/>
    <w:pPr>
      <w:numPr>
        <w:ilvl w:val="0"/>
        <w:numId w:val="18"/>
      </w:numPr>
      <w:tabs>
        <w:tab w:val="left" w:pos="360"/>
      </w:tabs>
    </w:pPr>
  </w:style>
  <w:style w:type="paragraph" w:customStyle="1" w:styleId="260">
    <w:name w:val="xl122"/>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261">
    <w:name w:val="xl89"/>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Courier New" w:eastAsia="宋体" w:cs="Courier New" w:hAnsi="Courier New"/>
      <w:kern w:val="0"/>
      <w:sz w:val="18"/>
      <w:szCs w:val="18"/>
    </w:rPr>
  </w:style>
  <w:style w:type="paragraph" w:customStyle="1" w:styleId="262">
    <w:name w:val="xl34"/>
    <w:basedOn w:val="0"/>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pPr>
    <w:rPr>
      <w:rFonts w:eastAsia="宋体"/>
      <w:kern w:val="0"/>
      <w:sz w:val="24"/>
    </w:rPr>
  </w:style>
  <w:style w:type="paragraph" w:customStyle="1" w:styleId="263">
    <w:name w:val="样式6"/>
    <w:basedOn w:val="0"/>
  </w:style>
  <w:style w:type="paragraph" w:customStyle="1" w:styleId="264">
    <w:name w:val="!表格正文"/>
    <w:pPr>
      <w:jc w:val="center"/>
    </w:pPr>
    <w:rPr>
      <w:rFonts w:ascii="Times New Roman" w:eastAsia="宋体" w:cs="Times New Roman" w:hAnsi="Times New Roman"/>
      <w:sz w:val="18"/>
      <w:szCs w:val="24"/>
      <w:lang w:val="en-US" w:eastAsia="zh-CN" w:bidi="ar-SA"/>
    </w:rPr>
  </w:style>
  <w:style w:type="paragraph" w:customStyle="1" w:styleId="265">
    <w:name w:val="xl35"/>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eastAsia="宋体"/>
      <w:kern w:val="0"/>
      <w:sz w:val="24"/>
    </w:rPr>
  </w:style>
  <w:style w:type="paragraph" w:customStyle="1" w:styleId="266">
    <w:name w:val="样式 标题 4 + 首行缩进:  2 字符"/>
    <w:basedOn w:val="4"/>
    <w:pPr>
      <w:numPr>
        <w:ilvl w:val="0"/>
        <w:numId w:val="0"/>
      </w:numPr>
      <w:tabs>
        <w:tab w:val="clear" w:pos="900"/>
        <w:tab w:val="left" w:pos="0"/>
        <w:tab w:val="left" w:pos="926"/>
        <w:tab w:val="left" w:pos="1980"/>
        <w:tab w:val="left" w:pos="3038"/>
      </w:tabs>
      <w:overflowPunct w:val="0"/>
      <w:autoSpaceDE w:val="0"/>
      <w:autoSpaceDN w:val="0"/>
      <w:adjustRightInd w:val="0"/>
      <w:spacing w:line="300" w:lineRule="auto"/>
      <w:ind w:leftChars="1" w:left="1" w:firstLineChars="448" w:firstLine="448"/>
      <w:textAlignment w:val="baseline"/>
    </w:pPr>
    <w:rPr>
      <w:rFonts w:eastAsia="宋体"/>
      <w:b w:val="0"/>
      <w:bCs w:val="0"/>
      <w:kern w:val="0"/>
      <w:sz w:val="24"/>
      <w:szCs w:val="24"/>
    </w:rPr>
  </w:style>
  <w:style w:type="paragraph" w:customStyle="1" w:styleId="267">
    <w:name w:val="xl156"/>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68">
    <w:name w:val="xl125"/>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269">
    <w:name w:val="xl92"/>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270">
    <w:name w:val="样式7"/>
    <w:basedOn w:val="2"/>
    <w:pPr>
      <w:tabs>
        <w:tab w:val="left" w:pos="0"/>
        <w:tab w:val="left" w:pos="720"/>
        <w:tab w:val="left" w:pos="900"/>
        <w:tab w:val="left" w:pos="926"/>
        <w:tab w:val="left" w:pos="1080"/>
        <w:tab w:val="left" w:pos="1620"/>
      </w:tabs>
      <w:spacing w:before="0" w:after="0"/>
      <w:ind w:left="925" w:hanging="567"/>
      <w:jc w:val="left"/>
    </w:pPr>
    <w:rPr>
      <w:szCs w:val="30"/>
    </w:rPr>
  </w:style>
  <w:style w:type="paragraph" w:customStyle="1" w:styleId="271">
    <w:name w:val="xl157"/>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72">
    <w:name w:val="xl126"/>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top"/>
    </w:pPr>
    <w:rPr>
      <w:rFonts w:ascii="宋体" w:eastAsia="宋体" w:cs="宋体"/>
      <w:kern w:val="0"/>
      <w:sz w:val="18"/>
      <w:szCs w:val="18"/>
    </w:rPr>
  </w:style>
  <w:style w:type="paragraph" w:customStyle="1" w:styleId="273">
    <w:name w:val="xl65"/>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74">
    <w:name w:val="xl39"/>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eastAsia="宋体"/>
      <w:kern w:val="0"/>
      <w:sz w:val="24"/>
    </w:rPr>
  </w:style>
  <w:style w:type="paragraph" w:customStyle="1" w:styleId="275">
    <w:name w:val="样式10"/>
    <w:basedOn w:val="2"/>
    <w:pPr>
      <w:numPr>
        <w:ilvl w:val="1"/>
        <w:numId w:val="19"/>
      </w:numPr>
      <w:tabs>
        <w:tab w:val="left" w:pos="0"/>
        <w:tab w:val="left" w:pos="720"/>
        <w:tab w:val="left" w:pos="900"/>
        <w:tab w:val="left" w:pos="926"/>
        <w:tab w:val="left" w:pos="1080"/>
        <w:tab w:val="left" w:pos="1620"/>
      </w:tabs>
      <w:spacing w:before="0" w:after="0"/>
      <w:jc w:val="left"/>
    </w:pPr>
  </w:style>
  <w:style w:type="paragraph" w:customStyle="1" w:styleId="276">
    <w:name w:val="xl158"/>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77">
    <w:name w:val="xl127"/>
    <w:basedOn w:val="0"/>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278">
    <w:name w:val="xl95"/>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79">
    <w:name w:val="Char"/>
    <w:basedOn w:val="0"/>
    <w:rPr>
      <w:rFonts w:ascii="宋体" w:cs="宋体" w:hAnsi="宋体"/>
      <w:sz w:val="24"/>
    </w:rPr>
  </w:style>
  <w:style w:type="paragraph" w:customStyle="1" w:styleId="280">
    <w:name w:val="xl96"/>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281">
    <w:name w:val="xl67"/>
    <w:basedOn w:val="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center"/>
      <w:textAlignment w:val="center"/>
    </w:pPr>
    <w:rPr>
      <w:rFonts w:ascii="宋体" w:eastAsia="宋体" w:cs="宋体"/>
      <w:b/>
      <w:bCs/>
      <w:kern w:val="0"/>
      <w:sz w:val="18"/>
      <w:szCs w:val="18"/>
    </w:rPr>
  </w:style>
  <w:style w:type="paragraph" w:customStyle="1" w:styleId="282">
    <w:name w:val="Char Char Char Char Char Char Char Char Char Char Char"/>
    <w:basedOn w:val="0"/>
  </w:style>
  <w:style w:type="paragraph" w:customStyle="1" w:styleId="283">
    <w:name w:val="xl149"/>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84">
    <w:name w:val="正文文字正式"/>
    <w:basedOn w:val="0"/>
    <w:pPr>
      <w:spacing w:before="120" w:after="120"/>
    </w:pPr>
    <w:rPr>
      <w:sz w:val="24"/>
    </w:rPr>
  </w:style>
  <w:style w:type="paragraph" w:customStyle="1" w:styleId="285">
    <w:name w:val="xl120"/>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286">
    <w:name w:val="Char11"/>
    <w:basedOn w:val="0"/>
    <w:pPr>
      <w:widowControl/>
      <w:spacing w:after="160" w:line="240" w:lineRule="exact"/>
      <w:ind w:firstLineChars="0" w:firstLine="0"/>
      <w:jc w:val="left"/>
    </w:pPr>
    <w:rPr>
      <w:rFonts w:ascii="Verdana" w:eastAsia="宋体" w:hAnsi="Verdana"/>
      <w:kern w:val="0"/>
      <w:sz w:val="20"/>
      <w:szCs w:val="20"/>
      <w:lang w:eastAsia="en-US"/>
    </w:rPr>
  </w:style>
  <w:style w:type="paragraph" w:customStyle="1" w:styleId="287">
    <w:name w:val="xl129"/>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cs="宋体"/>
      <w:kern w:val="0"/>
      <w:sz w:val="18"/>
      <w:szCs w:val="18"/>
    </w:rPr>
  </w:style>
  <w:style w:type="paragraph" w:customStyle="1" w:styleId="288">
    <w:name w:val="Char2"/>
    <w:basedOn w:val="0"/>
    <w:rPr>
      <w:rFonts w:ascii="宋体" w:eastAsia="宋体" w:cs="宋体"/>
      <w:sz w:val="24"/>
    </w:rPr>
  </w:style>
  <w:style w:type="paragraph" w:customStyle="1" w:styleId="289">
    <w:name w:val="xl163"/>
    <w:basedOn w:val="0"/>
    <w:pPr>
      <w:widowControl/>
      <w:pBdr>
        <w:top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90">
    <w:name w:val="font0"/>
    <w:basedOn w:val="0"/>
    <w:pPr>
      <w:widowControl/>
      <w:spacing w:before="100" w:beforeAutospacing="1" w:after="100" w:afterAutospacing="1" w:line="240" w:lineRule="auto"/>
      <w:ind w:firstLineChars="0" w:firstLine="0"/>
      <w:jc w:val="left"/>
    </w:pPr>
    <w:rPr>
      <w:rFonts w:ascii="宋体" w:eastAsia="宋体" w:cs="宋体"/>
      <w:kern w:val="0"/>
      <w:sz w:val="18"/>
      <w:szCs w:val="18"/>
    </w:rPr>
  </w:style>
  <w:style w:type="paragraph" w:customStyle="1" w:styleId="291">
    <w:name w:val="样式 标题 1 + 黑体 小二 居中 段前: 6 磅 段后: 6 磅 行距: 1.5 倍行距"/>
    <w:basedOn w:val="1"/>
    <w:pPr>
      <w:numPr>
        <w:ilvl w:val="0"/>
        <w:numId w:val="0"/>
      </w:numPr>
      <w:tabs>
        <w:tab w:val="clear" w:pos="360"/>
      </w:tabs>
      <w:overflowPunct/>
      <w:autoSpaceDE/>
      <w:autoSpaceDN/>
      <w:adjustRightInd/>
      <w:spacing w:before="240" w:after="240"/>
      <w:textAlignment w:val="auto"/>
    </w:pPr>
    <w:rPr>
      <w:rFonts w:cs="宋体"/>
      <w:szCs w:val="20"/>
    </w:rPr>
  </w:style>
  <w:style w:type="paragraph" w:customStyle="1" w:styleId="292">
    <w:name w:val="xl165"/>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cs="宋体"/>
      <w:color w:val="000000"/>
      <w:kern w:val="0"/>
      <w:sz w:val="18"/>
      <w:szCs w:val="18"/>
    </w:rPr>
  </w:style>
  <w:style w:type="paragraph" w:customStyle="1" w:styleId="293">
    <w:name w:val="xl71"/>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94">
    <w:name w:val="表格文字"/>
    <w:basedOn w:val="0"/>
    <w:pPr>
      <w:adjustRightInd w:val="0"/>
      <w:snapToGrid w:val="0"/>
      <w:spacing w:line="240" w:lineRule="auto"/>
      <w:ind w:firstLineChars="0" w:firstLine="0"/>
      <w:jc w:val="center"/>
    </w:pPr>
    <w:rPr>
      <w:rFonts w:eastAsia="楷体_GB2312"/>
      <w:kern w:val="0"/>
      <w:sz w:val="21"/>
      <w:szCs w:val="20"/>
    </w:rPr>
  </w:style>
  <w:style w:type="paragraph" w:customStyle="1" w:styleId="295">
    <w:name w:val="xl136"/>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Courier New" w:eastAsia="宋体" w:cs="Courier New" w:hAnsi="Courier New"/>
      <w:kern w:val="0"/>
      <w:sz w:val="18"/>
      <w:szCs w:val="18"/>
    </w:rPr>
  </w:style>
  <w:style w:type="paragraph" w:customStyle="1" w:styleId="296">
    <w:name w:val="xl105"/>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297">
    <w:name w:val="!t1"/>
    <w:basedOn w:val="1"/>
    <w:pPr>
      <w:numPr>
        <w:ilvl w:val="0"/>
        <w:numId w:val="0"/>
      </w:numPr>
      <w:tabs>
        <w:tab w:val="left" w:pos="360"/>
      </w:tabs>
    </w:pPr>
  </w:style>
  <w:style w:type="paragraph" w:customStyle="1" w:styleId="298">
    <w:name w:val="xl138"/>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299">
    <w:name w:val="1表格"/>
    <w:basedOn w:val="0"/>
    <w:pPr>
      <w:snapToGrid w:val="0"/>
      <w:spacing w:line="240" w:lineRule="auto"/>
      <w:ind w:firstLineChars="0" w:firstLine="0"/>
      <w:jc w:val="center"/>
      <w:outlineLvl w:val="4"/>
    </w:pPr>
    <w:rPr>
      <w:rFonts w:eastAsia="宋体"/>
      <w:spacing w:val="4"/>
      <w:sz w:val="21"/>
    </w:rPr>
  </w:style>
  <w:style w:type="paragraph" w:customStyle="1" w:styleId="300">
    <w:name w:val="xl111"/>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01">
    <w:name w:val="xl47"/>
    <w:basedOn w:val="0"/>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pPr>
    <w:rPr>
      <w:rFonts w:ascii="宋体" w:eastAsia="宋体" w:cs="宋体"/>
      <w:color w:val="000000"/>
      <w:kern w:val="0"/>
      <w:sz w:val="24"/>
    </w:rPr>
  </w:style>
  <w:style w:type="paragraph" w:customStyle="1" w:styleId="302">
    <w:name w:val="font6"/>
    <w:basedOn w:val="0"/>
    <w:pPr>
      <w:widowControl/>
      <w:spacing w:before="100" w:beforeAutospacing="1" w:after="100" w:afterAutospacing="1" w:line="240" w:lineRule="auto"/>
      <w:ind w:firstLineChars="0" w:firstLine="0"/>
      <w:jc w:val="left"/>
    </w:pPr>
    <w:rPr>
      <w:rFonts w:eastAsia="宋体"/>
      <w:kern w:val="0"/>
      <w:sz w:val="18"/>
      <w:szCs w:val="18"/>
    </w:rPr>
  </w:style>
  <w:style w:type="paragraph" w:customStyle="1" w:styleId="303">
    <w:name w:val="xl141"/>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04">
    <w:name w:val="font7"/>
    <w:basedOn w:val="0"/>
    <w:pPr>
      <w:widowControl/>
      <w:spacing w:before="100" w:beforeAutospacing="1" w:after="100" w:afterAutospacing="1" w:line="240" w:lineRule="auto"/>
      <w:ind w:firstLineChars="0" w:firstLine="0"/>
      <w:jc w:val="left"/>
    </w:pPr>
    <w:rPr>
      <w:rFonts w:ascii="宋体" w:eastAsia="宋体" w:cs="宋体"/>
      <w:kern w:val="0"/>
      <w:sz w:val="18"/>
      <w:szCs w:val="18"/>
    </w:rPr>
  </w:style>
  <w:style w:type="paragraph" w:customStyle="1" w:styleId="305">
    <w:name w:val="xl160"/>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06">
    <w:name w:val="xl66"/>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07">
    <w:name w:val="xl22"/>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cs="宋体"/>
      <w:kern w:val="0"/>
      <w:sz w:val="24"/>
    </w:rPr>
  </w:style>
  <w:style w:type="paragraph" w:customStyle="1" w:styleId="308">
    <w:name w:val="xl143"/>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09">
    <w:name w:val="xl113"/>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10">
    <w:name w:val="xl50"/>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cs="宋体"/>
      <w:kern w:val="0"/>
      <w:sz w:val="24"/>
    </w:rPr>
  </w:style>
  <w:style w:type="paragraph" w:customStyle="1" w:styleId="311">
    <w:name w:val="xl24"/>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cs="宋体"/>
      <w:kern w:val="0"/>
      <w:sz w:val="24"/>
    </w:rPr>
  </w:style>
  <w:style w:type="paragraph" w:customStyle="1" w:styleId="312">
    <w:name w:val="xl176"/>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13">
    <w:name w:val="xl145"/>
    <w:basedOn w:val="0"/>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14">
    <w:name w:val="xl110"/>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Helv" w:eastAsia="宋体" w:cs="宋体" w:hAnsi="Helv"/>
      <w:kern w:val="0"/>
      <w:sz w:val="18"/>
      <w:szCs w:val="18"/>
    </w:rPr>
  </w:style>
  <w:style w:type="paragraph" w:customStyle="1" w:styleId="315">
    <w:name w:val="xl83"/>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16">
    <w:name w:val="xl26"/>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cs="宋体"/>
      <w:kern w:val="0"/>
      <w:sz w:val="24"/>
    </w:rPr>
  </w:style>
  <w:style w:type="paragraph" w:customStyle="1" w:styleId="317">
    <w:name w:val="xl130"/>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18">
    <w:name w:val="xl68"/>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19">
    <w:name w:val="xl28"/>
    <w:basedOn w:val="0"/>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ascii="宋体" w:eastAsia="宋体" w:cs="宋体"/>
      <w:kern w:val="0"/>
      <w:sz w:val="24"/>
    </w:rPr>
  </w:style>
  <w:style w:type="paragraph" w:customStyle="1" w:styleId="320">
    <w:name w:val="xl150"/>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21">
    <w:name w:val="xl180"/>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宋体"/>
      <w:kern w:val="0"/>
      <w:sz w:val="18"/>
      <w:szCs w:val="18"/>
    </w:rPr>
  </w:style>
  <w:style w:type="paragraph" w:customStyle="1" w:styleId="322">
    <w:name w:val="xl114"/>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23">
    <w:name w:val="xl86"/>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24">
    <w:name w:val="xl29"/>
    <w:basedOn w:val="0"/>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ascii="宋体" w:eastAsia="宋体" w:cs="宋体"/>
      <w:kern w:val="0"/>
      <w:sz w:val="24"/>
    </w:rPr>
  </w:style>
  <w:style w:type="paragraph" w:customStyle="1" w:styleId="325">
    <w:name w:val="xl178"/>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26">
    <w:name w:val="xl87"/>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27">
    <w:name w:val="xl30"/>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cs="宋体"/>
      <w:kern w:val="0"/>
      <w:sz w:val="24"/>
    </w:rPr>
  </w:style>
  <w:style w:type="paragraph" w:customStyle="1" w:styleId="328">
    <w:name w:val="xl32"/>
    <w:basedOn w:val="0"/>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pPr>
    <w:rPr>
      <w:rFonts w:ascii="宋体" w:eastAsia="宋体" w:cs="宋体"/>
      <w:kern w:val="0"/>
      <w:sz w:val="24"/>
    </w:rPr>
  </w:style>
  <w:style w:type="paragraph" w:customStyle="1" w:styleId="329">
    <w:name w:val="xl123"/>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30">
    <w:name w:val="xl93"/>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331">
    <w:name w:val="!表格正文不居中"/>
    <w:basedOn w:val="264"/>
    <w:pPr>
      <w:jc w:val="left"/>
    </w:pPr>
  </w:style>
  <w:style w:type="paragraph" w:customStyle="1" w:styleId="332">
    <w:name w:val="xl36"/>
    <w:basedOn w:val="0"/>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cs="宋体"/>
      <w:kern w:val="0"/>
      <w:sz w:val="24"/>
    </w:rPr>
  </w:style>
  <w:style w:type="paragraph" w:customStyle="1" w:styleId="333">
    <w:name w:val="xl94"/>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34">
    <w:name w:val="!表格备注"/>
    <w:pPr>
      <w:jc w:val="right"/>
    </w:pPr>
    <w:rPr>
      <w:rFonts w:ascii="Times New Roman" w:eastAsia="仿宋_GB2312" w:cs="Times New Roman" w:hAnsi="Times New Roman"/>
      <w:sz w:val="18"/>
      <w:lang w:val="en-US" w:eastAsia="zh-CN" w:bidi="ar-SA"/>
    </w:rPr>
  </w:style>
  <w:style w:type="paragraph" w:customStyle="1" w:styleId="335">
    <w:name w:val="xl37"/>
    <w:basedOn w:val="0"/>
    <w:pPr>
      <w:widowControl/>
      <w:pBdr>
        <w:top w:val="single" w:sz="8"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cs="宋体"/>
      <w:kern w:val="0"/>
      <w:sz w:val="24"/>
    </w:rPr>
  </w:style>
  <w:style w:type="paragraph" w:customStyle="1" w:styleId="336">
    <w:name w:val="xl84"/>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Helv" w:eastAsia="宋体" w:cs="宋体" w:hAnsi="Helv"/>
      <w:kern w:val="0"/>
      <w:sz w:val="18"/>
      <w:szCs w:val="18"/>
    </w:rPr>
  </w:style>
  <w:style w:type="paragraph" w:customStyle="1" w:styleId="337">
    <w:name w:val="xl38"/>
    <w:basedOn w:val="0"/>
    <w:pPr>
      <w:widowControl/>
      <w:pBdr>
        <w:top w:val="single" w:sz="4" w:space="0" w:color="auto"/>
        <w:left w:val="single" w:sz="4" w:space="0" w:color="auto"/>
        <w:bottom w:val="single" w:sz="8" w:space="0" w:color="auto"/>
      </w:pBdr>
      <w:spacing w:before="100" w:beforeAutospacing="1" w:after="100" w:afterAutospacing="1" w:line="240" w:lineRule="auto"/>
      <w:ind w:firstLineChars="0" w:firstLine="0"/>
      <w:jc w:val="left"/>
    </w:pPr>
    <w:rPr>
      <w:rFonts w:ascii="宋体" w:eastAsia="宋体" w:cs="宋体"/>
      <w:kern w:val="0"/>
      <w:sz w:val="24"/>
    </w:rPr>
  </w:style>
  <w:style w:type="paragraph" w:customStyle="1" w:styleId="338">
    <w:name w:val="xl159"/>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39">
    <w:name w:val="xl128"/>
    <w:basedOn w:val="0"/>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40">
    <w:name w:val="xl97"/>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341">
    <w:name w:val="xl40"/>
    <w:basedOn w:val="0"/>
    <w:pPr>
      <w:widowControl/>
      <w:pBdr>
        <w:top w:val="single" w:sz="8"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cs="宋体"/>
      <w:kern w:val="0"/>
      <w:sz w:val="24"/>
    </w:rPr>
  </w:style>
  <w:style w:type="paragraph" w:customStyle="1" w:styleId="342">
    <w:name w:val="xl166"/>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Helv" w:eastAsia="宋体" w:cs="宋体" w:hAnsi="Helv"/>
      <w:kern w:val="0"/>
      <w:sz w:val="18"/>
      <w:szCs w:val="18"/>
    </w:rPr>
  </w:style>
  <w:style w:type="paragraph" w:customStyle="1" w:styleId="343">
    <w:name w:val="xl102"/>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344">
    <w:name w:val="xl75"/>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345">
    <w:name w:val="font10"/>
    <w:basedOn w:val="0"/>
    <w:pPr>
      <w:widowControl/>
      <w:spacing w:before="100" w:beforeAutospacing="1" w:after="100" w:afterAutospacing="1" w:line="240" w:lineRule="auto"/>
      <w:ind w:firstLineChars="0" w:firstLine="0"/>
      <w:jc w:val="left"/>
    </w:pPr>
    <w:rPr>
      <w:rFonts w:eastAsia="宋体"/>
      <w:color w:val="FF00FF"/>
      <w:kern w:val="0"/>
      <w:sz w:val="18"/>
      <w:szCs w:val="18"/>
    </w:rPr>
  </w:style>
  <w:style w:type="paragraph" w:customStyle="1" w:styleId="346">
    <w:name w:val="_Style 731"/>
    <w:next w:val="0"/>
    <w:pPr>
      <w:widowControl w:val="0"/>
      <w:jc w:val="both"/>
    </w:pPr>
    <w:rPr>
      <w:rFonts w:ascii="Calibri" w:eastAsia="宋体" w:cs="Times New Roman" w:hAnsi="Calibri"/>
      <w:kern w:val="2"/>
      <w:sz w:val="21"/>
      <w:szCs w:val="22"/>
      <w:lang w:val="en-US" w:eastAsia="zh-CN" w:bidi="ar-SA"/>
    </w:rPr>
  </w:style>
  <w:style w:type="paragraph" w:customStyle="1" w:styleId="347">
    <w:name w:val="xl76"/>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348">
    <w:name w:val="font12"/>
    <w:basedOn w:val="0"/>
    <w:pPr>
      <w:widowControl/>
      <w:spacing w:before="100" w:beforeAutospacing="1" w:after="100" w:afterAutospacing="1" w:line="240" w:lineRule="auto"/>
      <w:ind w:firstLineChars="0" w:firstLine="0"/>
      <w:jc w:val="left"/>
    </w:pPr>
    <w:rPr>
      <w:rFonts w:ascii="宋体" w:eastAsia="宋体" w:cs="宋体"/>
      <w:kern w:val="0"/>
      <w:sz w:val="18"/>
      <w:szCs w:val="18"/>
    </w:rPr>
  </w:style>
  <w:style w:type="paragraph" w:customStyle="1" w:styleId="349">
    <w:name w:val="_Style 73"/>
    <w:next w:val="0"/>
    <w:pPr>
      <w:widowControl w:val="0"/>
      <w:jc w:val="both"/>
    </w:pPr>
    <w:rPr>
      <w:rFonts w:ascii="Calibri" w:eastAsia="宋体" w:cs="Times New Roman" w:hAnsi="Calibri"/>
      <w:kern w:val="2"/>
      <w:sz w:val="21"/>
      <w:szCs w:val="22"/>
      <w:lang w:val="en-US" w:eastAsia="zh-CN" w:bidi="ar-SA"/>
    </w:rPr>
  </w:style>
  <w:style w:type="paragraph" w:customStyle="1" w:styleId="350">
    <w:name w:val="xl108"/>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51">
    <w:name w:val="font13"/>
    <w:basedOn w:val="0"/>
    <w:pPr>
      <w:widowControl/>
      <w:spacing w:before="100" w:beforeAutospacing="1" w:after="100" w:afterAutospacing="1" w:line="240" w:lineRule="auto"/>
      <w:ind w:firstLineChars="0" w:firstLine="0"/>
      <w:jc w:val="left"/>
    </w:pPr>
    <w:rPr>
      <w:rFonts w:ascii="仿宋_GB2312" w:cs="宋体"/>
      <w:color w:val="000000"/>
      <w:kern w:val="0"/>
      <w:sz w:val="18"/>
      <w:szCs w:val="18"/>
    </w:rPr>
  </w:style>
  <w:style w:type="paragraph" w:customStyle="1" w:styleId="352">
    <w:name w:val="!txt"/>
    <w:pPr>
      <w:spacing w:line="360" w:lineRule="auto"/>
      <w:ind w:firstLineChars="200" w:firstLine="200"/>
      <w:jc w:val="both"/>
    </w:pPr>
    <w:rPr>
      <w:rFonts w:ascii="Times New Roman" w:eastAsia="仿宋_GB2312" w:cs="Times New Roman" w:hAnsi="Times New Roman"/>
      <w:kern w:val="2"/>
      <w:sz w:val="30"/>
      <w:szCs w:val="30"/>
      <w:lang w:val="en-US" w:eastAsia="zh-CN" w:bidi="ar-SA"/>
    </w:rPr>
  </w:style>
  <w:style w:type="paragraph" w:customStyle="1" w:styleId="353">
    <w:name w:val="xl106"/>
    <w:basedOn w:val="0"/>
    <w:pPr>
      <w:widowControl/>
      <w:pBdr>
        <w:top w:val="single" w:sz="4" w:space="0" w:color="auto"/>
        <w:left w:val="single" w:sz="4" w:space="0" w:color="auto"/>
        <w:bottom w:val="single" w:sz="8"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54">
    <w:name w:val="xl79"/>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55">
    <w:name w:val="xl45"/>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pPr>
    <w:rPr>
      <w:rFonts w:eastAsia="宋体"/>
      <w:color w:val="FF00FF"/>
      <w:kern w:val="0"/>
      <w:sz w:val="24"/>
    </w:rPr>
  </w:style>
  <w:style w:type="paragraph" w:customStyle="1" w:styleId="356">
    <w:name w:val="xl179"/>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cs="宋体"/>
      <w:kern w:val="0"/>
      <w:sz w:val="18"/>
      <w:szCs w:val="18"/>
    </w:rPr>
  </w:style>
  <w:style w:type="paragraph" w:customStyle="1" w:styleId="357">
    <w:name w:val="xl117"/>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58">
    <w:name w:val="xl53"/>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cs="宋体"/>
      <w:color w:val="FF00FF"/>
      <w:kern w:val="0"/>
      <w:sz w:val="24"/>
    </w:rPr>
  </w:style>
  <w:style w:type="paragraph" w:customStyle="1" w:styleId="359">
    <w:name w:val="xl90"/>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360">
    <w:name w:val="xl63"/>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61">
    <w:name w:val="xl64"/>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62">
    <w:name w:val="表格"/>
    <w:basedOn w:val="0"/>
    <w:pPr>
      <w:spacing w:line="240" w:lineRule="auto"/>
      <w:ind w:firstLineChars="0" w:firstLine="0"/>
      <w:jc w:val="center"/>
    </w:pPr>
    <w:rPr>
      <w:rFonts w:eastAsia="宋体"/>
      <w:sz w:val="21"/>
      <w:szCs w:val="21"/>
    </w:rPr>
  </w:style>
  <w:style w:type="paragraph" w:customStyle="1" w:styleId="363">
    <w:name w:val="xl112"/>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64">
    <w:name w:val="xl80"/>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cs="宋体"/>
      <w:kern w:val="0"/>
      <w:sz w:val="18"/>
      <w:szCs w:val="18"/>
    </w:rPr>
  </w:style>
  <w:style w:type="paragraph" w:customStyle="1" w:styleId="365">
    <w:name w:val="xl133"/>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66">
    <w:name w:val="xl116"/>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367">
    <w:name w:val="xl98"/>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368">
    <w:name w:val="xl152"/>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69">
    <w:name w:val="xl121"/>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70">
    <w:name w:val="xl155"/>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71">
    <w:name w:val="xl124"/>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372">
    <w:name w:val="xl173"/>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73">
    <w:name w:val="表中文字"/>
    <w:basedOn w:val="0"/>
    <w:pPr>
      <w:widowControl/>
      <w:adjustRightInd w:val="0"/>
      <w:snapToGrid w:val="0"/>
      <w:spacing w:before="60" w:after="60"/>
      <w:jc w:val="center"/>
    </w:pPr>
    <w:rPr>
      <w:rFonts w:ascii="仿宋" w:eastAsia="仿宋" w:cs="仿宋"/>
      <w:color w:val="000000"/>
      <w:szCs w:val="21"/>
    </w:rPr>
  </w:style>
  <w:style w:type="paragraph" w:customStyle="1" w:styleId="374">
    <w:name w:val="xl142"/>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75">
    <w:name w:val="xl153"/>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76">
    <w:name w:val="xl181"/>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eastAsia="宋体" w:cs="宋体"/>
      <w:kern w:val="0"/>
      <w:sz w:val="18"/>
      <w:szCs w:val="18"/>
    </w:rPr>
  </w:style>
  <w:style w:type="paragraph" w:customStyle="1" w:styleId="377">
    <w:name w:val="xl182"/>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78">
    <w:name w:val="xl183"/>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宋体"/>
      <w:kern w:val="0"/>
      <w:sz w:val="18"/>
      <w:szCs w:val="18"/>
    </w:rPr>
  </w:style>
  <w:style w:type="paragraph" w:customStyle="1" w:styleId="379">
    <w:name w:val="刘正文"/>
    <w:basedOn w:val="0"/>
    <w:pPr>
      <w:adjustRightInd w:val="0"/>
      <w:snapToGrid w:val="0"/>
    </w:pPr>
    <w:rPr>
      <w:rFonts w:ascii="Calibri" w:cs="Arial" w:hAnsi="Calibri"/>
      <w:sz w:val="32"/>
      <w:szCs w:val="28"/>
    </w:rPr>
  </w:style>
  <w:style w:type="paragraph" w:customStyle="1" w:styleId="380">
    <w:name w:val="xl184"/>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81">
    <w:name w:val="xl185"/>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cs="宋体"/>
      <w:kern w:val="0"/>
      <w:sz w:val="18"/>
      <w:szCs w:val="18"/>
    </w:rPr>
  </w:style>
  <w:style w:type="paragraph" w:customStyle="1" w:styleId="382">
    <w:name w:val="xl187"/>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eastAsia="宋体"/>
      <w:kern w:val="0"/>
      <w:sz w:val="18"/>
      <w:szCs w:val="18"/>
    </w:rPr>
  </w:style>
  <w:style w:type="paragraph" w:customStyle="1" w:styleId="383">
    <w:name w:val="xl188"/>
    <w:basedOn w:val="0"/>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center"/>
      <w:textAlignment w:val="center"/>
    </w:pPr>
    <w:rPr>
      <w:rFonts w:ascii="宋体" w:eastAsia="宋体" w:cs="宋体"/>
      <w:b/>
      <w:bCs/>
      <w:kern w:val="0"/>
      <w:sz w:val="18"/>
      <w:szCs w:val="18"/>
    </w:rPr>
  </w:style>
  <w:style w:type="paragraph" w:customStyle="1" w:styleId="384">
    <w:name w:val="xl189"/>
    <w:basedOn w:val="0"/>
    <w:pPr>
      <w:widowControl/>
      <w:pBdr>
        <w:top w:val="single" w:sz="8"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eastAsia="宋体" w:cs="宋体"/>
      <w:b/>
      <w:bCs/>
      <w:kern w:val="0"/>
      <w:sz w:val="18"/>
      <w:szCs w:val="18"/>
    </w:rPr>
  </w:style>
  <w:style w:type="paragraph" w:customStyle="1" w:styleId="385">
    <w:name w:val="xl190"/>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eastAsia="宋体" w:cs="宋体"/>
      <w:b/>
      <w:bCs/>
      <w:kern w:val="0"/>
      <w:sz w:val="18"/>
      <w:szCs w:val="18"/>
    </w:rPr>
  </w:style>
  <w:style w:type="paragraph" w:customStyle="1" w:styleId="386">
    <w:name w:val="Default"/>
    <w:pPr>
      <w:widowControl w:val="0"/>
      <w:autoSpaceDE w:val="0"/>
      <w:autoSpaceDN w:val="0"/>
      <w:adjustRightInd w:val="0"/>
    </w:pPr>
    <w:rPr>
      <w:rFonts w:ascii="宋体" w:eastAsia="宋体" w:cs="宋体"/>
      <w:color w:val="000000"/>
      <w:sz w:val="24"/>
      <w:szCs w:val="24"/>
      <w:lang w:val="en-US" w:eastAsia="zh-CN" w:bidi="ar-SA"/>
    </w:rPr>
  </w:style>
  <w:style w:type="paragraph" w:customStyle="1" w:styleId="387">
    <w:name w:val="xl191"/>
    <w:basedOn w:val="0"/>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center"/>
      <w:textAlignment w:val="center"/>
    </w:pPr>
    <w:rPr>
      <w:rFonts w:ascii="宋体" w:eastAsia="宋体" w:cs="宋体"/>
      <w:b/>
      <w:bCs/>
      <w:kern w:val="0"/>
      <w:sz w:val="18"/>
      <w:szCs w:val="18"/>
    </w:rPr>
  </w:style>
  <w:style w:type="paragraph" w:customStyle="1" w:styleId="388">
    <w:name w:val="xl192"/>
    <w:basedOn w:val="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center"/>
      <w:textAlignment w:val="center"/>
    </w:pPr>
    <w:rPr>
      <w:rFonts w:ascii="宋体" w:eastAsia="宋体" w:cs="宋体"/>
      <w:b/>
      <w:bCs/>
      <w:kern w:val="0"/>
      <w:sz w:val="18"/>
      <w:szCs w:val="18"/>
    </w:rPr>
  </w:style>
  <w:style w:type="paragraph" w:customStyle="1" w:styleId="389">
    <w:name w:val="xl60"/>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cs="宋体"/>
      <w:kern w:val="0"/>
      <w:sz w:val="18"/>
      <w:szCs w:val="18"/>
    </w:rPr>
  </w:style>
  <w:style w:type="paragraph" w:customStyle="1" w:styleId="390">
    <w:name w:val="xl193"/>
    <w:basedOn w:val="0"/>
    <w:pPr>
      <w:widowControl/>
      <w:pBdr>
        <w:top w:val="single" w:sz="8"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center"/>
      <w:textAlignment w:val="center"/>
    </w:pPr>
    <w:rPr>
      <w:rFonts w:ascii="宋体" w:eastAsia="宋体" w:cs="宋体"/>
      <w:b/>
      <w:bCs/>
      <w:kern w:val="0"/>
      <w:sz w:val="18"/>
      <w:szCs w:val="18"/>
    </w:rPr>
  </w:style>
  <w:style w:type="paragraph" w:customStyle="1" w:styleId="391">
    <w:name w:val="xl59"/>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392">
    <w:name w:val="xl194"/>
    <w:basedOn w:val="0"/>
    <w:pPr>
      <w:widowControl/>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center"/>
      <w:textAlignment w:val="center"/>
    </w:pPr>
    <w:rPr>
      <w:rFonts w:ascii="宋体" w:eastAsia="宋体" w:cs="宋体"/>
      <w:b/>
      <w:bCs/>
      <w:kern w:val="0"/>
      <w:sz w:val="18"/>
      <w:szCs w:val="18"/>
    </w:rPr>
  </w:style>
  <w:style w:type="paragraph" w:customStyle="1" w:styleId="393">
    <w:name w:val="xl195"/>
    <w:basedOn w:val="0"/>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left"/>
      <w:textAlignment w:val="center"/>
    </w:pPr>
    <w:rPr>
      <w:rFonts w:ascii="宋体" w:eastAsia="宋体" w:cs="宋体"/>
      <w:b/>
      <w:bCs/>
      <w:kern w:val="0"/>
      <w:sz w:val="18"/>
      <w:szCs w:val="18"/>
    </w:rPr>
  </w:style>
  <w:style w:type="paragraph" w:customStyle="1" w:styleId="394">
    <w:name w:val="xl196"/>
    <w:basedOn w:val="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left"/>
      <w:textAlignment w:val="center"/>
    </w:pPr>
    <w:rPr>
      <w:rFonts w:ascii="宋体" w:eastAsia="宋体" w:cs="宋体"/>
      <w:b/>
      <w:bCs/>
      <w:kern w:val="0"/>
      <w:sz w:val="18"/>
      <w:szCs w:val="18"/>
    </w:rPr>
  </w:style>
  <w:style w:type="paragraph" w:customStyle="1" w:styleId="395">
    <w:name w:val="xl58"/>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396">
    <w:name w:val="xl54"/>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397">
    <w:name w:val="xl55"/>
    <w:basedOn w:val="0"/>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宋体" w:eastAsia="宋体" w:cs="宋体"/>
      <w:kern w:val="0"/>
      <w:sz w:val="18"/>
      <w:szCs w:val="18"/>
    </w:rPr>
  </w:style>
  <w:style w:type="paragraph" w:customStyle="1" w:styleId="398">
    <w:name w:val="xl56"/>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b/>
      <w:bCs/>
      <w:kern w:val="0"/>
      <w:sz w:val="18"/>
      <w:szCs w:val="18"/>
    </w:rPr>
  </w:style>
  <w:style w:type="paragraph" w:customStyle="1" w:styleId="399">
    <w:name w:val="xl57"/>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cs="宋体"/>
      <w:b/>
      <w:bCs/>
      <w:kern w:val="0"/>
      <w:sz w:val="18"/>
      <w:szCs w:val="18"/>
    </w:rPr>
  </w:style>
  <w:style w:type="paragraph" w:customStyle="1" w:styleId="400">
    <w:name w:val="xl61"/>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401">
    <w:name w:val="xl62"/>
    <w:basedOn w:val="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cs="宋体"/>
      <w:kern w:val="0"/>
      <w:sz w:val="18"/>
      <w:szCs w:val="18"/>
    </w:rPr>
  </w:style>
  <w:style w:type="paragraph" w:customStyle="1" w:styleId="402">
    <w:name w:val="_Style 486"/>
    <w:rPr>
      <w:rFonts w:ascii="Times New Roman" w:eastAsia="仿宋_GB2312" w:cs="Times New Roman" w:hAnsi="Times New Roman"/>
      <w:kern w:val="2"/>
      <w:sz w:val="28"/>
      <w:szCs w:val="24"/>
      <w:lang w:val="en-US" w:eastAsia="zh-CN" w:bidi="ar-SA"/>
    </w:rPr>
  </w:style>
  <w:style w:type="paragraph" w:customStyle="1" w:styleId="403">
    <w:name w:val="刘标题1"/>
    <w:basedOn w:val="0"/>
    <w:pPr>
      <w:spacing w:beforeLines="200" w:before="200" w:afterLines="200" w:after="200"/>
      <w:ind w:firstLineChars="0" w:firstLine="0"/>
      <w:jc w:val="center"/>
      <w:outlineLvl w:val="0"/>
    </w:pPr>
    <w:rPr>
      <w:rFonts w:ascii="Calibri" w:eastAsia="黑体" w:cs="Arial" w:hAnsi="Calibri"/>
      <w:sz w:val="32"/>
      <w:szCs w:val="28"/>
    </w:rPr>
  </w:style>
  <w:style w:type="paragraph" w:customStyle="1" w:styleId="404">
    <w:name w:val="刘标题2"/>
    <w:basedOn w:val="0"/>
    <w:pPr>
      <w:adjustRightInd w:val="0"/>
      <w:snapToGrid w:val="0"/>
      <w:spacing w:beforeLines="200" w:before="200" w:afterLines="200" w:after="200"/>
      <w:jc w:val="center"/>
      <w:outlineLvl w:val="1"/>
    </w:pPr>
    <w:rPr>
      <w:rFonts w:ascii="Calibri" w:eastAsia="楷体_GB2312" w:cs="Arial" w:hAnsi="Calibri"/>
      <w:b/>
      <w:sz w:val="32"/>
      <w:szCs w:val="28"/>
    </w:rPr>
  </w:style>
  <w:style w:type="paragraph" w:customStyle="1" w:styleId="405">
    <w:name w:val="纯文本1"/>
    <w:basedOn w:val="0"/>
    <w:rPr>
      <w:rFonts w:ascii="宋体" w:eastAsia="仿宋" w:hAnsi="宋体"/>
      <w:kern w:val="0"/>
      <w:sz w:val="20"/>
      <w:szCs w:val="20"/>
    </w:rPr>
  </w:style>
  <w:style w:type="paragraph" w:customStyle="1" w:styleId="406">
    <w:name w:val="本文正文123"/>
    <w:basedOn w:val="0"/>
    <w:pPr>
      <w:widowControl/>
      <w:adjustRightInd w:val="0"/>
      <w:snapToGrid w:val="0"/>
      <w:spacing w:line="240" w:lineRule="auto"/>
      <w:ind w:firstLineChars="0" w:firstLine="480"/>
      <w:jc w:val="left"/>
    </w:pPr>
    <w:rPr>
      <w:rFonts w:ascii="仿宋" w:eastAsia="仿宋"/>
      <w:sz w:val="20"/>
    </w:rPr>
  </w:style>
  <w:style w:type="paragraph" w:customStyle="1" w:styleId="407">
    <w:name w:val="Table Paragraph"/>
    <w:basedOn w:val="0"/>
    <w:pPr>
      <w:autoSpaceDE w:val="0"/>
      <w:autoSpaceDN w:val="0"/>
      <w:jc w:val="left"/>
    </w:pPr>
    <w:rPr>
      <w:rFonts w:ascii="宋体" w:eastAsia="宋体" w:cs="宋体"/>
      <w:kern w:val="0"/>
      <w:sz w:val="22"/>
      <w:szCs w:val="22"/>
      <w:lang w:val="zh-CN"/>
    </w:rPr>
  </w:style>
  <w:style w:type="paragraph" w:customStyle="1" w:styleId="408">
    <w:name w:val="正文-JOB"/>
    <w:pPr>
      <w:spacing w:line="360" w:lineRule="auto"/>
      <w:ind w:firstLineChars="200" w:firstLine="200"/>
      <w:jc w:val="both"/>
    </w:pPr>
    <w:rPr>
      <w:rFonts w:ascii="Times New Roman" w:eastAsia="仿宋_GB2312" w:cs="Times New Roman" w:hAnsi="Times New Roman"/>
      <w:kern w:val="2"/>
      <w:sz w:val="24"/>
      <w:szCs w:val="21"/>
      <w:lang w:val="en-US" w:eastAsia="zh-CN" w:bidi="ar-SA"/>
    </w:rPr>
  </w:style>
  <w:style w:type="paragraph" w:customStyle="1" w:styleId="409">
    <w:name w:val="公文标题3"/>
    <w:basedOn w:val="3"/>
    <w:next w:val="139"/>
    <w:pPr>
      <w:keepNext w:val="0"/>
      <w:keepLines w:val="0"/>
      <w:widowControl/>
      <w:numPr>
        <w:ilvl w:val="0"/>
        <w:numId w:val="0"/>
      </w:numPr>
      <w:spacing w:before="0" w:after="0" w:line="580" w:lineRule="exact"/>
      <w:ind w:left="0" w:firstLineChars="200" w:firstLine="200"/>
    </w:pPr>
    <w:rPr>
      <w:rFonts w:ascii="Calibri" w:eastAsia="仿宋_GB2312" w:hAnsi="Calibri"/>
      <w:b/>
      <w:kern w:val="2"/>
      <w:sz w:val="32"/>
      <w:lang w:val="en-US" w:eastAsia="zh-CN"/>
    </w:rPr>
  </w:style>
  <w:style w:type="paragraph" w:customStyle="1" w:styleId="410">
    <w:name w:val="TOC 标题1"/>
    <w:basedOn w:val="1"/>
    <w:next w:val="0"/>
    <w:pPr>
      <w:keepNext/>
      <w:keepLines/>
      <w:widowControl/>
      <w:numPr>
        <w:ilvl w:val="0"/>
        <w:numId w:val="0"/>
      </w:numPr>
      <w:tabs>
        <w:tab w:val="left" w:pos="360"/>
      </w:tabs>
      <w:overflowPunct/>
      <w:autoSpaceDE/>
      <w:autoSpaceDN/>
      <w:adjustRightInd/>
      <w:spacing w:before="480" w:line="276" w:lineRule="auto"/>
      <w:jc w:val="left"/>
      <w:textAlignment w:val="auto"/>
      <w:outlineLvl w:val="9"/>
    </w:pPr>
    <w:rPr>
      <w:rFonts w:ascii="Cambria" w:eastAsia="宋体" w:hAnsi="Cambria"/>
      <w:b/>
      <w:color w:val="365F91"/>
      <w:kern w:val="0"/>
      <w:sz w:val="28"/>
      <w:szCs w:val="28"/>
      <w:lang w:val="en-US" w:eastAsia="zh-CN"/>
    </w:rPr>
  </w:style>
  <w:style w:type="paragraph" w:customStyle="1" w:styleId="411">
    <w:name w:val="公文标题2"/>
    <w:basedOn w:val="2"/>
    <w:next w:val="139"/>
    <w:pPr>
      <w:keepNext w:val="0"/>
      <w:keepLines w:val="0"/>
      <w:widowControl/>
      <w:tabs>
        <w:tab w:val="clear" w:pos="900"/>
        <w:tab w:val="left" w:pos="0"/>
        <w:tab w:val="left" w:pos="926"/>
      </w:tabs>
      <w:spacing w:before="0" w:after="0" w:line="580" w:lineRule="exact"/>
      <w:ind w:left="0" w:firstLineChars="200" w:firstLine="200"/>
    </w:pPr>
    <w:rPr>
      <w:rFonts w:ascii="Cambria" w:eastAsia="楷体" w:hAnsi="Cambria"/>
      <w:b/>
      <w:bCs/>
      <w:kern w:val="2"/>
      <w:sz w:val="32"/>
      <w:lang w:val="en-US" w:eastAsia="zh-CN"/>
    </w:rPr>
  </w:style>
  <w:style w:type="paragraph" w:customStyle="1" w:styleId="412">
    <w:name w:val="List Paragraph1"/>
    <w:basedOn w:val="0"/>
    <w:pPr>
      <w:spacing w:line="240" w:lineRule="auto"/>
    </w:pPr>
    <w:rPr>
      <w:rFonts w:ascii="Calibri" w:eastAsia="宋体" w:hAnsi="Calibri"/>
      <w:sz w:val="21"/>
      <w:szCs w:val="22"/>
    </w:rPr>
  </w:style>
  <w:style w:type="paragraph" w:customStyle="1" w:styleId="413">
    <w:name w:val="样式 宋体 四号 首行缩进:  2 字符"/>
    <w:basedOn w:val="0"/>
    <w:rPr>
      <w:rFonts w:eastAsia="仿宋" w:cs="宋体"/>
      <w:color w:val="000000"/>
    </w:rPr>
  </w:style>
  <w:style w:type="paragraph" w:customStyle="1" w:styleId="414">
    <w:name w:val="TOC 标题11"/>
    <w:basedOn w:val="1"/>
    <w:next w:val="0"/>
    <w:pPr>
      <w:keepNext/>
      <w:keepLines/>
      <w:widowControl/>
      <w:numPr>
        <w:ilvl w:val="0"/>
        <w:numId w:val="0"/>
      </w:numPr>
      <w:tabs>
        <w:tab w:val="left" w:pos="360"/>
      </w:tabs>
      <w:overflowPunct/>
      <w:autoSpaceDE/>
      <w:autoSpaceDN/>
      <w:adjustRightInd/>
      <w:spacing w:before="480" w:line="276" w:lineRule="auto"/>
      <w:jc w:val="left"/>
      <w:textAlignment w:val="auto"/>
      <w:outlineLvl w:val="9"/>
    </w:pPr>
    <w:rPr>
      <w:rFonts w:ascii="Cambria" w:eastAsia="宋体" w:hAnsi="Cambria"/>
      <w:b/>
      <w:color w:val="365F91"/>
      <w:kern w:val="0"/>
      <w:sz w:val="28"/>
      <w:szCs w:val="28"/>
      <w:lang w:val="en-US" w:eastAsia="zh-CN"/>
    </w:rPr>
  </w:style>
  <w:style w:type="paragraph" w:customStyle="1" w:styleId="415">
    <w:name w:val="样式12"/>
    <w:basedOn w:val="0"/>
    <w:pPr>
      <w:adjustRightInd w:val="0"/>
      <w:snapToGrid w:val="0"/>
      <w:spacing w:before="0" w:after="0"/>
      <w:ind w:firstLineChars="0" w:firstLine="0"/>
      <w:jc w:val="center"/>
      <w:outlineLvl w:val="1"/>
    </w:pPr>
    <w:rPr>
      <w:rFonts w:ascii="楷体_GB2312" w:eastAsia="楷体_GB2312" w:cs="楷体_GB2312"/>
      <w:b/>
      <w:bCs/>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image" Target="media/23.png"/><Relationship Id="rId14" Type="http://schemas.openxmlformats.org/officeDocument/2006/relationships/image" Target="media/26.png"/><Relationship Id="rId15" Type="http://schemas.openxmlformats.org/officeDocument/2006/relationships/image" Target="media/29.jpeg"/><Relationship Id="rId16" Type="http://schemas.openxmlformats.org/officeDocument/2006/relationships/image" Target="media/32.jpeg"/><Relationship Id="rId17" Type="http://schemas.openxmlformats.org/officeDocument/2006/relationships/image" Target="media/35.jpeg"/><Relationship Id="rId18" Type="http://schemas.openxmlformats.org/officeDocument/2006/relationships/image" Target="media/38.jpeg"/><Relationship Id="rId19" Type="http://schemas.openxmlformats.org/officeDocument/2006/relationships/image" Target="media/41.jpeg"/><Relationship Id="rId20" Type="http://schemas.openxmlformats.org/officeDocument/2006/relationships/image" Target="media/44.jpeg"/><Relationship Id="rId21" Type="http://schemas.openxmlformats.org/officeDocument/2006/relationships/footnotes" Target="footnotes.xml"/><Relationship Id="rId22" Type="http://schemas.openxmlformats.org/officeDocument/2006/relationships/styles" Target="styles.xml"/><Relationship Id="rId23" Type="http://schemas.openxmlformats.org/officeDocument/2006/relationships/numbering" Target="numbering.xml"/><Relationship Id="rId24" Type="http://schemas.openxmlformats.org/officeDocument/2006/relationships/fontTable" Target="fontTable.xml"/></Relationships>
</file>

<file path=docProps/app.xml><?xml version="1.0" encoding="utf-8"?>
<Properties xmlns="http://schemas.openxmlformats.org/officeDocument/2006/extended-properties">
  <Template>Normal.eit</Template>
  <TotalTime>30</TotalTime>
  <Application>Yozo_Office</Application>
  <Pages>73</Pages>
  <Words>31414</Words>
  <Characters>32205</Characters>
  <Lines>3321</Lines>
  <Paragraphs>1445</Paragraphs>
  <CharactersWithSpaces>32359</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title>东海近岸海域污染防治“十二五”规划</dc:title>
  <dc:creator>dyx</dc:creator>
  <cp:lastModifiedBy>zht</cp:lastModifiedBy>
  <cp:revision>8</cp:revision>
  <cp:lastPrinted>2022-02-17T01:13:04Z</cp:lastPrinted>
  <dcterms:created xsi:type="dcterms:W3CDTF">2022-01-17T09:30:00Z</dcterms:created>
  <dcterms:modified xsi:type="dcterms:W3CDTF">2022-02-17T01:19:46Z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2052-11.1.0.11294</vt:lpwstr>
  </property>
  <property fmtid="{D5CDD505-2E9C-101B-9397-08002B2CF9AE}" pid="3" name="ICV">
    <vt:lpwstr>161F73582E3C4198AAC5C606FEDB39BD</vt:lpwstr>
  </property>
</Properties>
</file>