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adjustRightInd w:val="0"/>
        <w:snapToGrid w:val="0"/>
        <w:spacing w:line="360" w:lineRule="auto"/>
        <w:jc w:val="center"/>
        <w:rPr>
          <w:rFonts w:ascii="华文中宋" w:eastAsia="华文中宋"/>
          <w:b/>
          <w:bCs/>
          <w:sz w:val="52"/>
          <w:szCs w:val="52"/>
        </w:rPr>
      </w:pPr>
    </w:p>
    <w:p>
      <w:pPr>
        <w:adjustRightInd w:val="0"/>
        <w:snapToGrid w:val="0"/>
        <w:spacing w:line="360" w:lineRule="auto"/>
        <w:jc w:val="center"/>
        <w:rPr>
          <w:rFonts w:ascii="华文中宋" w:eastAsia="华文中宋" w:hint="eastAsia"/>
          <w:b/>
          <w:bCs/>
          <w:sz w:val="52"/>
          <w:szCs w:val="52"/>
        </w:rPr>
      </w:pPr>
    </w:p>
    <w:p>
      <w:pPr>
        <w:adjustRightInd w:val="0"/>
        <w:snapToGrid w:val="0"/>
        <w:spacing w:line="300" w:lineRule="auto"/>
        <w:ind w:left="0"/>
        <w:jc w:val="center"/>
        <w:rPr>
          <w:rFonts w:ascii="华文中宋" w:eastAsia="华文中宋" w:hint="eastAsia"/>
          <w:b/>
          <w:bCs/>
          <w:sz w:val="44"/>
          <w:szCs w:val="44"/>
        </w:rPr>
      </w:pPr>
      <w:r>
        <w:rPr>
          <w:rFonts w:ascii="华文中宋" w:eastAsia="华文中宋" w:hint="eastAsia"/>
          <w:b/>
          <w:bCs/>
          <w:sz w:val="44"/>
          <w:szCs w:val="44"/>
        </w:rPr>
        <w:t>福建省铜冶炼行业污染防治</w:t>
      </w:r>
    </w:p>
    <w:p>
      <w:pPr>
        <w:adjustRightInd w:val="0"/>
        <w:snapToGrid w:val="0"/>
        <w:spacing w:line="300" w:lineRule="auto"/>
        <w:jc w:val="center"/>
        <w:rPr>
          <w:rFonts w:ascii="华文中宋" w:eastAsia="华文中宋" w:hint="eastAsia"/>
          <w:b/>
          <w:bCs/>
          <w:sz w:val="44"/>
          <w:szCs w:val="44"/>
        </w:rPr>
      </w:pPr>
      <w:r>
        <w:rPr>
          <w:rFonts w:ascii="华文中宋" w:eastAsia="华文中宋" w:hint="eastAsia"/>
          <w:b/>
          <w:bCs/>
          <w:sz w:val="44"/>
          <w:szCs w:val="44"/>
        </w:rPr>
        <w:t>工作指南（试行）</w:t>
      </w:r>
    </w:p>
    <w:p>
      <w:pPr>
        <w:adjustRightInd w:val="0"/>
        <w:snapToGrid w:val="0"/>
        <w:spacing w:line="360" w:lineRule="auto"/>
        <w:ind w:left="600"/>
        <w:jc w:val="center"/>
        <w:rPr>
          <w:rFonts w:ascii="楷体_GB2312" w:eastAsia="楷体_GB2312" w:hint="eastAsia"/>
          <w:sz w:val="32"/>
          <w:szCs w:val="32"/>
        </w:rPr>
      </w:pPr>
    </w:p>
    <w:p>
      <w:pPr>
        <w:spacing w:line="360" w:lineRule="auto"/>
        <w:ind w:left="600" w:right="1133"/>
        <w:jc w:val="center"/>
        <w:rPr>
          <w:rFonts w:ascii="黑体" w:eastAsia="黑体" w:hint="eastAsia"/>
          <w:sz w:val="48"/>
        </w:rPr>
      </w:pPr>
    </w:p>
    <w:p>
      <w:pPr>
        <w:pStyle w:val="22"/>
        <w:spacing w:line="360" w:lineRule="auto"/>
        <w:jc w:val="center"/>
        <w:rPr>
          <w:rFonts w:ascii="Times New Roman" w:hAnsi="Times New Roman"/>
          <w:sz w:val="32"/>
        </w:rPr>
      </w:pPr>
    </w:p>
    <w:p>
      <w:pPr>
        <w:pStyle w:val="22"/>
        <w:spacing w:line="360" w:lineRule="auto"/>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pStyle w:val="22"/>
        <w:jc w:val="center"/>
        <w:rPr>
          <w:rFonts w:ascii="Times New Roman" w:hAnsi="Times New Roman"/>
          <w:sz w:val="32"/>
        </w:rPr>
      </w:pPr>
    </w:p>
    <w:p>
      <w:pPr>
        <w:adjustRightInd w:val="0"/>
        <w:snapToGrid w:val="0"/>
        <w:spacing w:line="300" w:lineRule="auto"/>
        <w:jc w:val="center"/>
        <w:rPr>
          <w:rFonts w:ascii="楷体_GB2312" w:eastAsia="楷体_GB2312" w:cs="Times New Roman" w:hint="eastAsia"/>
          <w:b/>
          <w:bCs/>
          <w:sz w:val="32"/>
          <w:szCs w:val="32"/>
          <w:lang w:bidi="ar-SA"/>
        </w:rPr>
      </w:pPr>
      <w:r>
        <w:rPr>
          <w:rFonts w:ascii="楷体_GB2312" w:eastAsia="楷体_GB2312" w:cs="Times New Roman" w:hint="eastAsia"/>
          <w:b/>
          <w:bCs/>
          <w:sz w:val="32"/>
          <w:szCs w:val="32"/>
          <w:lang w:bidi="ar-SA"/>
        </w:rPr>
        <w:t>福建省生态环境厅</w:t>
      </w:r>
    </w:p>
    <w:p>
      <w:pPr>
        <w:pStyle w:val="22"/>
        <w:adjustRightInd w:val="0"/>
        <w:snapToGrid w:val="0"/>
        <w:spacing w:line="300" w:lineRule="auto"/>
        <w:jc w:val="center"/>
        <w:rPr>
          <w:rFonts w:ascii="楷体_GB2312" w:eastAsia="楷体_GB2312" w:hint="eastAsia"/>
          <w:b/>
          <w:bCs/>
          <w:sz w:val="32"/>
          <w:szCs w:val="32"/>
        </w:rPr>
      </w:pPr>
      <w:r>
        <w:rPr>
          <w:rFonts w:ascii="楷体_GB2312" w:eastAsia="楷体_GB2312" w:cs="Times New Roman" w:hint="eastAsia"/>
          <w:b/>
          <w:bCs/>
          <w:sz w:val="32"/>
          <w:szCs w:val="32"/>
          <w:lang w:bidi="ar-SA"/>
        </w:rPr>
        <w:t>2021年12月</w:t>
      </w:r>
    </w:p>
    <w:p>
      <w:pPr>
        <w:pStyle w:val="21"/>
        <w:spacing w:before="221"/>
        <w:jc w:val="both"/>
      </w:pPr>
    </w:p>
    <w:p>
      <w:pPr>
        <w:jc w:val="both"/>
        <w:sectPr>
          <w:footerReference w:type="default" r:id="rId2"/>
          <w:footerReference w:type="even" r:id="rId3"/>
          <w:pgSz w:w="11910" w:h="16840"/>
          <w:pgMar w:top="1440" w:right="1803" w:bottom="1440" w:left="1803" w:header="720" w:footer="690" w:gutter="0"/>
          <w:pgNumType w:start="3"/>
          <w:docGrid w:linePitch="312" w:charSpace="0"/>
        </w:sectPr>
      </w:pPr>
    </w:p>
    <w:p>
      <w:pPr>
        <w:pStyle w:val="22"/>
        <w:spacing w:before="189" w:line="305" w:lineRule="auto"/>
        <w:ind w:left="578" w:right="1112" w:firstLine="410"/>
        <w:jc w:val="both"/>
        <w:rPr>
          <w:rFonts w:ascii="华文中宋" w:eastAsia="华文中宋" w:hint="eastAsia"/>
          <w:spacing w:val="-4"/>
          <w:sz w:val="44"/>
          <w:szCs w:val="44"/>
        </w:rPr>
      </w:pPr>
    </w:p>
    <w:p>
      <w:pPr>
        <w:pStyle w:val="22"/>
        <w:spacing w:before="189" w:line="305" w:lineRule="auto"/>
        <w:ind w:left="578" w:right="1112" w:firstLine="410"/>
        <w:jc w:val="center"/>
        <w:rPr>
          <w:rFonts w:ascii="仿宋" w:eastAsia="仿宋" w:hint="eastAsia"/>
          <w:spacing w:val="-4"/>
          <w:sz w:val="44"/>
          <w:szCs w:val="44"/>
        </w:rPr>
      </w:pPr>
      <w:r>
        <w:rPr>
          <w:rFonts w:ascii="华文中宋" w:eastAsia="华文中宋" w:hint="eastAsia"/>
          <w:spacing w:val="-4"/>
          <w:sz w:val="44"/>
          <w:szCs w:val="44"/>
        </w:rPr>
        <w:t>前   言</w:t>
      </w:r>
    </w:p>
    <w:p>
      <w:pPr>
        <w:pStyle w:val="22"/>
        <w:spacing w:line="360" w:lineRule="auto"/>
        <w:ind w:firstLineChars="200" w:firstLine="600"/>
        <w:jc w:val="both"/>
        <w:rPr>
          <w:rFonts w:ascii="仿宋" w:eastAsia="仿宋" w:hint="eastAsia"/>
          <w:sz w:val="30"/>
          <w:szCs w:val="30"/>
        </w:rPr>
      </w:pPr>
    </w:p>
    <w:p>
      <w:pPr>
        <w:pStyle w:val="22"/>
        <w:snapToGrid w:val="0"/>
        <w:spacing w:line="360" w:lineRule="auto"/>
        <w:ind w:firstLineChars="200" w:firstLine="640"/>
        <w:jc w:val="both"/>
        <w:rPr>
          <w:rFonts w:ascii="仿宋_GB2312" w:eastAsia="仿宋_GB2312" w:hint="eastAsia"/>
          <w:sz w:val="32"/>
          <w:szCs w:val="32"/>
        </w:rPr>
      </w:pPr>
      <w:r>
        <w:rPr>
          <w:rFonts w:ascii="仿宋_GB2312" w:eastAsia="仿宋_GB2312" w:hint="eastAsia"/>
          <w:sz w:val="32"/>
          <w:szCs w:val="32"/>
        </w:rPr>
        <w:t>为全面贯彻落实《中华人民共和国固体废物污染环境防治法》、《土壤污染防治行动计划》（国发〔2016〕31号）、《关于加强涉重金属行业污染防控的意见》（环土壤〔2018〕22号）、《福建省涉重金属行业污染防控工作方案》（闽环保土〔2018〕18号）等要求，全面提升我省铜冶炼行业污染防治水平，减少重金属等污染物排放，促进行业绿色发展，保障生态环境安全，特制定本指南。</w:t>
      </w:r>
    </w:p>
    <w:p>
      <w:pPr>
        <w:pStyle w:val="22"/>
        <w:snapToGrid w:val="0"/>
        <w:spacing w:line="360" w:lineRule="auto"/>
        <w:ind w:firstLineChars="200" w:firstLine="640"/>
        <w:jc w:val="both"/>
        <w:rPr>
          <w:rFonts w:ascii="仿宋_GB2312" w:eastAsia="仿宋_GB2312" w:hint="eastAsia"/>
          <w:sz w:val="32"/>
          <w:szCs w:val="32"/>
        </w:rPr>
      </w:pPr>
      <w:r>
        <w:rPr>
          <w:rFonts w:ascii="仿宋_GB2312" w:eastAsia="仿宋_GB2312" w:hint="eastAsia"/>
          <w:sz w:val="32"/>
          <w:szCs w:val="32"/>
        </w:rPr>
        <w:t>本指南起草单位：福建省环境保护设计院有限公司。</w:t>
      </w:r>
    </w:p>
    <w:p>
      <w:pPr>
        <w:pStyle w:val="22"/>
        <w:snapToGrid w:val="0"/>
        <w:spacing w:line="360" w:lineRule="auto"/>
        <w:ind w:firstLineChars="200" w:firstLine="640"/>
        <w:jc w:val="both"/>
        <w:rPr>
          <w:rFonts w:ascii="仿宋_GB2312" w:eastAsia="仿宋_GB2312" w:hint="eastAsia"/>
          <w:sz w:val="32"/>
          <w:szCs w:val="32"/>
        </w:rPr>
      </w:pPr>
      <w:r>
        <w:rPr>
          <w:rFonts w:ascii="仿宋_GB2312" w:eastAsia="仿宋_GB2312" w:hint="eastAsia"/>
          <w:sz w:val="32"/>
          <w:szCs w:val="32"/>
        </w:rPr>
        <w:t>本指南由福建省生态环境厅解释。</w:t>
      </w:r>
    </w:p>
    <w:p>
      <w:pPr>
        <w:spacing w:line="302" w:lineRule="auto"/>
        <w:jc w:val="both"/>
        <w:rPr>
          <w:rFonts w:ascii="仿宋_GB2312" w:eastAsia="仿宋_GB2312" w:hint="eastAsia"/>
          <w:sz w:val="32"/>
          <w:szCs w:val="32"/>
        </w:rPr>
        <w:sectPr>
          <w:type w:val="nextColumn"/>
          <w:pgSz w:w="11910" w:h="16840"/>
          <w:pgMar w:top="1418" w:right="1588" w:bottom="1418" w:left="1588" w:header="0" w:footer="692" w:gutter="0"/>
          <w:pgNumType/>
          <w:docGrid w:linePitch="312" w:charSpace="0"/>
        </w:sectPr>
      </w:pPr>
    </w:p>
    <w:p>
      <w:pPr>
        <w:pStyle w:val="24"/>
        <w:jc w:val="center"/>
        <w:rPr>
          <w:color w:val="auto"/>
        </w:rPr>
      </w:pPr>
      <w:r>
        <w:rPr>
          <w:color w:val="auto"/>
          <w:lang w:val="zh-CN" w:eastAsia="zh-CN"/>
        </w:rPr>
        <w:t>目</w:t>
      </w:r>
      <w:r>
        <w:rPr>
          <w:rFonts w:hint="eastAsia"/>
          <w:color w:val="auto"/>
          <w:lang w:val="zh-CN" w:eastAsia="zh-CN"/>
        </w:rPr>
        <w:t xml:space="preserve">    </w:t>
      </w:r>
      <w:r>
        <w:rPr>
          <w:color w:val="auto"/>
          <w:lang w:val="zh-CN" w:eastAsia="zh-CN"/>
        </w:rPr>
        <w:t>录</w:t>
      </w:r>
    </w:p>
    <w:p>
      <w:pPr>
        <w:pStyle w:val="17"/>
        <w:tabs>
          <w:tab w:val="right" w:leader="dot" w:pos="8724"/>
        </w:tabs>
        <w:spacing w:line="276" w:lineRule="auto"/>
        <w:rPr>
          <w:rFonts w:ascii="等线" w:eastAsia="等线" w:cs="Arial" w:hint="eastAsia"/>
          <w:b w:val="0"/>
          <w:lang w:bidi="ar-SA"/>
        </w:rPr>
      </w:pPr>
      <w:r>
        <w:rPr>
          <w:sz w:val="28"/>
          <w:szCs w:val="28"/>
        </w:rPr>
        <w:fldChar w:fldCharType="begin"/>
      </w:r>
      <w:r>
        <w:rPr>
          <w:sz w:val="28"/>
          <w:szCs w:val="28"/>
        </w:rPr>
        <w:instrText xml:space="preserve"> TOC \o "1-3" \h \z \u </w:instrText>
      </w:r>
      <w:r>
        <w:rPr>
          <w:rFonts w:ascii="Calibri" w:cs="黑体" w:hAnsi="Calibri"/>
          <w:sz w:val="28"/>
          <w:szCs w:val="28"/>
          <w:lang w:bidi="ar-SA"/>
        </w:rPr>
        <w:fldChar w:fldCharType="separate"/>
      </w:r>
      <w:r>
        <w:fldChar w:fldCharType="begin"/>
      </w:r>
      <w:r>
        <w:instrText>Hyperlink \l "_Toc89766357"</w:instrText>
      </w:r>
      <w:r>
        <w:fldChar w:fldCharType="separate"/>
      </w:r>
      <w:r>
        <w:rPr>
          <w:rFonts w:ascii="黑体" w:eastAsia="黑体" w:hint="eastAsia"/>
        </w:rPr>
        <w:t>1、总则</w:t>
      </w:r>
      <w:r>
        <w:tab/>
      </w:r>
      <w:r>
        <w:fldChar w:fldCharType="begin"/>
      </w:r>
      <w:r>
        <w:instrText xml:space="preserve"> PAGEREF _Toc89766357 \h </w:instrText>
      </w:r>
      <w:r>
        <w:fldChar w:fldCharType="separate"/>
      </w:r>
      <w:r>
        <w:t>1</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"_Toc89766358"</w:instrText>
      </w:r>
      <w:r>
        <w:fldChar w:fldCharType="separate"/>
      </w:r>
      <w:r>
        <w:rPr>
          <w:rFonts w:ascii="仿宋" w:eastAsia="仿宋" w:hint="eastAsia"/>
        </w:rPr>
        <w:t>1.1适用范围</w:t>
      </w:r>
      <w:r>
        <w:tab/>
      </w:r>
      <w:r>
        <w:fldChar w:fldCharType="begin"/>
      </w:r>
      <w:r>
        <w:instrText xml:space="preserve"> PAGEREF _Toc89766358 \h </w:instrText>
      </w:r>
      <w:r>
        <w:fldChar w:fldCharType="separate"/>
      </w:r>
      <w:r>
        <w:t>1</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"_Toc89766359"</w:instrText>
      </w:r>
      <w:r>
        <w:fldChar w:fldCharType="separate"/>
      </w:r>
      <w:r>
        <w:rPr>
          <w:rFonts w:ascii="仿宋" w:eastAsia="仿宋" w:hint="eastAsia"/>
        </w:rPr>
        <w:t>1.2术语和定义</w:t>
      </w:r>
      <w:r>
        <w:tab/>
      </w:r>
      <w:r>
        <w:fldChar w:fldCharType="begin"/>
      </w:r>
      <w:r>
        <w:instrText xml:space="preserve"> PAGEREF _Toc89766359 \h </w:instrText>
      </w:r>
      <w:r>
        <w:fldChar w:fldCharType="separate"/>
      </w:r>
      <w:r>
        <w:t>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"_Toc89766360"</w:instrText>
      </w:r>
      <w:r>
        <w:fldChar w:fldCharType="separate"/>
      </w:r>
      <w:r>
        <w:rPr>
          <w:rFonts w:ascii="仿宋" w:eastAsia="仿宋" w:hint="eastAsia"/>
        </w:rPr>
        <w:t>1.2.1熔炼</w:t>
      </w:r>
      <w:r>
        <w:tab/>
      </w:r>
      <w:r>
        <w:fldChar w:fldCharType="begin"/>
      </w:r>
      <w:r>
        <w:instrText xml:space="preserve"> PAGEREF _Toc89766360 \h </w:instrText>
      </w:r>
      <w:r>
        <w:fldChar w:fldCharType="separate"/>
      </w:r>
      <w:r>
        <w:t>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"_Toc89766361"</w:instrText>
      </w:r>
      <w:r>
        <w:fldChar w:fldCharType="separate"/>
      </w:r>
      <w:r>
        <w:rPr>
          <w:rFonts w:ascii="仿宋" w:eastAsia="仿宋" w:hint="eastAsia"/>
        </w:rPr>
        <w:t>1.2.2吹炼</w:t>
      </w:r>
      <w:r>
        <w:tab/>
      </w:r>
      <w:r>
        <w:fldChar w:fldCharType="begin"/>
      </w:r>
      <w:r>
        <w:instrText xml:space="preserve"> PAGEREF _Toc89766361 \h </w:instrText>
      </w:r>
      <w:r>
        <w:fldChar w:fldCharType="separate"/>
      </w:r>
      <w:r>
        <w:t>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"_Toc89766362"</w:instrText>
      </w:r>
      <w:r>
        <w:fldChar w:fldCharType="separate"/>
      </w:r>
      <w:r>
        <w:rPr>
          <w:rFonts w:ascii="仿宋" w:eastAsia="仿宋" w:hint="eastAsia"/>
        </w:rPr>
        <w:t>1.2.3火法精炼</w:t>
      </w:r>
      <w:r>
        <w:tab/>
      </w:r>
      <w:r>
        <w:fldChar w:fldCharType="begin"/>
      </w:r>
      <w:r>
        <w:instrText xml:space="preserve"> PAGEREF _Toc89766362 \h </w:instrText>
      </w:r>
      <w:r>
        <w:fldChar w:fldCharType="separate"/>
      </w:r>
      <w:r>
        <w:t>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"_Toc89766363"</w:instrText>
      </w:r>
      <w:r>
        <w:fldChar w:fldCharType="separate"/>
      </w:r>
      <w:r>
        <w:rPr>
          <w:rFonts w:ascii="仿宋" w:eastAsia="仿宋" w:hint="eastAsia"/>
        </w:rPr>
        <w:t>1.2.4闪速熔炼</w:t>
      </w:r>
      <w:r>
        <w:tab/>
      </w:r>
      <w:r>
        <w:fldChar w:fldCharType="begin"/>
      </w:r>
      <w:r>
        <w:instrText xml:space="preserve"> PAGEREF _Toc89766363 \h </w:instrText>
      </w:r>
      <w:r>
        <w:fldChar w:fldCharType="separate"/>
      </w:r>
      <w:r>
        <w:t>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"_Toc89766364"</w:instrText>
      </w:r>
      <w:r>
        <w:fldChar w:fldCharType="separate"/>
      </w:r>
      <w:r>
        <w:rPr>
          <w:rFonts w:ascii="仿宋" w:eastAsia="仿宋" w:hint="eastAsia"/>
        </w:rPr>
        <w:t>1.2.5熔池熔炼</w:t>
      </w:r>
      <w:r>
        <w:tab/>
      </w:r>
      <w:r>
        <w:fldChar w:fldCharType="begin"/>
      </w:r>
      <w:r>
        <w:instrText xml:space="preserve"> PAGEREF _Toc89766364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"_Toc89766365"</w:instrText>
      </w:r>
      <w:r>
        <w:fldChar w:fldCharType="separate"/>
      </w:r>
      <w:r>
        <w:rPr>
          <w:rFonts w:ascii="仿宋" w:eastAsia="仿宋" w:hint="eastAsia"/>
        </w:rPr>
        <w:t>1.2.6电解铜精炼</w:t>
      </w:r>
      <w:r>
        <w:tab/>
      </w:r>
      <w:r>
        <w:fldChar w:fldCharType="begin"/>
      </w:r>
      <w:r>
        <w:instrText xml:space="preserve"> PAGEREF _Toc89766365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"_Toc89766366"</w:instrText>
      </w:r>
      <w:r>
        <w:fldChar w:fldCharType="separate"/>
      </w:r>
      <w:r>
        <w:rPr>
          <w:rFonts w:ascii="仿宋" w:eastAsia="仿宋" w:hint="eastAsia"/>
        </w:rPr>
        <w:t>1.2.7环境集烟</w:t>
      </w:r>
      <w:r>
        <w:tab/>
      </w:r>
      <w:r>
        <w:fldChar w:fldCharType="begin"/>
      </w:r>
      <w:r>
        <w:instrText xml:space="preserve"> PAGEREF _Toc89766366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"_Toc89766367"</w:instrText>
      </w:r>
      <w:r>
        <w:fldChar w:fldCharType="separate"/>
      </w:r>
      <w:r>
        <w:rPr>
          <w:rFonts w:ascii="仿宋" w:eastAsia="仿宋" w:hint="eastAsia"/>
        </w:rPr>
        <w:t>1.2.8污酸</w:t>
      </w:r>
      <w:r>
        <w:tab/>
      </w:r>
      <w:r>
        <w:fldChar w:fldCharType="begin"/>
      </w:r>
      <w:r>
        <w:instrText xml:space="preserve"> PAGEREF _Toc89766367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"_Toc89766368"</w:instrText>
      </w:r>
      <w:r>
        <w:fldChar w:fldCharType="separate"/>
      </w:r>
      <w:r>
        <w:rPr>
          <w:rFonts w:ascii="仿宋" w:eastAsia="仿宋" w:hint="eastAsia"/>
        </w:rPr>
        <w:t>1.2.9标准状态</w:t>
      </w:r>
      <w:r>
        <w:tab/>
      </w:r>
      <w:r>
        <w:fldChar w:fldCharType="begin"/>
      </w:r>
      <w:r>
        <w:instrText xml:space="preserve"> PAGEREF _Toc89766368 \h </w:instrText>
      </w:r>
      <w:r>
        <w:fldChar w:fldCharType="separate"/>
      </w:r>
      <w:r>
        <w:t>2</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"_Toc89766369"</w:instrText>
      </w:r>
      <w:r>
        <w:fldChar w:fldCharType="separate"/>
      </w:r>
      <w:r>
        <w:rPr>
          <w:rFonts w:ascii="仿宋" w:eastAsia="仿宋" w:hint="eastAsia"/>
        </w:rPr>
        <w:t>1.3行业相关政策</w:t>
      </w:r>
      <w:r>
        <w:tab/>
      </w:r>
      <w:r>
        <w:fldChar w:fldCharType="begin"/>
      </w:r>
      <w:r>
        <w:instrText xml:space="preserve"> PAGEREF _Toc89766369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"_Toc89766370"</w:instrText>
      </w:r>
      <w:r>
        <w:fldChar w:fldCharType="separate"/>
      </w:r>
      <w:r>
        <w:rPr>
          <w:rFonts w:ascii="仿宋" w:eastAsia="仿宋" w:hint="eastAsia"/>
        </w:rPr>
        <w:t>1.3.1相关规范、文件、政策</w:t>
      </w:r>
      <w:r>
        <w:tab/>
      </w:r>
      <w:r>
        <w:fldChar w:fldCharType="begin"/>
      </w:r>
      <w:r>
        <w:instrText xml:space="preserve"> PAGEREF _Toc89766370 \h </w:instrText>
      </w:r>
      <w:r>
        <w:fldChar w:fldCharType="separate"/>
      </w:r>
      <w:r>
        <w:t>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"_Toc89766371"</w:instrText>
      </w:r>
      <w:r>
        <w:fldChar w:fldCharType="separate"/>
      </w:r>
      <w:r>
        <w:rPr>
          <w:rFonts w:ascii="仿宋" w:eastAsia="仿宋" w:hint="eastAsia"/>
        </w:rPr>
        <w:t>1.3.2产业布局</w:t>
      </w:r>
      <w:r>
        <w:tab/>
      </w:r>
      <w:r>
        <w:fldChar w:fldCharType="begin"/>
      </w:r>
      <w:r>
        <w:instrText xml:space="preserve"> PAGEREF _Toc89766371 \h </w:instrText>
      </w:r>
      <w:r>
        <w:fldChar w:fldCharType="separate"/>
      </w:r>
      <w:r>
        <w:t>3</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"_Toc89766372"</w:instrText>
      </w:r>
      <w:r>
        <w:fldChar w:fldCharType="separate"/>
      </w:r>
      <w:r>
        <w:rPr>
          <w:rFonts w:ascii="仿宋" w:eastAsia="仿宋" w:hint="eastAsia"/>
        </w:rPr>
        <w:t>1.3.3产业政策</w:t>
      </w:r>
      <w:r>
        <w:tab/>
      </w:r>
      <w:r>
        <w:fldChar w:fldCharType="begin"/>
      </w:r>
      <w:r>
        <w:instrText xml:space="preserve"> PAGEREF _Toc89766372 \h </w:instrText>
      </w:r>
      <w:r>
        <w:fldChar w:fldCharType="separate"/>
      </w:r>
      <w:r>
        <w:t>4</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"_Toc89766373"</w:instrText>
      </w:r>
      <w:r>
        <w:fldChar w:fldCharType="separate"/>
      </w:r>
      <w:r>
        <w:rPr>
          <w:rFonts w:ascii="仿宋" w:eastAsia="仿宋" w:hint="eastAsia"/>
        </w:rPr>
        <w:t>1.3.4清洁生产政策</w:t>
      </w:r>
      <w:r>
        <w:tab/>
      </w:r>
      <w:r>
        <w:fldChar w:fldCharType="begin"/>
      </w:r>
      <w:r>
        <w:instrText xml:space="preserve"> PAGEREF _Toc89766373 \h </w:instrText>
      </w:r>
      <w:r>
        <w:fldChar w:fldCharType="separate"/>
      </w:r>
      <w:r>
        <w:t>5</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"_Toc89766374"</w:instrText>
      </w:r>
      <w:r>
        <w:fldChar w:fldCharType="separate"/>
      </w:r>
      <w:r>
        <w:rPr>
          <w:rFonts w:ascii="仿宋" w:eastAsia="仿宋" w:hint="eastAsia"/>
        </w:rPr>
        <w:t>1.4行业相关标准</w:t>
      </w:r>
      <w:r>
        <w:tab/>
      </w:r>
      <w:r>
        <w:fldChar w:fldCharType="begin"/>
      </w:r>
      <w:r>
        <w:instrText xml:space="preserve"> PAGEREF _Toc89766374 \h </w:instrText>
      </w:r>
      <w:r>
        <w:fldChar w:fldCharType="separate"/>
      </w:r>
      <w:r>
        <w:t>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"_Toc89766375"</w:instrText>
      </w:r>
      <w:r>
        <w:fldChar w:fldCharType="separate"/>
      </w:r>
      <w:r>
        <w:rPr>
          <w:rFonts w:ascii="仿宋" w:eastAsia="仿宋" w:hint="eastAsia"/>
        </w:rPr>
        <w:t>1.4.1污染物排放标准</w:t>
      </w:r>
      <w:r>
        <w:tab/>
      </w:r>
      <w:r>
        <w:fldChar w:fldCharType="begin"/>
      </w:r>
      <w:r>
        <w:instrText xml:space="preserve"> PAGEREF _Toc89766375 \h </w:instrText>
      </w:r>
      <w:r>
        <w:fldChar w:fldCharType="separate"/>
      </w:r>
      <w:r>
        <w:t>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"_Toc89766376"</w:instrText>
      </w:r>
      <w:r>
        <w:fldChar w:fldCharType="separate"/>
      </w:r>
      <w:r>
        <w:rPr>
          <w:rFonts w:ascii="仿宋" w:eastAsia="仿宋" w:hint="eastAsia"/>
        </w:rPr>
        <w:t>1.4.2清洁生产标准</w:t>
      </w:r>
      <w:r>
        <w:tab/>
      </w:r>
      <w:r>
        <w:fldChar w:fldCharType="begin"/>
      </w:r>
      <w:r>
        <w:instrText xml:space="preserve"> PAGEREF _Toc89766376 \h </w:instrText>
      </w:r>
      <w:r>
        <w:fldChar w:fldCharType="separate"/>
      </w:r>
      <w:r>
        <w:t>6</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"_Toc89766377"</w:instrText>
      </w:r>
      <w:r>
        <w:fldChar w:fldCharType="separate"/>
      </w:r>
      <w:r>
        <w:rPr>
          <w:rFonts w:ascii="黑体" w:eastAsia="黑体" w:hint="eastAsia"/>
        </w:rPr>
        <w:t>2、生产工艺及污染物排放</w:t>
      </w:r>
      <w:r>
        <w:tab/>
      </w:r>
      <w:r>
        <w:fldChar w:fldCharType="begin"/>
      </w:r>
      <w:r>
        <w:instrText xml:space="preserve"> PAGEREF _Toc89766377 \h </w:instrText>
      </w:r>
      <w:r>
        <w:fldChar w:fldCharType="separate"/>
      </w:r>
      <w:r>
        <w:t>6</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"_Toc89766378"</w:instrText>
      </w:r>
      <w:r>
        <w:fldChar w:fldCharType="separate"/>
      </w:r>
      <w:r>
        <w:rPr>
          <w:rFonts w:ascii="仿宋" w:eastAsia="仿宋" w:hint="eastAsia"/>
        </w:rPr>
        <w:t>2.1生产工艺及产污环节</w:t>
      </w:r>
      <w:r>
        <w:tab/>
      </w:r>
      <w:r>
        <w:fldChar w:fldCharType="begin"/>
      </w:r>
      <w:r>
        <w:instrText xml:space="preserve"> PAGEREF _Toc89766378 \h </w:instrText>
      </w:r>
      <w:r>
        <w:fldChar w:fldCharType="separate"/>
      </w:r>
      <w:r>
        <w:t>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"_Toc89766379"</w:instrText>
      </w:r>
      <w:r>
        <w:fldChar w:fldCharType="separate"/>
      </w:r>
      <w:r>
        <w:rPr>
          <w:rFonts w:ascii="仿宋" w:eastAsia="仿宋" w:hint="eastAsia"/>
        </w:rPr>
        <w:t>2.1.1火法炼铜</w:t>
      </w:r>
      <w:r>
        <w:tab/>
      </w:r>
      <w:r>
        <w:fldChar w:fldCharType="begin"/>
      </w:r>
      <w:r>
        <w:instrText xml:space="preserve"> PAGEREF _Toc89766379 \h </w:instrText>
      </w:r>
      <w:r>
        <w:fldChar w:fldCharType="separate"/>
      </w:r>
      <w:r>
        <w:t>7</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"_Toc89766380"</w:instrText>
      </w:r>
      <w:r>
        <w:fldChar w:fldCharType="separate"/>
      </w:r>
      <w:r>
        <w:rPr>
          <w:rFonts w:ascii="仿宋" w:eastAsia="仿宋" w:hint="eastAsia"/>
        </w:rPr>
        <w:t>2.1.2湿法炼铜</w:t>
      </w:r>
      <w:r>
        <w:tab/>
      </w:r>
      <w:r>
        <w:fldChar w:fldCharType="begin"/>
      </w:r>
      <w:r>
        <w:instrText xml:space="preserve"> PAGEREF _Toc89766380 \h </w:instrText>
      </w:r>
      <w:r>
        <w:fldChar w:fldCharType="separate"/>
      </w:r>
      <w:r>
        <w:t>7</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"_Toc89766381"</w:instrText>
      </w:r>
      <w:r>
        <w:fldChar w:fldCharType="separate"/>
      </w:r>
      <w:r>
        <w:rPr>
          <w:rFonts w:ascii="仿宋" w:eastAsia="仿宋" w:hint="eastAsia"/>
        </w:rPr>
        <w:t>2.1.3生产工艺</w:t>
      </w:r>
      <w:r>
        <w:tab/>
      </w:r>
      <w:r>
        <w:fldChar w:fldCharType="begin"/>
      </w:r>
      <w:r>
        <w:instrText xml:space="preserve"> PAGEREF _Toc89766381 \h </w:instrText>
      </w:r>
      <w:r>
        <w:fldChar w:fldCharType="separate"/>
      </w:r>
      <w:r>
        <w:t>9</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"_Toc89766382"</w:instrText>
      </w:r>
      <w:r>
        <w:fldChar w:fldCharType="separate"/>
      </w:r>
      <w:r>
        <w:rPr>
          <w:rFonts w:ascii="仿宋" w:eastAsia="仿宋" w:hint="eastAsia"/>
        </w:rPr>
        <w:t>（1）原料制备</w:t>
      </w:r>
      <w:r>
        <w:tab/>
      </w:r>
      <w:r>
        <w:fldChar w:fldCharType="begin"/>
      </w:r>
      <w:r>
        <w:instrText xml:space="preserve"> PAGEREF _Toc89766382 \h </w:instrText>
      </w:r>
      <w:r>
        <w:fldChar w:fldCharType="separate"/>
      </w:r>
      <w:r>
        <w:t>9</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"_Toc89766383"</w:instrText>
      </w:r>
      <w:r>
        <w:fldChar w:fldCharType="separate"/>
      </w:r>
      <w:r>
        <w:rPr>
          <w:rFonts w:ascii="仿宋" w:eastAsia="仿宋" w:hint="eastAsia"/>
        </w:rPr>
        <w:t>（2）熔炼</w:t>
      </w:r>
      <w:r>
        <w:tab/>
      </w:r>
      <w:r>
        <w:fldChar w:fldCharType="begin"/>
      </w:r>
      <w:r>
        <w:instrText xml:space="preserve"> PAGEREF _Toc89766383 \h </w:instrText>
      </w:r>
      <w:r>
        <w:fldChar w:fldCharType="separate"/>
      </w:r>
      <w:r>
        <w:t>9</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"_Toc89766384"</w:instrText>
      </w:r>
      <w:r>
        <w:fldChar w:fldCharType="separate"/>
      </w:r>
      <w:r>
        <w:rPr>
          <w:rFonts w:ascii="仿宋" w:eastAsia="仿宋" w:hint="eastAsia"/>
        </w:rPr>
        <w:t>（3）吹炼</w:t>
      </w:r>
      <w:r>
        <w:tab/>
      </w:r>
      <w:r>
        <w:fldChar w:fldCharType="begin"/>
      </w:r>
      <w:r>
        <w:instrText xml:space="preserve"> PAGEREF _Toc89766384 \h </w:instrText>
      </w:r>
      <w:r>
        <w:fldChar w:fldCharType="separate"/>
      </w:r>
      <w:r>
        <w:t>10</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"_Toc89766385"</w:instrText>
      </w:r>
      <w:r>
        <w:fldChar w:fldCharType="separate"/>
      </w:r>
      <w:r>
        <w:rPr>
          <w:rFonts w:ascii="仿宋" w:eastAsia="仿宋" w:hint="eastAsia"/>
        </w:rPr>
        <w:t>（4）阳极精炼</w:t>
      </w:r>
      <w:r>
        <w:tab/>
      </w:r>
      <w:r>
        <w:fldChar w:fldCharType="begin"/>
      </w:r>
      <w:r>
        <w:instrText xml:space="preserve"> PAGEREF _Toc89766385 \h </w:instrText>
      </w:r>
      <w:r>
        <w:fldChar w:fldCharType="separate"/>
      </w:r>
      <w:r>
        <w:t>11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"_Toc89766386"</w:instrText>
      </w:r>
      <w:r>
        <w:fldChar w:fldCharType="separate"/>
      </w:r>
      <w:r>
        <w:rPr>
          <w:rFonts w:ascii="仿宋" w:eastAsia="仿宋" w:hint="eastAsia"/>
        </w:rPr>
        <w:t>（5）电解精炼</w:t>
      </w:r>
      <w:r>
        <w:tab/>
      </w:r>
      <w:r>
        <w:fldChar w:fldCharType="begin"/>
      </w:r>
      <w:r>
        <w:instrText xml:space="preserve"> PAGEREF _Toc89766386 \h </w:instrText>
      </w:r>
      <w:r>
        <w:fldChar w:fldCharType="separate"/>
      </w:r>
      <w:r>
        <w:t>12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"_Toc89766387"</w:instrText>
      </w:r>
      <w:r>
        <w:fldChar w:fldCharType="separate"/>
      </w:r>
      <w:r>
        <w:rPr>
          <w:rFonts w:ascii="仿宋" w:eastAsia="仿宋" w:hint="eastAsia"/>
        </w:rPr>
        <w:t>（6）烟气余热回收利用</w:t>
      </w:r>
      <w:r>
        <w:tab/>
      </w:r>
      <w:r>
        <w:fldChar w:fldCharType="begin"/>
      </w:r>
      <w:r>
        <w:instrText xml:space="preserve"> PAGEREF _Toc89766387 \h </w:instrText>
      </w:r>
      <w:r>
        <w:fldChar w:fldCharType="separate"/>
      </w:r>
      <w:r>
        <w:t>13</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"_Toc89766388"</w:instrText>
      </w:r>
      <w:r>
        <w:fldChar w:fldCharType="separate"/>
      </w:r>
      <w:r>
        <w:rPr>
          <w:rFonts w:ascii="仿宋" w:eastAsia="仿宋" w:hint="eastAsia"/>
        </w:rPr>
        <w:t>（7）阳极泥处理技术</w:t>
      </w:r>
      <w:r>
        <w:tab/>
      </w:r>
      <w:r>
        <w:fldChar w:fldCharType="begin"/>
      </w:r>
      <w:r>
        <w:instrText xml:space="preserve"> PAGEREF _Toc89766388 \h </w:instrText>
      </w:r>
      <w:r>
        <w:fldChar w:fldCharType="separate"/>
      </w:r>
      <w:r>
        <w:t>13</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"_Toc89766389"</w:instrText>
      </w:r>
      <w:r>
        <w:fldChar w:fldCharType="separate"/>
      </w:r>
      <w:r>
        <w:rPr>
          <w:rFonts w:ascii="仿宋" w:eastAsia="仿宋" w:hint="eastAsia"/>
        </w:rPr>
        <w:t>（8）白烟尘处理技术</w:t>
      </w:r>
      <w:r>
        <w:tab/>
      </w:r>
      <w:r>
        <w:fldChar w:fldCharType="begin"/>
      </w:r>
      <w:r>
        <w:instrText xml:space="preserve"> PAGEREF _Toc89766389 \h </w:instrText>
      </w:r>
      <w:r>
        <w:fldChar w:fldCharType="separate"/>
      </w:r>
      <w:r>
        <w:t>50</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"_Toc89766390"</w:instrText>
      </w:r>
      <w:r>
        <w:fldChar w:fldCharType="separate"/>
      </w:r>
      <w:r>
        <w:rPr>
          <w:rFonts w:ascii="仿宋" w:eastAsia="仿宋" w:hint="eastAsia"/>
        </w:rPr>
        <w:t>（9）湿法炼铜技术</w:t>
      </w:r>
      <w:r>
        <w:tab/>
      </w:r>
      <w:r>
        <w:fldChar w:fldCharType="begin"/>
      </w:r>
      <w:r>
        <w:instrText xml:space="preserve"> PAGEREF _Toc89766390 \h </w:instrText>
      </w:r>
      <w:r>
        <w:fldChar w:fldCharType="separate"/>
      </w:r>
      <w:r>
        <w:t>14</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"_Toc89766391"</w:instrText>
      </w:r>
      <w:r>
        <w:fldChar w:fldCharType="separate"/>
      </w:r>
      <w:r>
        <w:rPr>
          <w:rFonts w:ascii="仿宋" w:eastAsia="仿宋" w:hint="eastAsia"/>
        </w:rPr>
        <w:t>2.2污染物排放</w:t>
      </w:r>
      <w:r>
        <w:tab/>
      </w:r>
      <w:r>
        <w:fldChar w:fldCharType="begin"/>
      </w:r>
      <w:r>
        <w:instrText xml:space="preserve"> PAGEREF _Toc89766391 \h </w:instrText>
      </w:r>
      <w:r>
        <w:fldChar w:fldCharType="separate"/>
      </w:r>
      <w:r>
        <w:t>14</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"_Toc89766392"</w:instrText>
      </w:r>
      <w:r>
        <w:fldChar w:fldCharType="separate"/>
      </w:r>
      <w:r>
        <w:rPr>
          <w:rFonts w:ascii="仿宋" w:eastAsia="仿宋" w:hint="eastAsia"/>
        </w:rPr>
        <w:t>2.2.1大气污染</w:t>
      </w:r>
      <w:r>
        <w:tab/>
      </w:r>
      <w:r>
        <w:fldChar w:fldCharType="begin"/>
      </w:r>
      <w:r>
        <w:instrText xml:space="preserve"> PAGEREF _Toc89766392 \h </w:instrText>
      </w:r>
      <w:r>
        <w:fldChar w:fldCharType="separate"/>
      </w:r>
      <w:r>
        <w:t>14</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"_Toc89766393"</w:instrText>
      </w:r>
      <w:r>
        <w:fldChar w:fldCharType="separate"/>
      </w:r>
      <w:r>
        <w:rPr>
          <w:rFonts w:ascii="仿宋" w:eastAsia="仿宋" w:hint="eastAsia"/>
        </w:rPr>
        <w:t>2.2.2水污染</w:t>
      </w:r>
      <w:r>
        <w:tab/>
      </w:r>
      <w:r>
        <w:fldChar w:fldCharType="begin"/>
      </w:r>
      <w:r>
        <w:instrText xml:space="preserve"> PAGEREF _Toc89766393 \h </w:instrText>
      </w:r>
      <w:r>
        <w:fldChar w:fldCharType="separate"/>
      </w:r>
      <w:r>
        <w:t>16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"_Toc89766394"</w:instrText>
      </w:r>
      <w:r>
        <w:fldChar w:fldCharType="separate"/>
      </w:r>
      <w:r>
        <w:rPr>
          <w:rFonts w:ascii="仿宋" w:eastAsia="仿宋" w:hint="eastAsia"/>
        </w:rPr>
        <w:t>2.2.3固体废物污染</w:t>
      </w:r>
      <w:r>
        <w:tab/>
      </w:r>
      <w:r>
        <w:fldChar w:fldCharType="begin"/>
      </w:r>
      <w:r>
        <w:instrText xml:space="preserve"> PAGEREF _Toc89766394 \h </w:instrText>
      </w:r>
      <w:r>
        <w:fldChar w:fldCharType="separate"/>
      </w:r>
      <w:r>
        <w:t>18</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"_Toc89766395"</w:instrText>
      </w:r>
      <w:r>
        <w:fldChar w:fldCharType="separate"/>
      </w:r>
      <w:r>
        <w:rPr>
          <w:rFonts w:ascii="仿宋" w:eastAsia="仿宋" w:hint="eastAsia"/>
        </w:rPr>
        <w:t>2.2.4噪声污染</w:t>
      </w:r>
      <w:r>
        <w:tab/>
      </w:r>
      <w:r>
        <w:fldChar w:fldCharType="begin"/>
      </w:r>
      <w:r>
        <w:instrText xml:space="preserve"> PAGEREF _Toc89766395 \h </w:instrText>
      </w:r>
      <w:r>
        <w:fldChar w:fldCharType="separate"/>
      </w:r>
      <w:r>
        <w:t>19</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"_Toc89766396"</w:instrText>
      </w:r>
      <w:r>
        <w:fldChar w:fldCharType="separate"/>
      </w:r>
      <w:r>
        <w:rPr>
          <w:rFonts w:ascii="黑体" w:eastAsia="黑体" w:hint="eastAsia"/>
        </w:rPr>
        <w:t>3、清洁生产要求</w:t>
      </w:r>
      <w:r>
        <w:tab/>
      </w:r>
      <w:r>
        <w:fldChar w:fldCharType="begin"/>
      </w:r>
      <w:r>
        <w:instrText xml:space="preserve"> PAGEREF _Toc89766396 \h </w:instrText>
      </w:r>
      <w:r>
        <w:fldChar w:fldCharType="separate"/>
      </w:r>
      <w:r>
        <w:t>19</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"_Toc89766397"</w:instrText>
      </w:r>
      <w:r>
        <w:fldChar w:fldCharType="separate"/>
      </w:r>
      <w:r>
        <w:rPr>
          <w:rFonts w:ascii="仿宋" w:eastAsia="仿宋" w:hint="eastAsia"/>
        </w:rPr>
        <w:t>3.1源头控制</w:t>
      </w:r>
      <w:r>
        <w:tab/>
      </w:r>
      <w:r>
        <w:fldChar w:fldCharType="begin"/>
      </w:r>
      <w:r>
        <w:instrText xml:space="preserve"> PAGEREF _Toc89766397 \h </w:instrText>
      </w:r>
      <w:r>
        <w:fldChar w:fldCharType="separate"/>
      </w:r>
      <w:r>
        <w:t>19</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"_Toc89766398"</w:instrText>
      </w:r>
      <w:r>
        <w:fldChar w:fldCharType="separate"/>
      </w:r>
      <w:r>
        <w:rPr>
          <w:rFonts w:ascii="仿宋" w:eastAsia="仿宋" w:hint="eastAsia"/>
        </w:rPr>
        <w:t>3.2清洁生产技术指标</w:t>
      </w:r>
      <w:r>
        <w:tab/>
      </w:r>
      <w:r>
        <w:fldChar w:fldCharType="begin"/>
      </w:r>
      <w:r>
        <w:instrText xml:space="preserve"> PAGEREF _Toc89766398 \h </w:instrText>
      </w:r>
      <w:r>
        <w:fldChar w:fldCharType="separate"/>
      </w:r>
      <w:r>
        <w:t>21</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"_Toc89766399"</w:instrText>
      </w:r>
      <w:r>
        <w:fldChar w:fldCharType="separate"/>
      </w:r>
      <w:r>
        <w:rPr>
          <w:rFonts w:ascii="仿宋" w:eastAsia="仿宋" w:hint="eastAsia"/>
        </w:rPr>
        <w:t>3.3清洁生产其它要求</w:t>
      </w:r>
      <w:r>
        <w:tab/>
      </w:r>
      <w:r>
        <w:fldChar w:fldCharType="begin"/>
      </w:r>
      <w:r>
        <w:instrText xml:space="preserve"> PAGEREF _Toc89766399 \h </w:instrText>
      </w:r>
      <w:r>
        <w:fldChar w:fldCharType="separate"/>
      </w:r>
      <w:r>
        <w:t>21</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"_Toc89766400"</w:instrText>
      </w:r>
      <w:r>
        <w:fldChar w:fldCharType="separate"/>
      </w:r>
      <w:r>
        <w:rPr>
          <w:rFonts w:ascii="黑体" w:eastAsia="黑体" w:hint="eastAsia"/>
        </w:rPr>
        <w:t>4、铜冶炼污染防治技术及主要技术指标</w:t>
      </w:r>
      <w:r>
        <w:tab/>
      </w:r>
      <w:r>
        <w:fldChar w:fldCharType="begin"/>
      </w:r>
      <w:r>
        <w:instrText xml:space="preserve"> PAGEREF _Toc89766400 \h </w:instrText>
      </w:r>
      <w:r>
        <w:fldChar w:fldCharType="separate"/>
      </w:r>
      <w:r>
        <w:t>22</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"_Toc89766401"</w:instrText>
      </w:r>
      <w:r>
        <w:fldChar w:fldCharType="separate"/>
      </w:r>
      <w:r>
        <w:rPr>
          <w:rFonts w:ascii="仿宋" w:eastAsia="仿宋" w:hint="eastAsia"/>
        </w:rPr>
        <w:t>4.1烟气除尘技术及主要技术指标</w:t>
      </w:r>
      <w:r>
        <w:tab/>
      </w:r>
      <w:r>
        <w:fldChar w:fldCharType="begin"/>
      </w:r>
      <w:r>
        <w:instrText xml:space="preserve"> PAGEREF _Toc89766401 \h </w:instrText>
      </w:r>
      <w:r>
        <w:fldChar w:fldCharType="separate"/>
      </w:r>
      <w:r>
        <w:t>22</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"_Toc89766402"</w:instrText>
      </w:r>
      <w:r>
        <w:fldChar w:fldCharType="separate"/>
      </w:r>
      <w:r>
        <w:rPr>
          <w:rFonts w:ascii="仿宋" w:eastAsia="仿宋" w:hint="eastAsia"/>
        </w:rPr>
        <w:t>4.2烟气制酸技术及主要技术指标</w:t>
      </w:r>
      <w:r>
        <w:tab/>
      </w:r>
      <w:r>
        <w:fldChar w:fldCharType="begin"/>
      </w:r>
      <w:r>
        <w:instrText xml:space="preserve"> PAGEREF _Toc89766402 \h </w:instrText>
      </w:r>
      <w:r>
        <w:fldChar w:fldCharType="separate"/>
      </w:r>
      <w:r>
        <w:t>27</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"_Toc89766403"</w:instrText>
      </w:r>
      <w:r>
        <w:fldChar w:fldCharType="separate"/>
      </w:r>
      <w:r>
        <w:rPr>
          <w:rFonts w:ascii="仿宋" w:eastAsia="仿宋" w:hint="eastAsia"/>
        </w:rPr>
        <w:t>4.2.1烟气制酸技术</w:t>
      </w:r>
      <w:r>
        <w:tab/>
      </w:r>
      <w:r>
        <w:fldChar w:fldCharType="begin"/>
      </w:r>
      <w:r>
        <w:instrText xml:space="preserve"> PAGEREF _Toc89766403 \h </w:instrText>
      </w:r>
      <w:r>
        <w:fldChar w:fldCharType="separate"/>
      </w:r>
      <w:r>
        <w:t>27</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"_Toc89766404"</w:instrText>
      </w:r>
      <w:r>
        <w:fldChar w:fldCharType="separate"/>
      </w:r>
      <w:r>
        <w:rPr>
          <w:rFonts w:ascii="仿宋" w:eastAsia="仿宋" w:hint="eastAsia"/>
        </w:rPr>
        <w:t>4.2.2主要技术指标</w:t>
      </w:r>
      <w:r>
        <w:tab/>
      </w:r>
      <w:r>
        <w:fldChar w:fldCharType="begin"/>
      </w:r>
      <w:r>
        <w:instrText xml:space="preserve"> PAGEREF _Toc89766404 \h </w:instrText>
      </w:r>
      <w:r>
        <w:fldChar w:fldCharType="separate"/>
      </w:r>
      <w:r>
        <w:t>30</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"_Toc89766405"</w:instrText>
      </w:r>
      <w:r>
        <w:fldChar w:fldCharType="separate"/>
      </w:r>
      <w:r>
        <w:rPr>
          <w:rFonts w:ascii="仿宋" w:eastAsia="仿宋" w:hint="eastAsia"/>
        </w:rPr>
        <w:t>4.3烟气脱硫技术及主要技术指标</w:t>
      </w:r>
      <w:r>
        <w:tab/>
      </w:r>
      <w:r>
        <w:fldChar w:fldCharType="begin"/>
      </w:r>
      <w:r>
        <w:instrText xml:space="preserve"> PAGEREF _Toc89766405 \h </w:instrText>
      </w:r>
      <w:r>
        <w:fldChar w:fldCharType="separate"/>
      </w:r>
      <w:r>
        <w:t>30</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"_Toc89766406"</w:instrText>
      </w:r>
      <w:r>
        <w:fldChar w:fldCharType="separate"/>
      </w:r>
      <w:r>
        <w:rPr>
          <w:rFonts w:ascii="仿宋" w:eastAsia="仿宋" w:hint="eastAsia"/>
        </w:rPr>
        <w:t>4.3.1石灰/石灰石-石膏法脱硫技术</w:t>
      </w:r>
      <w:r>
        <w:tab/>
      </w:r>
      <w:r>
        <w:fldChar w:fldCharType="begin"/>
      </w:r>
      <w:r>
        <w:instrText xml:space="preserve"> PAGEREF _Toc89766406 \h </w:instrText>
      </w:r>
      <w:r>
        <w:fldChar w:fldCharType="separate"/>
      </w:r>
      <w:r>
        <w:t>30</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"_Toc89766407"</w:instrText>
      </w:r>
      <w:r>
        <w:fldChar w:fldCharType="separate"/>
      </w:r>
      <w:r>
        <w:rPr>
          <w:rFonts w:ascii="仿宋" w:eastAsia="仿宋" w:hint="eastAsia"/>
        </w:rPr>
        <w:t>4.3.2钠碱法脱硫技术</w:t>
      </w:r>
      <w:r>
        <w:tab/>
      </w:r>
      <w:r>
        <w:fldChar w:fldCharType="begin"/>
      </w:r>
      <w:r>
        <w:instrText xml:space="preserve"> PAGEREF _Toc89766407 \h </w:instrText>
      </w:r>
      <w:r>
        <w:fldChar w:fldCharType="separate"/>
      </w:r>
      <w:r>
        <w:t>31</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"_Toc89766408"</w:instrText>
      </w:r>
      <w:r>
        <w:fldChar w:fldCharType="separate"/>
      </w:r>
      <w:r>
        <w:rPr>
          <w:rFonts w:ascii="仿宋" w:eastAsia="仿宋" w:hint="eastAsia"/>
        </w:rPr>
        <w:t>4.3.3金属氧化物吸收脱硫技术</w:t>
      </w:r>
      <w:r>
        <w:tab/>
      </w:r>
      <w:r>
        <w:fldChar w:fldCharType="begin"/>
      </w:r>
      <w:r>
        <w:instrText xml:space="preserve"> PAGEREF _Toc89766408 \h </w:instrText>
      </w:r>
      <w:r>
        <w:fldChar w:fldCharType="separate"/>
      </w:r>
      <w:r>
        <w:t>32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"_Toc89766409"</w:instrText>
      </w:r>
      <w:r>
        <w:fldChar w:fldCharType="separate"/>
      </w:r>
      <w:r>
        <w:rPr>
          <w:rFonts w:ascii="仿宋" w:eastAsia="仿宋" w:hint="eastAsia"/>
        </w:rPr>
        <w:t>4.3.4有机溶液循环吸收脱硫技术</w:t>
      </w:r>
      <w:r>
        <w:tab/>
      </w:r>
      <w:r>
        <w:fldChar w:fldCharType="begin"/>
      </w:r>
      <w:r>
        <w:instrText xml:space="preserve"> PAGEREF _Toc89766409 \h </w:instrText>
      </w:r>
      <w:r>
        <w:fldChar w:fldCharType="separate"/>
      </w:r>
      <w:r>
        <w:t>32</w:t>
      </w:r>
      <w:r>
        <w:fldChar w:fldCharType="end"/>
      </w:r>
      <w:r>
        <w:fldChar w:fldCharType="end"/>
      </w:r>
    </w:p>
    <w:p>
      <w:pPr>
        <w:pStyle w:val="19"/>
        <w:tabs>
          <w:tab w:val="right" w:leader="dot" w:pos="8724"/>
        </w:tabs>
        <w:spacing w:line="276" w:lineRule="auto"/>
        <w:jc w:val="both"/>
      </w:pPr>
      <w:r>
        <w:fldChar w:fldCharType="begin"/>
      </w:r>
      <w:r>
        <w:instrText>Hyperlink \l "_Toc89766410"</w:instrText>
      </w:r>
      <w:r>
        <w:fldChar w:fldCharType="separate"/>
      </w:r>
      <w:r>
        <w:rPr>
          <w:rFonts w:ascii="仿宋" w:eastAsia="仿宋" w:hint="eastAsia"/>
        </w:rPr>
        <w:t>4.3.5活性焦吸附法脱硫技术</w:t>
      </w:r>
      <w:r>
        <w:tab/>
      </w:r>
      <w:r>
        <w:fldChar w:fldCharType="begin"/>
      </w:r>
      <w:r>
        <w:instrText xml:space="preserve"> PAGEREF _Toc89766410 \h </w:instrText>
      </w:r>
      <w:r>
        <w:fldChar w:fldCharType="separate"/>
      </w:r>
      <w:r>
        <w:t>33</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"_Toc89766411"</w:instrText>
      </w:r>
      <w:r>
        <w:fldChar w:fldCharType="separate"/>
      </w:r>
      <w:r>
        <w:rPr>
          <w:rFonts w:ascii="仿宋" w:eastAsia="仿宋" w:hint="eastAsia"/>
        </w:rPr>
        <w:t>4.3.6双氧水脱硫技术</w:t>
      </w:r>
      <w:r>
        <w:tab/>
      </w:r>
      <w:r>
        <w:fldChar w:fldCharType="begin"/>
      </w:r>
      <w:r>
        <w:instrText xml:space="preserve"> PAGEREF _Toc89766411 \h </w:instrText>
      </w:r>
      <w:r>
        <w:fldChar w:fldCharType="separate"/>
      </w:r>
      <w:r>
        <w:t>35</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"_Toc89766411"</w:instrText>
      </w:r>
      <w:r>
        <w:fldChar w:fldCharType="separate"/>
      </w:r>
      <w:r>
        <w:rPr>
          <w:rFonts w:ascii="仿宋" w:eastAsia="仿宋" w:hint="eastAsia"/>
        </w:rPr>
        <w:t>4.3.7其他废气治理技术</w:t>
      </w:r>
      <w:r>
        <w:tab/>
      </w:r>
      <w:r>
        <w:fldChar w:fldCharType="begin"/>
      </w:r>
      <w:r>
        <w:instrText xml:space="preserve"> PAGEREF _Toc89766411 \h </w:instrText>
      </w:r>
      <w:r>
        <w:fldChar w:fldCharType="separate"/>
      </w:r>
      <w:r>
        <w:t>35</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"_Toc89766412"</w:instrText>
      </w:r>
      <w:r>
        <w:fldChar w:fldCharType="separate"/>
      </w:r>
      <w:r>
        <w:rPr>
          <w:rFonts w:ascii="仿宋" w:eastAsia="仿宋" w:hint="eastAsia"/>
        </w:rPr>
        <w:t>4.4废水处理技术及主要技术指标</w:t>
      </w:r>
      <w:r>
        <w:tab/>
      </w:r>
      <w:r>
        <w:fldChar w:fldCharType="begin"/>
      </w:r>
      <w:r>
        <w:instrText xml:space="preserve"> PAGEREF _Toc89766412 \h </w:instrText>
      </w:r>
      <w:r>
        <w:fldChar w:fldCharType="separate"/>
      </w:r>
      <w:r>
        <w:t>36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"_Toc89766413"</w:instrText>
      </w:r>
      <w:r>
        <w:fldChar w:fldCharType="separate"/>
      </w:r>
      <w:r>
        <w:rPr>
          <w:rFonts w:ascii="仿宋" w:eastAsia="仿宋" w:hint="eastAsia"/>
        </w:rPr>
        <w:t>4.4.1废水的收集和分质分流</w:t>
      </w:r>
      <w:r>
        <w:tab/>
      </w:r>
      <w:r>
        <w:fldChar w:fldCharType="begin"/>
      </w:r>
      <w:r>
        <w:instrText xml:space="preserve"> PAGEREF _Toc89766413 \h </w:instrText>
      </w:r>
      <w:r>
        <w:fldChar w:fldCharType="separate"/>
      </w:r>
      <w:r>
        <w:t>36</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"_Toc89766414"</w:instrText>
      </w:r>
      <w:r>
        <w:fldChar w:fldCharType="separate"/>
      </w:r>
      <w:r>
        <w:rPr>
          <w:rFonts w:ascii="仿宋" w:eastAsia="仿宋" w:hint="eastAsia"/>
        </w:rPr>
        <w:t>4.4.2水的循环利用</w:t>
      </w:r>
      <w:r>
        <w:tab/>
      </w:r>
      <w:r>
        <w:fldChar w:fldCharType="begin"/>
      </w:r>
      <w:r>
        <w:instrText xml:space="preserve"> PAGEREF _Toc89766414 \h </w:instrText>
      </w:r>
      <w:r>
        <w:fldChar w:fldCharType="separate"/>
      </w:r>
      <w:r>
        <w:t>37</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"_Toc89766415"</w:instrText>
      </w:r>
      <w:r>
        <w:fldChar w:fldCharType="separate"/>
      </w:r>
      <w:r>
        <w:rPr>
          <w:rFonts w:ascii="仿宋" w:eastAsia="仿宋" w:hint="eastAsia"/>
        </w:rPr>
        <w:t>4.4.3污酸处理技术</w:t>
      </w:r>
      <w:r>
        <w:tab/>
      </w:r>
      <w:r>
        <w:fldChar w:fldCharType="begin"/>
      </w:r>
      <w:r>
        <w:instrText xml:space="preserve"> PAGEREF _Toc89766415 \h </w:instrText>
      </w:r>
      <w:r>
        <w:fldChar w:fldCharType="separate"/>
      </w:r>
      <w:r>
        <w:t>38</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"_Toc89766416"</w:instrText>
      </w:r>
      <w:r>
        <w:fldChar w:fldCharType="separate"/>
      </w:r>
      <w:r>
        <w:rPr>
          <w:rFonts w:ascii="仿宋" w:eastAsia="仿宋" w:hint="eastAsia"/>
        </w:rPr>
        <w:t>4.4.4酸性废水治理技术</w:t>
      </w:r>
      <w:r>
        <w:tab/>
      </w:r>
      <w:r>
        <w:fldChar w:fldCharType="begin"/>
      </w:r>
      <w:r>
        <w:instrText xml:space="preserve"> PAGEREF _Toc89766416 \h </w:instrText>
      </w:r>
      <w:r>
        <w:fldChar w:fldCharType="separate"/>
      </w:r>
      <w:r>
        <w:t>42</w:t>
      </w:r>
      <w:r>
        <w:fldChar w:fldCharType="end"/>
      </w:r>
      <w:r>
        <w:fldChar w:fldCharType="end"/>
      </w:r>
    </w:p>
    <w:p>
      <w:pPr>
        <w:pStyle w:val="19"/>
        <w:tabs>
          <w:tab w:val="right" w:leader="dot" w:pos="8724"/>
        </w:tabs>
        <w:spacing w:line="276" w:lineRule="auto"/>
        <w:jc w:val="both"/>
        <w:rPr>
          <w:rFonts w:ascii="等线" w:eastAsia="等线" w:cs="Arial" w:hint="eastAsia"/>
          <w:kern w:val="2"/>
          <w:sz w:val="21"/>
          <w:lang w:bidi="ar-SA"/>
        </w:rPr>
      </w:pPr>
      <w:r>
        <w:fldChar w:fldCharType="begin"/>
      </w:r>
      <w:r>
        <w:instrText>Hyperlink \l "_Toc89766417"</w:instrText>
      </w:r>
      <w:r>
        <w:fldChar w:fldCharType="separate"/>
      </w:r>
      <w:r>
        <w:rPr>
          <w:rFonts w:ascii="仿宋" w:eastAsia="仿宋" w:hint="eastAsia"/>
        </w:rPr>
        <w:t>4.4.5废水处理技术</w:t>
      </w:r>
      <w:r>
        <w:tab/>
      </w:r>
      <w:r>
        <w:fldChar w:fldCharType="begin"/>
      </w:r>
      <w:r>
        <w:instrText xml:space="preserve"> PAGEREF _Toc89766417 \h </w:instrText>
      </w:r>
      <w:r>
        <w:fldChar w:fldCharType="separate"/>
      </w:r>
      <w:r>
        <w:t>45</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"_Toc89766418"</w:instrText>
      </w:r>
      <w:r>
        <w:fldChar w:fldCharType="separate"/>
      </w:r>
      <w:r>
        <w:rPr>
          <w:rFonts w:ascii="仿宋" w:eastAsia="仿宋" w:hint="eastAsia"/>
        </w:rPr>
        <w:t>4.5固体废物综合利用及处理处置技术</w:t>
      </w:r>
      <w:r>
        <w:tab/>
      </w:r>
      <w:r>
        <w:fldChar w:fldCharType="begin"/>
      </w:r>
      <w:r>
        <w:instrText xml:space="preserve"> PAGEREF _Toc89766418 \h </w:instrText>
      </w:r>
      <w:r>
        <w:fldChar w:fldCharType="separate"/>
      </w:r>
      <w:r>
        <w:t>48</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"_Toc89766419"</w:instrText>
      </w:r>
      <w:r>
        <w:fldChar w:fldCharType="separate"/>
      </w:r>
      <w:r>
        <w:rPr>
          <w:rFonts w:ascii="仿宋" w:eastAsia="仿宋" w:hint="eastAsia"/>
        </w:rPr>
        <w:t>4.6噪声治理技术</w:t>
      </w:r>
      <w:r>
        <w:tab/>
      </w:r>
      <w:r>
        <w:fldChar w:fldCharType="begin"/>
      </w:r>
      <w:r>
        <w:instrText xml:space="preserve"> PAGEREF _Toc89766419 \h </w:instrText>
      </w:r>
      <w:r>
        <w:fldChar w:fldCharType="separate"/>
      </w:r>
      <w:r>
        <w:t>50</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"_Toc89766420"</w:instrText>
      </w:r>
      <w:r>
        <w:fldChar w:fldCharType="separate"/>
      </w:r>
      <w:r>
        <w:rPr>
          <w:rFonts w:ascii="仿宋" w:eastAsia="仿宋" w:hint="eastAsia"/>
        </w:rPr>
        <w:t>4.7污染治理新技术</w:t>
      </w:r>
      <w:r>
        <w:tab/>
      </w:r>
      <w:r>
        <w:fldChar w:fldCharType="begin"/>
      </w:r>
      <w:r>
        <w:instrText xml:space="preserve"> PAGEREF _Toc89766420 \h </w:instrText>
      </w:r>
      <w:r>
        <w:fldChar w:fldCharType="separate"/>
      </w:r>
      <w:r>
        <w:t>51</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"_Toc89766421"</w:instrText>
      </w:r>
      <w:r>
        <w:fldChar w:fldCharType="separate"/>
      </w:r>
      <w:r>
        <w:rPr>
          <w:rFonts w:ascii="黑体" w:eastAsia="黑体" w:hint="eastAsia"/>
        </w:rPr>
        <w:t>5、环境管理要求</w:t>
      </w:r>
      <w:r>
        <w:tab/>
      </w:r>
      <w:r>
        <w:fldChar w:fldCharType="begin"/>
      </w:r>
      <w:r>
        <w:instrText xml:space="preserve"> PAGEREF _Toc89766421 \h </w:instrText>
      </w:r>
      <w:r>
        <w:fldChar w:fldCharType="separate"/>
      </w:r>
      <w:r>
        <w:t>54</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"_Toc89766422"</w:instrText>
      </w:r>
      <w:r>
        <w:fldChar w:fldCharType="separate"/>
      </w:r>
      <w:r>
        <w:rPr>
          <w:rFonts w:ascii="仿宋" w:eastAsia="仿宋" w:hint="eastAsia"/>
        </w:rPr>
        <w:t>5.1生产现场管理</w:t>
      </w:r>
      <w:r>
        <w:tab/>
      </w:r>
      <w:r>
        <w:fldChar w:fldCharType="begin"/>
      </w:r>
      <w:r>
        <w:instrText xml:space="preserve"> PAGEREF _Toc89766422 \h </w:instrText>
      </w:r>
      <w:r>
        <w:fldChar w:fldCharType="separate"/>
      </w:r>
      <w:r>
        <w:t>54</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"_Toc89766423"</w:instrText>
      </w:r>
      <w:r>
        <w:fldChar w:fldCharType="separate"/>
      </w:r>
      <w:r>
        <w:rPr>
          <w:rFonts w:ascii="仿宋" w:eastAsia="仿宋" w:hint="eastAsia"/>
        </w:rPr>
        <w:t>5.2环保管理组织体系</w:t>
      </w:r>
      <w:r>
        <w:tab/>
      </w:r>
      <w:r>
        <w:fldChar w:fldCharType="begin"/>
      </w:r>
      <w:r>
        <w:instrText xml:space="preserve"> PAGEREF _Toc89766423 \h </w:instrText>
      </w:r>
      <w:r>
        <w:fldChar w:fldCharType="separate"/>
      </w:r>
      <w:r>
        <w:t>55</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"_Toc89766424"</w:instrText>
      </w:r>
      <w:r>
        <w:fldChar w:fldCharType="separate"/>
      </w:r>
      <w:r>
        <w:rPr>
          <w:rFonts w:ascii="仿宋" w:eastAsia="仿宋" w:hint="eastAsia"/>
        </w:rPr>
        <w:t>5.3内部环境监测</w:t>
      </w:r>
      <w:r>
        <w:tab/>
      </w:r>
      <w:r>
        <w:fldChar w:fldCharType="begin"/>
      </w:r>
      <w:r>
        <w:instrText xml:space="preserve"> PAGEREF _Toc89766424 \h </w:instrText>
      </w:r>
      <w:r>
        <w:fldChar w:fldCharType="separate"/>
      </w:r>
      <w:r>
        <w:t>55</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"_Toc89766425"</w:instrText>
      </w:r>
      <w:r>
        <w:fldChar w:fldCharType="separate"/>
      </w:r>
      <w:r>
        <w:rPr>
          <w:rFonts w:ascii="仿宋" w:eastAsia="仿宋" w:hint="eastAsia"/>
        </w:rPr>
        <w:t>5.4环保台账</w:t>
      </w:r>
      <w:r>
        <w:tab/>
      </w:r>
      <w:r>
        <w:fldChar w:fldCharType="begin"/>
      </w:r>
      <w:r>
        <w:instrText xml:space="preserve"> PAGEREF _Toc89766425 \h </w:instrText>
      </w:r>
      <w:r>
        <w:fldChar w:fldCharType="separate"/>
      </w:r>
      <w:r>
        <w:t>56</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"_Toc89766426"</w:instrText>
      </w:r>
      <w:r>
        <w:fldChar w:fldCharType="separate"/>
      </w:r>
      <w:r>
        <w:rPr>
          <w:rFonts w:ascii="仿宋" w:eastAsia="仿宋" w:hint="eastAsia"/>
        </w:rPr>
        <w:t>5.5环境应急管理</w:t>
      </w:r>
      <w:r>
        <w:tab/>
      </w:r>
      <w:r>
        <w:fldChar w:fldCharType="begin"/>
      </w:r>
      <w:r>
        <w:instrText xml:space="preserve"> PAGEREF _Toc89766426 \h </w:instrText>
      </w:r>
      <w:r>
        <w:fldChar w:fldCharType="separate"/>
      </w:r>
      <w:r>
        <w:t>56</w:t>
      </w:r>
      <w:r>
        <w:fldChar w:fldCharType="end"/>
      </w:r>
      <w:r>
        <w:fldChar w:fldCharType="end"/>
      </w:r>
    </w:p>
    <w:p>
      <w:pPr>
        <w:pStyle w:val="18"/>
        <w:tabs>
          <w:tab w:val="right" w:leader="dot" w:pos="8724"/>
        </w:tabs>
        <w:spacing w:line="276" w:lineRule="auto"/>
        <w:rPr>
          <w:rFonts w:ascii="等线" w:eastAsia="等线" w:cs="Arial" w:hint="eastAsia"/>
          <w:lang w:bidi="ar-SA"/>
        </w:rPr>
      </w:pPr>
      <w:r>
        <w:fldChar w:fldCharType="begin"/>
      </w:r>
      <w:r>
        <w:instrText>Hyperlink \l "_Toc89766427"</w:instrText>
      </w:r>
      <w:r>
        <w:fldChar w:fldCharType="separate"/>
      </w:r>
      <w:r>
        <w:rPr>
          <w:rFonts w:ascii="仿宋" w:eastAsia="仿宋" w:hint="eastAsia"/>
        </w:rPr>
        <w:t>5.6信息化建设</w:t>
      </w:r>
      <w:r>
        <w:tab/>
      </w:r>
      <w:r>
        <w:fldChar w:fldCharType="begin"/>
      </w:r>
      <w:r>
        <w:instrText xml:space="preserve"> PAGEREF _Toc89766427 \h </w:instrText>
      </w:r>
      <w:r>
        <w:fldChar w:fldCharType="separate"/>
      </w:r>
      <w:r>
        <w:t>57</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"_Toc89766428"</w:instrText>
      </w:r>
      <w:r>
        <w:fldChar w:fldCharType="separate"/>
      </w:r>
      <w:r>
        <w:rPr>
          <w:rFonts w:ascii="黑体" w:eastAsia="黑体" w:hint="eastAsia"/>
        </w:rPr>
        <w:t>6、环境监管</w:t>
      </w:r>
      <w:r>
        <w:tab/>
      </w:r>
      <w:r>
        <w:fldChar w:fldCharType="begin"/>
      </w:r>
      <w:r>
        <w:instrText xml:space="preserve"> PAGEREF _Toc89766428 \h </w:instrText>
      </w:r>
      <w:r>
        <w:fldChar w:fldCharType="separate"/>
      </w:r>
      <w:r>
        <w:t>57</w:t>
      </w:r>
      <w:r>
        <w:fldChar w:fldCharType="end"/>
      </w:r>
      <w:r>
        <w:fldChar w:fldCharType="end"/>
      </w:r>
    </w:p>
    <w:p>
      <w:pPr>
        <w:pStyle w:val="17"/>
        <w:tabs>
          <w:tab w:val="right" w:leader="dot" w:pos="8724"/>
        </w:tabs>
        <w:spacing w:line="276" w:lineRule="auto"/>
        <w:rPr>
          <w:rFonts w:ascii="等线" w:eastAsia="等线" w:cs="Arial" w:hint="eastAsia"/>
          <w:b w:val="0"/>
          <w:lang w:bidi="ar-SA"/>
        </w:rPr>
      </w:pPr>
      <w:r>
        <w:fldChar w:fldCharType="begin"/>
      </w:r>
      <w:r>
        <w:instrText>Hyperlink \l "_Toc89766429"</w:instrText>
      </w:r>
      <w:r>
        <w:fldChar w:fldCharType="separate"/>
      </w:r>
      <w:r>
        <w:rPr>
          <w:rFonts w:ascii="黑体" w:eastAsia="黑体" w:hint="eastAsia"/>
        </w:rPr>
        <w:t>7、注意事项</w:t>
      </w:r>
      <w:r>
        <w:tab/>
      </w:r>
      <w:r>
        <w:fldChar w:fldCharType="begin"/>
      </w:r>
      <w:r>
        <w:instrText xml:space="preserve"> PAGEREF _Toc89766429 \h </w:instrText>
      </w:r>
      <w:r>
        <w:fldChar w:fldCharType="separate"/>
      </w:r>
      <w:r>
        <w:t>58</w:t>
      </w:r>
      <w:r>
        <w:fldChar w:fldCharType="end"/>
      </w:r>
      <w:r>
        <w:fldChar w:fldCharType="end"/>
      </w:r>
    </w:p>
    <w:p>
      <w:pPr>
        <w:pStyle w:val="17"/>
        <w:tabs>
          <w:tab w:val="right" w:leader="dot" w:pos="8724"/>
        </w:tabs>
        <w:spacing w:line="276" w:lineRule="auto"/>
        <w:ind w:firstLineChars="200" w:firstLine="420"/>
        <w:rPr>
          <w:rFonts w:ascii="等线" w:eastAsia="等线" w:cs="Arial" w:hint="eastAsia"/>
          <w:b w:val="0"/>
          <w:lang w:bidi="ar-SA"/>
        </w:rPr>
      </w:pPr>
      <w:r>
        <w:t>附</w:t>
      </w:r>
      <w:r>
        <w:rPr>
          <w:rFonts w:hint="eastAsia"/>
        </w:rPr>
        <w:t xml:space="preserve">    </w:t>
      </w:r>
      <w:r>
        <w:t>录</w:t>
      </w:r>
      <w:r>
        <w:fldChar w:fldCharType="begin"/>
      </w:r>
      <w:r>
        <w:instrText>Hyperlink \l "_Toc89766430"</w:instrText>
      </w:r>
      <w:r>
        <w:fldChar w:fldCharType="separate"/>
      </w:r>
      <w:r>
        <w:rPr>
          <w:rFonts w:ascii="黑体" w:eastAsia="黑体" w:hint="eastAsia"/>
        </w:rPr>
        <w:t>一、紫金铜业有限公司污染防治技术典型案列</w:t>
      </w:r>
      <w:r>
        <w:tab/>
      </w:r>
      <w:r>
        <w:fldChar w:fldCharType="begin"/>
      </w:r>
      <w:r>
        <w:instrText xml:space="preserve"> PAGEREF _Toc89766430 \h </w:instrText>
      </w:r>
      <w:r>
        <w:fldChar w:fldCharType="separate"/>
      </w:r>
      <w:r>
        <w:t>62</w:t>
      </w:r>
      <w:r>
        <w:fldChar w:fldCharType="end"/>
      </w:r>
      <w:r>
        <w:fldChar w:fldCharType="end"/>
      </w:r>
    </w:p>
    <w:p>
      <w:pPr>
        <w:pStyle w:val="17"/>
        <w:tabs>
          <w:tab w:val="right" w:leader="dot" w:pos="8724"/>
        </w:tabs>
        <w:spacing w:line="276" w:lineRule="auto"/>
        <w:ind w:firstLineChars="600" w:firstLine="1260"/>
        <w:rPr>
          <w:rFonts w:ascii="等线" w:eastAsia="等线" w:cs="Arial" w:hint="eastAsia"/>
          <w:b w:val="0"/>
          <w:lang w:bidi="ar-SA"/>
        </w:rPr>
      </w:pPr>
      <w:r>
        <w:fldChar w:fldCharType="begin"/>
      </w:r>
      <w:r>
        <w:instrText>Hyperlink \l "_Toc89766435"</w:instrText>
      </w:r>
      <w:r>
        <w:fldChar w:fldCharType="separate"/>
      </w:r>
      <w:r>
        <w:rPr>
          <w:rFonts w:ascii="黑体" w:eastAsia="黑体" w:hint="eastAsia"/>
        </w:rPr>
        <w:t>二、中铜东南铜业有限公司污染防治技术典型案列</w:t>
      </w:r>
      <w:r>
        <w:tab/>
      </w:r>
      <w:r>
        <w:fldChar w:fldCharType="begin"/>
      </w:r>
      <w:r>
        <w:instrText xml:space="preserve"> PAGEREF _Toc89766435 \h </w:instrText>
      </w:r>
      <w:r>
        <w:fldChar w:fldCharType="separate"/>
      </w:r>
      <w:r>
        <w:t>67</w:t>
      </w:r>
      <w:r>
        <w:fldChar w:fldCharType="end"/>
      </w:r>
      <w:r>
        <w:fldChar w:fldCharType="end"/>
      </w:r>
    </w:p>
    <w:p>
      <w:pPr>
        <w:pStyle w:val="17"/>
        <w:tabs>
          <w:tab w:val="right" w:leader="dot" w:pos="8724"/>
        </w:tabs>
        <w:spacing w:line="276" w:lineRule="auto"/>
        <w:rPr>
          <w:rFonts w:ascii="Calibri" w:eastAsia="宋体" w:cs="Arial" w:hAnsi="Calibri"/>
          <w:lang w:bidi="ar-SA"/>
        </w:rPr>
      </w:pPr>
      <w:r>
        <w:rPr>
          <w:bCs/>
          <w:sz w:val="28"/>
          <w:szCs w:val="28"/>
          <w:lang w:val="zh-CN" w:eastAsia="zh-CN"/>
        </w:rPr>
        <w:fldChar w:fldCharType="end"/>
      </w:r>
    </w:p>
    <w:p>
      <w:pPr>
        <w:pStyle w:val="17"/>
        <w:tabs>
          <w:tab w:val="right" w:leader="dot" w:pos="8724"/>
        </w:tabs>
        <w:rPr>
          <w:rStyle w:val="23"/>
          <w:color w:val="auto"/>
          <w:u w:val="none"/>
        </w:rPr>
      </w:pPr>
    </w:p>
    <w:p>
      <w:pPr>
        <w:pStyle w:val="21"/>
        <w:spacing w:before="221"/>
        <w:ind w:left="0"/>
        <w:jc w:val="both"/>
      </w:pPr>
    </w:p>
    <w:p>
      <w:pPr>
        <w:jc w:val="both"/>
        <w:sectPr>
          <w:footerReference w:type="default" r:id="rId4"/>
          <w:footerReference w:type="even" r:id="rId5"/>
          <w:type w:val="nextColumn"/>
          <w:pgSz w:w="11910" w:h="16840"/>
          <w:pgMar w:top="1418" w:right="1588" w:bottom="1418" w:left="1588" w:header="720" w:footer="690" w:gutter="0"/>
          <w:pgNumType w:start="3"/>
          <w:docGrid w:linePitch="312" w:charSpace="0"/>
        </w:sectPr>
      </w:pPr>
      <w:bookmarkStart w:id="0" w:name="_GoBack"/>
      <w:bookmarkEnd w:id="0"/>
    </w:p>
    <w:p>
      <w:pPr>
        <w:pStyle w:val="1"/>
        <w:spacing w:before="0" w:line="360" w:lineRule="auto"/>
        <w:ind w:left="0" w:firstLine="0"/>
        <w:jc w:val="both"/>
        <w:rPr>
          <w:rFonts w:ascii="黑体" w:eastAsia="黑体" w:hint="eastAsia"/>
          <w:sz w:val="32"/>
          <w:szCs w:val="32"/>
        </w:rPr>
      </w:pPr>
      <w:bookmarkStart w:id="1" w:name="_Toc89766357"/>
      <w:r>
        <w:rPr>
          <w:rFonts w:ascii="黑体" w:eastAsia="黑体" w:hint="eastAsia"/>
          <w:sz w:val="32"/>
          <w:szCs w:val="32"/>
        </w:rPr>
        <w:t>1、总则</w:t>
      </w:r>
      <w:bookmarkEnd w:id="1"/>
    </w:p>
    <w:p>
      <w:pPr>
        <w:pStyle w:val="2"/>
        <w:spacing w:before="0" w:after="0" w:line="360" w:lineRule="auto"/>
        <w:jc w:val="both"/>
        <w:rPr>
          <w:rFonts w:ascii="仿宋_GB2312" w:eastAsia="仿宋_GB2312" w:hint="eastAsia"/>
        </w:rPr>
      </w:pPr>
      <w:bookmarkStart w:id="2" w:name="_Toc89766358"/>
      <w:r>
        <w:rPr>
          <w:rFonts w:ascii="仿宋_GB2312" w:eastAsia="仿宋_GB2312" w:hint="eastAsia"/>
        </w:rPr>
        <w:t>1.1适用范围</w:t>
      </w:r>
      <w:bookmarkEnd w:id="2"/>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本指南适用于处理铜矿石、铜精矿和含铜二次资源（再生铜）的铜冶炼项目</w:t>
      </w:r>
      <w:r>
        <w:rPr>
          <w:rFonts w:ascii="仿宋_GB2312" w:eastAsia="仿宋_GB2312" w:cs="Times New Roman" w:hint="eastAsia"/>
          <w:kern w:val="2"/>
          <w:sz w:val="30"/>
          <w:szCs w:val="30"/>
          <w:lang w:bidi="ar-SA"/>
        </w:rPr>
        <w:t>（不包含单独利用处置含铜危险废物项目）</w:t>
      </w:r>
      <w:r>
        <w:rPr>
          <w:rFonts w:ascii="仿宋_GB2312" w:eastAsia="仿宋_GB2312" w:hint="eastAsia"/>
          <w:sz w:val="30"/>
          <w:szCs w:val="30"/>
        </w:rPr>
        <w:t>。</w:t>
      </w:r>
    </w:p>
    <w:p>
      <w:pPr>
        <w:pStyle w:val="2"/>
        <w:spacing w:before="0" w:after="0" w:line="360" w:lineRule="auto"/>
        <w:jc w:val="both"/>
        <w:rPr>
          <w:rFonts w:ascii="仿宋_GB2312" w:eastAsia="仿宋_GB2312" w:hint="eastAsia"/>
        </w:rPr>
      </w:pPr>
      <w:bookmarkStart w:id="3" w:name="_Toc89766359"/>
      <w:r>
        <w:rPr>
          <w:rFonts w:ascii="仿宋_GB2312" w:eastAsia="仿宋_GB2312" w:hint="eastAsia"/>
        </w:rPr>
        <w:t>1.2 术语和定义</w:t>
      </w:r>
      <w:bookmarkEnd w:id="3"/>
    </w:p>
    <w:p>
      <w:pPr>
        <w:pStyle w:val="3"/>
        <w:spacing w:before="0" w:after="0" w:line="360" w:lineRule="auto"/>
        <w:jc w:val="both"/>
        <w:rPr>
          <w:rFonts w:ascii="仿宋_GB2312" w:eastAsia="仿宋_GB2312" w:hint="eastAsia"/>
          <w:sz w:val="30"/>
          <w:szCs w:val="30"/>
        </w:rPr>
      </w:pPr>
      <w:bookmarkStart w:id="4" w:name="_Toc89766360"/>
      <w:r>
        <w:rPr>
          <w:rFonts w:ascii="仿宋_GB2312" w:eastAsia="仿宋_GB2312" w:hint="eastAsia"/>
          <w:sz w:val="30"/>
          <w:szCs w:val="30"/>
        </w:rPr>
        <w:t>1.2.1熔炼</w:t>
      </w:r>
      <w:bookmarkEnd w:id="4"/>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指将含铜精矿，配入适当数量的熔剂、返尘、燃料，送入空气或富氧空气，将物料熔化，氧气与精矿内元素发生一系列复杂的物理和化学反应，产生二氧化硫烟气、铜锍（冰铜）及炉渣的过程。</w:t>
      </w:r>
    </w:p>
    <w:p>
      <w:pPr>
        <w:pStyle w:val="3"/>
        <w:spacing w:before="0" w:after="0" w:line="360" w:lineRule="auto"/>
        <w:jc w:val="both"/>
        <w:rPr>
          <w:rFonts w:ascii="仿宋_GB2312" w:eastAsia="仿宋_GB2312" w:hint="eastAsia"/>
          <w:sz w:val="30"/>
          <w:szCs w:val="30"/>
        </w:rPr>
      </w:pPr>
      <w:bookmarkStart w:id="5" w:name="_Toc89766361"/>
      <w:r>
        <w:rPr>
          <w:rFonts w:ascii="仿宋_GB2312" w:eastAsia="仿宋_GB2312" w:hint="eastAsia"/>
          <w:sz w:val="30"/>
          <w:szCs w:val="30"/>
        </w:rPr>
        <w:t>1.2.2吹炼</w:t>
      </w:r>
      <w:bookmarkEnd w:id="5"/>
    </w:p>
    <w:p>
      <w:pPr>
        <w:pStyle w:val="22"/>
        <w:spacing w:line="360" w:lineRule="auto"/>
        <w:ind w:firstLine="600"/>
        <w:jc w:val="both"/>
        <w:rPr>
          <w:rFonts w:ascii="仿宋_GB2312" w:eastAsia="仿宋_GB2312" w:hint="eastAsia"/>
          <w:sz w:val="30"/>
          <w:szCs w:val="30"/>
        </w:rPr>
      </w:pPr>
      <w:r>
        <w:rPr>
          <w:rFonts w:ascii="仿宋_GB2312" w:eastAsia="仿宋_GB2312" w:hint="eastAsia"/>
          <w:sz w:val="30"/>
          <w:szCs w:val="30"/>
        </w:rPr>
        <w:t>指通过向铜锍中鼓入空气或富氧空气，将其中的铁、硫及其他有害杂质氧化除去以获得粗铜，并将贵金属富集到粗铜中的冶炼过程。</w:t>
      </w:r>
    </w:p>
    <w:p>
      <w:pPr>
        <w:pStyle w:val="3"/>
        <w:spacing w:before="0" w:after="0" w:line="360" w:lineRule="auto"/>
        <w:jc w:val="both"/>
        <w:rPr>
          <w:rFonts w:ascii="仿宋_GB2312" w:eastAsia="仿宋_GB2312" w:hint="eastAsia"/>
          <w:sz w:val="30"/>
          <w:szCs w:val="30"/>
        </w:rPr>
      </w:pPr>
      <w:bookmarkStart w:id="6" w:name="_Toc89766362"/>
      <w:r>
        <w:rPr>
          <w:rFonts w:ascii="仿宋_GB2312" w:eastAsia="仿宋_GB2312" w:hint="eastAsia"/>
          <w:sz w:val="30"/>
          <w:szCs w:val="30"/>
        </w:rPr>
        <w:t>1.2.3火法精炼</w:t>
      </w:r>
      <w:bookmarkEnd w:id="6"/>
    </w:p>
    <w:p>
      <w:pPr>
        <w:pStyle w:val="22"/>
        <w:spacing w:line="360" w:lineRule="auto"/>
        <w:ind w:firstLine="600"/>
        <w:jc w:val="both"/>
        <w:rPr>
          <w:rFonts w:ascii="仿宋_GB2312" w:eastAsia="仿宋_GB2312" w:hint="eastAsia"/>
          <w:sz w:val="30"/>
          <w:szCs w:val="30"/>
        </w:rPr>
      </w:pPr>
      <w:r>
        <w:rPr>
          <w:rFonts w:ascii="仿宋_GB2312" w:eastAsia="仿宋_GB2312" w:hint="eastAsia"/>
          <w:sz w:val="30"/>
          <w:szCs w:val="30"/>
        </w:rPr>
        <w:t>指以粗铜为原料，在高温下向铜熔体中鼓入空气，使铜熔体的杂质与空气中的氧发生氧化反应，以金属氧化物的形态进入渣中，然后用碳氢还原剂将熔解在铜中的氧除去，最后浇铸成合格阳极的冶金过程。</w:t>
      </w:r>
    </w:p>
    <w:p>
      <w:pPr>
        <w:pStyle w:val="3"/>
        <w:spacing w:before="0" w:after="0" w:line="360" w:lineRule="auto"/>
        <w:jc w:val="both"/>
        <w:rPr>
          <w:rFonts w:ascii="仿宋_GB2312" w:eastAsia="仿宋_GB2312" w:hint="eastAsia"/>
          <w:sz w:val="30"/>
          <w:szCs w:val="30"/>
        </w:rPr>
      </w:pPr>
      <w:bookmarkStart w:id="7" w:name="_Toc89766363"/>
      <w:r>
        <w:rPr>
          <w:rFonts w:ascii="仿宋_GB2312" w:eastAsia="仿宋_GB2312" w:hint="eastAsia"/>
          <w:sz w:val="30"/>
          <w:szCs w:val="30"/>
        </w:rPr>
        <w:t>1.2.4闪速熔炼</w:t>
      </w:r>
      <w:bookmarkEnd w:id="7"/>
    </w:p>
    <w:p>
      <w:pPr>
        <w:pStyle w:val="22"/>
        <w:spacing w:line="360" w:lineRule="auto"/>
        <w:ind w:firstLine="600"/>
        <w:jc w:val="both"/>
        <w:rPr>
          <w:rFonts w:ascii="仿宋_GB2312" w:eastAsia="仿宋_GB2312" w:hint="eastAsia"/>
          <w:sz w:val="30"/>
          <w:szCs w:val="30"/>
        </w:rPr>
      </w:pPr>
      <w:r>
        <w:rPr>
          <w:rFonts w:ascii="仿宋_GB2312" w:eastAsia="仿宋_GB2312" w:hint="eastAsia"/>
          <w:sz w:val="30"/>
          <w:szCs w:val="30"/>
        </w:rPr>
        <w:t>指将粒径很小有巨大比表面积的干燥铜精矿和富氧空气，喷入高温反应空间，使悬浮在氧化空气中的铜精矿颗粒在高温下迅速完成冶金反应，产生铜锍、炉渣和含二氧化硫的烟气的冶金过程。</w:t>
      </w:r>
    </w:p>
    <w:p>
      <w:pPr>
        <w:pStyle w:val="3"/>
        <w:spacing w:before="0" w:after="0" w:line="360" w:lineRule="auto"/>
        <w:jc w:val="both"/>
        <w:rPr>
          <w:rFonts w:ascii="仿宋_GB2312" w:eastAsia="仿宋_GB2312" w:hint="eastAsia"/>
          <w:sz w:val="30"/>
          <w:szCs w:val="30"/>
        </w:rPr>
      </w:pPr>
      <w:bookmarkStart w:id="8" w:name="_Toc89766364"/>
      <w:r>
        <w:rPr>
          <w:rFonts w:ascii="仿宋_GB2312" w:eastAsia="仿宋_GB2312" w:hint="eastAsia"/>
          <w:sz w:val="30"/>
          <w:szCs w:val="30"/>
        </w:rPr>
        <w:t>1.2.5熔池熔炼</w:t>
      </w:r>
      <w:bookmarkEnd w:id="8"/>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指将细小铜精矿加入熔体的同时，向熔体鼓入空气或富氧空气，进行熔炼的冶金过程。</w:t>
      </w:r>
    </w:p>
    <w:p>
      <w:pPr>
        <w:pStyle w:val="3"/>
        <w:spacing w:before="0" w:after="0" w:line="360" w:lineRule="auto"/>
        <w:jc w:val="both"/>
        <w:rPr>
          <w:rFonts w:ascii="仿宋_GB2312" w:eastAsia="仿宋_GB2312" w:hint="eastAsia"/>
          <w:sz w:val="30"/>
          <w:szCs w:val="30"/>
        </w:rPr>
      </w:pPr>
      <w:bookmarkStart w:id="9" w:name="_Toc89766365"/>
      <w:r>
        <w:rPr>
          <w:rFonts w:ascii="仿宋_GB2312" w:eastAsia="仿宋_GB2312" w:hint="eastAsia"/>
          <w:sz w:val="30"/>
          <w:szCs w:val="30"/>
        </w:rPr>
        <w:t>1.2.6电解铜精炼</w:t>
      </w:r>
      <w:bookmarkEnd w:id="9"/>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指利用铜和杂质的电位序不同，在直流电的作用下，阳极上的铜既能电化溶解，又能在阴极上电化析出，而杂质部分进入电解液，部分进入阳极泥的过程。</w:t>
      </w:r>
    </w:p>
    <w:p>
      <w:pPr>
        <w:pStyle w:val="16"/>
        <w:spacing w:line="360" w:lineRule="auto"/>
        <w:ind w:left="0"/>
        <w:jc w:val="both"/>
        <w:rPr>
          <w:rFonts w:ascii="仿宋_GB2312" w:eastAsia="仿宋_GB2312" w:hint="eastAsia"/>
          <w:b/>
          <w:bCs/>
          <w:sz w:val="30"/>
          <w:szCs w:val="30"/>
        </w:rPr>
      </w:pPr>
      <w:r>
        <w:rPr>
          <w:rFonts w:ascii="仿宋_GB2312" w:eastAsia="仿宋_GB2312" w:hint="eastAsia"/>
          <w:b/>
          <w:bCs/>
          <w:sz w:val="30"/>
          <w:szCs w:val="30"/>
        </w:rPr>
        <w:t>1.2.7湿法炼</w:t>
      </w:r>
      <w:r>
        <w:rPr>
          <w:rFonts w:ascii="仿宋_GB2312" w:eastAsia="仿宋_GB2312" w:cs="Times New Roman" w:hint="eastAsia"/>
          <w:b/>
          <w:bCs/>
          <w:kern w:val="2"/>
          <w:sz w:val="30"/>
          <w:szCs w:val="30"/>
          <w:lang w:bidi="ar-SA"/>
        </w:rPr>
        <w:t>铜</w:t>
      </w:r>
    </w:p>
    <w:p>
      <w:pPr>
        <w:pStyle w:val="16"/>
        <w:spacing w:line="360" w:lineRule="auto"/>
        <w:ind w:left="0" w:firstLineChars="200" w:firstLine="600"/>
        <w:jc w:val="both"/>
        <w:rPr>
          <w:rFonts w:ascii="仿宋_GB2312" w:eastAsia="仿宋_GB2312" w:hint="eastAsia"/>
          <w:b w:val="0"/>
          <w:sz w:val="30"/>
          <w:szCs w:val="30"/>
        </w:rPr>
      </w:pPr>
      <w:r>
        <w:rPr>
          <w:rFonts w:ascii="仿宋_GB2312" w:eastAsia="仿宋_GB2312" w:hint="eastAsia"/>
          <w:b w:val="0"/>
          <w:sz w:val="30"/>
          <w:szCs w:val="30"/>
        </w:rPr>
        <w:t>指在常温常压或高压下，用溶剂或细菌（主要为自然界的铁硫杆菌）浸出矿石中的铜，浸出液经过萃取或其他溶液净化方法，使铜和杂质分离，然后用电积法，将溶液中的铜提取出来的过程。氧化铜矿通常采用溶剂直接浸出方法，低品位硫化铜矿通常采用细菌浸出方法。</w:t>
      </w:r>
    </w:p>
    <w:p>
      <w:pPr>
        <w:pStyle w:val="3"/>
        <w:spacing w:before="0" w:after="0" w:line="360" w:lineRule="auto"/>
        <w:jc w:val="both"/>
        <w:rPr>
          <w:rFonts w:ascii="仿宋_GB2312" w:eastAsia="仿宋_GB2312" w:hint="eastAsia"/>
          <w:sz w:val="30"/>
          <w:szCs w:val="30"/>
        </w:rPr>
      </w:pPr>
      <w:bookmarkStart w:id="10" w:name="_Toc89766366"/>
      <w:r>
        <w:rPr>
          <w:rFonts w:ascii="仿宋_GB2312" w:eastAsia="仿宋_GB2312" w:hint="eastAsia"/>
          <w:sz w:val="30"/>
          <w:szCs w:val="30"/>
        </w:rPr>
        <w:t>1.2.8环境集烟</w:t>
      </w:r>
      <w:bookmarkEnd w:id="10"/>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指通过工艺设计，对冶金炉窑的加料口、出料口、渣放出口、电极孔、溜槽、包子房等处泄漏的烟气进行收集的过程。</w:t>
      </w:r>
    </w:p>
    <w:p>
      <w:pPr>
        <w:pStyle w:val="3"/>
        <w:spacing w:before="0" w:after="0" w:line="360" w:lineRule="auto"/>
        <w:jc w:val="both"/>
        <w:rPr>
          <w:rFonts w:ascii="仿宋_GB2312" w:eastAsia="仿宋_GB2312" w:hint="eastAsia"/>
          <w:sz w:val="30"/>
          <w:szCs w:val="30"/>
        </w:rPr>
      </w:pPr>
      <w:bookmarkStart w:id="11" w:name="_Toc89766367"/>
      <w:r>
        <w:rPr>
          <w:rFonts w:ascii="仿宋_GB2312" w:eastAsia="仿宋_GB2312" w:hint="eastAsia"/>
          <w:sz w:val="30"/>
          <w:szCs w:val="30"/>
        </w:rPr>
        <w:t>1.2.9污酸</w:t>
      </w:r>
      <w:bookmarkEnd w:id="11"/>
    </w:p>
    <w:p>
      <w:pPr>
        <w:pStyle w:val="22"/>
        <w:spacing w:line="360" w:lineRule="auto"/>
        <w:jc w:val="both"/>
        <w:rPr>
          <w:rFonts w:ascii="仿宋_GB2312" w:eastAsia="仿宋_GB2312" w:hint="eastAsia"/>
          <w:sz w:val="30"/>
          <w:szCs w:val="30"/>
        </w:rPr>
      </w:pPr>
      <w:r>
        <w:rPr>
          <w:rFonts w:ascii="仿宋_GB2312" w:eastAsia="仿宋_GB2312" w:hint="eastAsia"/>
          <w:sz w:val="30"/>
          <w:szCs w:val="30"/>
        </w:rPr>
        <w:t xml:space="preserve">    指冶炼烟气制酸过程净化工序排出的含有硫酸、重金属等化合物和其他有害杂质的稀酸溶液。</w:t>
      </w:r>
    </w:p>
    <w:p>
      <w:pPr>
        <w:pStyle w:val="3"/>
        <w:spacing w:before="0" w:after="0" w:line="360" w:lineRule="auto"/>
        <w:jc w:val="both"/>
        <w:rPr>
          <w:rFonts w:ascii="仿宋_GB2312" w:eastAsia="仿宋_GB2312" w:hint="eastAsia"/>
          <w:sz w:val="30"/>
          <w:szCs w:val="30"/>
        </w:rPr>
      </w:pPr>
      <w:bookmarkStart w:id="12" w:name="_Toc89766368"/>
      <w:r>
        <w:rPr>
          <w:rFonts w:ascii="仿宋_GB2312" w:eastAsia="仿宋_GB2312" w:hint="eastAsia"/>
          <w:sz w:val="30"/>
          <w:szCs w:val="30"/>
        </w:rPr>
        <w:t>1.2.10标准状态</w:t>
      </w:r>
      <w:bookmarkEnd w:id="12"/>
    </w:p>
    <w:p>
      <w:pPr>
        <w:pStyle w:val="22"/>
        <w:spacing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指温度为273.15K、压力为101325Pa时的状态。本指南涉及的大气污染物浓度均以标准状态下的干气体为基准。</w:t>
      </w:r>
    </w:p>
    <w:p>
      <w:pPr>
        <w:pStyle w:val="2"/>
        <w:spacing w:before="0" w:after="0" w:line="360" w:lineRule="auto"/>
        <w:jc w:val="both"/>
        <w:rPr>
          <w:rFonts w:ascii="仿宋_GB2312" w:eastAsia="仿宋_GB2312" w:hint="eastAsia"/>
        </w:rPr>
      </w:pPr>
      <w:bookmarkStart w:id="13" w:name="_Toc89766369"/>
      <w:r>
        <w:rPr>
          <w:rFonts w:ascii="仿宋_GB2312" w:eastAsia="仿宋_GB2312" w:hint="eastAsia"/>
        </w:rPr>
        <w:t>1.3行业相关政策</w:t>
      </w:r>
      <w:bookmarkEnd w:id="13"/>
    </w:p>
    <w:p>
      <w:pPr>
        <w:pStyle w:val="3"/>
        <w:spacing w:before="0" w:after="0" w:line="360" w:lineRule="auto"/>
        <w:jc w:val="both"/>
        <w:rPr>
          <w:rFonts w:ascii="仿宋_GB2312" w:eastAsia="仿宋_GB2312" w:hint="eastAsia"/>
          <w:sz w:val="30"/>
          <w:szCs w:val="30"/>
        </w:rPr>
      </w:pPr>
      <w:bookmarkStart w:id="14" w:name="_Toc89766370"/>
      <w:r>
        <w:rPr>
          <w:rFonts w:ascii="仿宋_GB2312" w:eastAsia="仿宋_GB2312" w:hint="eastAsia"/>
          <w:sz w:val="30"/>
          <w:szCs w:val="30"/>
        </w:rPr>
        <w:t>1.3.1相关规范、文件、政策</w:t>
      </w:r>
      <w:bookmarkEnd w:id="14"/>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（1）《铜冶炼废水治理工程技术规范》HJ2059-2018</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（2）《铜冶炼废气治理工程技术规范》HJ2060-2018</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（3）《铜冶炼行业规范条件》（工信部公告2019年第35号）</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（4）《铜冶炼污染防治可行技术指南（试行）》环境保护部公告2015年第24号</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（5）《工业炉窑大气污染综合治理方案》（环大气〔2019〕56号）</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（6）《关于加强涉重金属行业污染防控的意见》（环土壤〔2018〕22号）</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（7）《危险废物分类管理名录》（2021年版）</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（8）《福建省</w:t>
      </w:r>
      <w:r>
        <w:rPr>
          <w:rFonts w:ascii="仿宋_GB2312" w:eastAsia="仿宋_GB2312"/>
          <w:sz w:val="30"/>
          <w:szCs w:val="30"/>
        </w:rPr>
        <w:t>人民政府</w:t>
      </w:r>
      <w:r>
        <w:rPr>
          <w:rFonts w:ascii="仿宋_GB2312" w:eastAsia="仿宋_GB2312" w:hint="eastAsia"/>
          <w:sz w:val="30"/>
          <w:szCs w:val="30"/>
        </w:rPr>
        <w:t>关于进一步加强危险废物污染防治工作的</w:t>
      </w:r>
      <w:r>
        <w:rPr>
          <w:rFonts w:ascii="仿宋_GB2312" w:eastAsia="仿宋_GB2312"/>
          <w:sz w:val="30"/>
          <w:szCs w:val="30"/>
        </w:rPr>
        <w:t>意见</w:t>
      </w:r>
      <w:r>
        <w:rPr>
          <w:rFonts w:ascii="仿宋_GB2312" w:eastAsia="仿宋_GB2312" w:hint="eastAsia"/>
          <w:sz w:val="30"/>
          <w:szCs w:val="30"/>
        </w:rPr>
        <w:t>》（闽政〔2015〕50号）</w:t>
      </w:r>
    </w:p>
    <w:p>
      <w:pPr>
        <w:pStyle w:val="22"/>
        <w:spacing w:line="360" w:lineRule="auto"/>
        <w:ind w:firstLineChars="100" w:firstLine="300"/>
        <w:jc w:val="both"/>
        <w:rPr>
          <w:rFonts w:ascii="仿宋_GB2312" w:eastAsia="仿宋_GB2312" w:hint="eastAsia"/>
          <w:sz w:val="30"/>
          <w:szCs w:val="30"/>
        </w:rPr>
      </w:pPr>
      <w:r>
        <w:rPr>
          <w:rFonts w:ascii="仿宋_GB2312" w:eastAsia="仿宋_GB2312" w:hint="eastAsia"/>
          <w:sz w:val="30"/>
          <w:szCs w:val="30"/>
        </w:rPr>
        <w:t>（9）《福建省涉重金属行业污染防控工作方案》（闽环保土〔2018〕18号）</w:t>
      </w:r>
    </w:p>
    <w:p>
      <w:pPr>
        <w:autoSpaceDE/>
        <w:autoSpaceDN/>
        <w:spacing w:line="360" w:lineRule="auto"/>
        <w:ind w:firstLineChars="100" w:firstLine="300"/>
        <w:jc w:val="both"/>
        <w:rPr>
          <w:rFonts w:ascii="仿宋_GB2312" w:eastAsia="仿宋_GB2312" w:cs="Times New Roman" w:hint="eastAsia"/>
          <w:kern w:val="2"/>
          <w:sz w:val="30"/>
          <w:szCs w:val="30"/>
          <w:lang w:bidi="ar-SA"/>
        </w:rPr>
      </w:pPr>
      <w:r>
        <w:rPr>
          <w:rFonts w:ascii="仿宋_GB2312" w:eastAsia="仿宋_GB2312" w:hint="eastAsia"/>
          <w:sz w:val="30"/>
          <w:szCs w:val="30"/>
        </w:rPr>
        <w:t>（10）《福建省省级审批建设项目重金属污染物排放总量控制与</w:t>
      </w:r>
      <w:r>
        <w:rPr>
          <w:rFonts w:ascii="仿宋_GB2312" w:eastAsia="仿宋_GB2312" w:cs="Times New Roman" w:hint="eastAsia"/>
          <w:kern w:val="2"/>
          <w:sz w:val="30"/>
          <w:szCs w:val="30"/>
          <w:lang w:bidi="ar-SA"/>
        </w:rPr>
        <w:t>指标调剂工作的意见（试行）》（闽环保固体</w:t>
      </w:r>
      <w:r>
        <w:rPr>
          <w:rFonts w:ascii="仿宋_GB2312" w:eastAsia="仿宋_GB2312" w:hint="eastAsia"/>
          <w:sz w:val="30"/>
          <w:szCs w:val="30"/>
        </w:rPr>
        <w:t>〔</w:t>
      </w:r>
      <w:r>
        <w:rPr>
          <w:rFonts w:ascii="仿宋_GB2312" w:eastAsia="仿宋_GB2312" w:cs="Times New Roman" w:hint="eastAsia"/>
          <w:kern w:val="2"/>
          <w:sz w:val="30"/>
          <w:szCs w:val="30"/>
          <w:lang w:bidi="ar-SA"/>
        </w:rPr>
        <w:t>2020</w:t>
      </w:r>
      <w:r>
        <w:rPr>
          <w:rFonts w:ascii="仿宋_GB2312" w:eastAsia="仿宋_GB2312" w:hint="eastAsia"/>
          <w:sz w:val="30"/>
          <w:szCs w:val="30"/>
        </w:rPr>
        <w:t>〕</w:t>
      </w:r>
      <w:r>
        <w:rPr>
          <w:rFonts w:ascii="仿宋_GB2312" w:eastAsia="仿宋_GB2312" w:cs="Times New Roman" w:hint="eastAsia"/>
          <w:kern w:val="2"/>
          <w:sz w:val="30"/>
          <w:szCs w:val="30"/>
          <w:lang w:bidi="ar-SA"/>
        </w:rPr>
        <w:t>7号）。</w:t>
      </w:r>
    </w:p>
    <w:p>
      <w:pPr>
        <w:autoSpaceDE/>
        <w:autoSpaceDN/>
        <w:spacing w:line="360" w:lineRule="auto"/>
        <w:ind w:firstLineChars="100" w:firstLine="3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（11）《危险废物环境管理指南  铜冶炼》</w:t>
      </w:r>
    </w:p>
    <w:p>
      <w:pPr>
        <w:pStyle w:val="3"/>
        <w:spacing w:before="0" w:after="0" w:line="360" w:lineRule="auto"/>
        <w:jc w:val="both"/>
        <w:rPr>
          <w:rFonts w:ascii="仿宋_GB2312" w:eastAsia="仿宋_GB2312" w:hint="eastAsia"/>
          <w:sz w:val="30"/>
          <w:szCs w:val="30"/>
        </w:rPr>
      </w:pPr>
      <w:bookmarkStart w:id="15" w:name="_Toc89766371"/>
      <w:r>
        <w:rPr>
          <w:rFonts w:ascii="仿宋_GB2312" w:eastAsia="仿宋_GB2312" w:hint="eastAsia"/>
          <w:sz w:val="30"/>
          <w:szCs w:val="30"/>
        </w:rPr>
        <w:t>1.3.2产业布局</w:t>
      </w:r>
      <w:bookmarkEnd w:id="15"/>
    </w:p>
    <w:p>
      <w:pPr>
        <w:autoSpaceDE/>
        <w:autoSpaceDN/>
        <w:spacing w:line="360" w:lineRule="auto"/>
        <w:ind w:firstLineChars="200" w:firstLine="600"/>
        <w:jc w:val="both"/>
        <w:rPr>
          <w:rFonts w:ascii="仿宋_GB2312" w:eastAsia="仿宋_GB2312" w:cs="Times New Roman" w:hint="eastAsia"/>
          <w:kern w:val="2"/>
          <w:sz w:val="30"/>
          <w:szCs w:val="30"/>
          <w:lang w:bidi="ar-SA"/>
        </w:rPr>
      </w:pPr>
      <w:bookmarkStart w:id="16" w:name="_Toc529178490"/>
      <w:r>
        <w:rPr>
          <w:rFonts w:ascii="仿宋_GB2312" w:eastAsia="仿宋_GB2312" w:cs="Times New Roman" w:hint="eastAsia"/>
          <w:kern w:val="2"/>
          <w:sz w:val="30"/>
          <w:szCs w:val="30"/>
          <w:lang w:bidi="ar-SA"/>
        </w:rPr>
        <w:t>（1）铜冶炼项目须符合国家及地方产业政策、土地利用总体规划、主体功能区规划、生态环境及节能法律法规和政策、安全生产法律法规和政策、行业发展规划等要求。</w:t>
      </w:r>
    </w:p>
    <w:p>
      <w:pPr>
        <w:autoSpaceDE/>
        <w:autoSpaceDN/>
        <w:spacing w:line="360" w:lineRule="auto"/>
        <w:ind w:firstLineChars="200" w:firstLine="600"/>
        <w:jc w:val="both"/>
        <w:rPr>
          <w:rFonts w:ascii="仿宋_GB2312" w:eastAsia="仿宋_GB2312" w:cs="Times New Roman" w:hint="eastAsia"/>
          <w:kern w:val="2"/>
          <w:sz w:val="30"/>
          <w:szCs w:val="30"/>
          <w:lang w:bidi="ar-SA"/>
        </w:rPr>
      </w:pPr>
      <w:bookmarkEnd w:id="16"/>
      <w:r>
        <w:rPr>
          <w:rFonts w:ascii="仿宋_GB2312" w:eastAsia="仿宋_GB2312" w:cs="Times New Roman" w:hint="eastAsia"/>
          <w:kern w:val="2"/>
          <w:sz w:val="30"/>
          <w:szCs w:val="30"/>
          <w:lang w:bidi="ar-SA"/>
        </w:rPr>
        <w:t>（2）根据相关法律法规，在国务院、国务院有关部门和省人民政府规定的自然保护区、生态功能保护区、风景名胜区、饮用水水源保护区等重点保护区域不得新建、扩建铜冶炼项目。</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（3）新建铜冶炼</w:t>
      </w:r>
      <w:r>
        <w:rPr>
          <w:rFonts w:ascii="仿宋_GB2312" w:eastAsia="仿宋_GB2312" w:cs="Times New Roman"/>
          <w:kern w:val="2"/>
          <w:sz w:val="30"/>
          <w:szCs w:val="30"/>
          <w:lang w:bidi="ar-SA"/>
        </w:rPr>
        <w:t>项目</w:t>
      </w:r>
      <w:r>
        <w:rPr>
          <w:rFonts w:ascii="仿宋_GB2312" w:eastAsia="仿宋_GB2312" w:cs="Times New Roman" w:hint="eastAsia"/>
          <w:kern w:val="2"/>
          <w:sz w:val="30"/>
          <w:szCs w:val="30"/>
          <w:lang w:bidi="ar-SA"/>
        </w:rPr>
        <w:t>，应进入依法设立的工业园区，并符合本区域产业定位、产业布局及相关规划。</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（4）新（扩）建项目应取得主要污染物、重要重金属污染物总量指标，依法开展建设项目环境影响评价。</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5）工业园区具备园区规划、建设标准、入园条件、园区管理、污染防治、配套服务等功能；应建设污水集中处理设施，对园区内企业污水统一收集、集中处理，稳定达标。工业园区依法开展园区规划环境影响评价工作。建设项目环境影响评价文件经审批后开工建设，环境保护设施应与主体工程同时设计、同时施工、同时投产使用，经竣工环保验收合格后方可正式投入生产使用。新、扩、改、迁项目，在满足污染物排放总量替代的前提下，其选址、规模、工艺、装备、资源利用、污染防治等可参照本指南要求。</w:t>
      </w:r>
    </w:p>
    <w:p>
      <w:pPr>
        <w:pStyle w:val="3"/>
        <w:spacing w:before="0" w:after="0" w:line="360" w:lineRule="auto"/>
        <w:jc w:val="both"/>
        <w:rPr>
          <w:rFonts w:ascii="仿宋_GB2312" w:eastAsia="仿宋_GB2312" w:hint="eastAsia"/>
          <w:sz w:val="30"/>
          <w:szCs w:val="30"/>
        </w:rPr>
      </w:pPr>
      <w:bookmarkStart w:id="17" w:name="_Toc89766372"/>
      <w:r>
        <w:rPr>
          <w:rFonts w:ascii="仿宋_GB2312" w:eastAsia="仿宋_GB2312" w:hint="eastAsia"/>
          <w:sz w:val="30"/>
          <w:szCs w:val="30"/>
        </w:rPr>
        <w:t>1.3.3产业政策</w:t>
      </w:r>
      <w:bookmarkEnd w:id="17"/>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（1）企业生产规模</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鼓励高效、低耗、低污染、新型冶炼技术开发；鼓励转炉吹炼工艺提升改造；限制单系列10万吨/年规模以下粗铜冶炼项目（再生铜项目及氧化矿直接浸出项目除外）；淘汰鼓风炉、电炉、反射炉炼铜工艺及设备；禁止新建转炉吹炼生产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（2）工艺技术与装备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①利用铜精矿的铜冶炼企业，应采用生产效率高、工艺先进、能耗低、环保达标、资源综合利用效果好、安全可靠的闪速熔炼和富氧强化熔池熔炼等先进工艺（如旋浮铜熔炼、合成炉熔炼、富氧底吹、富氧侧吹、富氧顶吹、白银炉熔炼等工艺），不得采用国家明令禁止或淘汰的设备、工艺。鼓励有条件的企业对现有传统转炉吹炼工艺进行升级改造，提升无组织烟气排放管控水平。须配置烟气制酸、资源综合利用、节能等设施。烟气制酸须采用稀酸洗涤净化、双转双吸等先进工艺，烟气净化严禁采用水洗或热浓酸洗涤工艺，硫酸尾气需设治理设施。配备的冶炼尾气余热回收、除尘工艺及设备须满足国家《节约能源法》、《清洁生产促进法》、《环境保护法》等要求。</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②利用含铜二次资源（再生铜）的铜冶炼企业，须采用先进的节能环保、清洁生产工艺和设备。企业应强化含铜二次资源的预处理，最大限度进行除杂、分类。禁止采用化学法以及无烟气治理设施的焚烧工艺和装备。冶炼工艺须采用NGL炉、旋转顶吹炉、倾动式精炼炉、富氧顶吹炉、富氧底吹炉、100吨以上改进型阳极炉（反射炉）等生产效率高、能耗低、资源综合利用效果好、环保达标、安全可靠的先进生产工艺及装备。同时，应根据原料状况配套二噁英排放控制设施或净化设施，须使用预热空气和余热锅炉等设备。禁止50吨以下传统固定式反射炉再生铜生产工艺及设备；禁止使用无烟气治理措施的冶炼工艺及设备。</w:t>
      </w:r>
    </w:p>
    <w:p>
      <w:pPr>
        <w:pStyle w:val="3"/>
        <w:spacing w:before="0" w:after="0" w:line="360" w:lineRule="auto"/>
        <w:jc w:val="both"/>
        <w:rPr>
          <w:rFonts w:ascii="仿宋_GB2312" w:eastAsia="仿宋_GB2312" w:hint="eastAsia"/>
          <w:sz w:val="30"/>
          <w:szCs w:val="30"/>
        </w:rPr>
      </w:pPr>
      <w:bookmarkStart w:id="18" w:name="_Toc89766373"/>
      <w:r>
        <w:rPr>
          <w:rFonts w:ascii="仿宋_GB2312" w:eastAsia="仿宋_GB2312" w:hint="eastAsia"/>
          <w:sz w:val="30"/>
          <w:szCs w:val="30"/>
        </w:rPr>
        <w:t>1.3.4清洁生产政策</w:t>
      </w:r>
      <w:bookmarkEnd w:id="18"/>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（1）所有铜冶炼企业应因地制宜、因厂制宜实施水回用措施，提高水重复利用率。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（2）实施强制清洁生产审核。铜冶炼企业应按要求两次清洁生产审核的间隔时间不得超过五年，并提出重金属减排方案。铜冶炼企业宜达到《清洁生产标准  铜冶炼行业》（HJ558-2010）二级清洁生产水平。</w:t>
      </w:r>
    </w:p>
    <w:p>
      <w:pPr>
        <w:pStyle w:val="2"/>
        <w:spacing w:before="0" w:after="0" w:line="360" w:lineRule="auto"/>
        <w:jc w:val="both"/>
        <w:rPr>
          <w:rFonts w:ascii="仿宋_GB2312" w:eastAsia="仿宋_GB2312" w:hint="eastAsia"/>
        </w:rPr>
      </w:pPr>
      <w:bookmarkStart w:id="19" w:name="_Toc89766374"/>
      <w:r>
        <w:rPr>
          <w:rFonts w:ascii="仿宋_GB2312" w:eastAsia="仿宋_GB2312" w:hint="eastAsia"/>
        </w:rPr>
        <w:t>1.4行业相关标准</w:t>
      </w:r>
      <w:bookmarkEnd w:id="19"/>
    </w:p>
    <w:p>
      <w:pPr>
        <w:pStyle w:val="3"/>
        <w:spacing w:before="0" w:after="0" w:line="360" w:lineRule="auto"/>
        <w:jc w:val="both"/>
        <w:rPr>
          <w:rFonts w:ascii="仿宋_GB2312" w:eastAsia="仿宋_GB2312" w:hint="eastAsia"/>
          <w:sz w:val="30"/>
          <w:szCs w:val="30"/>
        </w:rPr>
      </w:pPr>
      <w:bookmarkStart w:id="20" w:name="_Toc89766375"/>
      <w:r>
        <w:rPr>
          <w:rFonts w:ascii="仿宋_GB2312" w:eastAsia="仿宋_GB2312" w:hint="eastAsia"/>
          <w:sz w:val="30"/>
          <w:szCs w:val="30"/>
        </w:rPr>
        <w:t>1.4.1污染物排放标准</w:t>
      </w:r>
      <w:bookmarkEnd w:id="20"/>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（1）《大气污染物综合排放标准》（GB16297-1996）；</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（2）《铜、镍、钴工业污染物排放标准》（GB25467-2010）及其修改单</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（3）《再生铜、铝、铅、锌工业污染物排放标准》（GB31574-2015）</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（4）《锅炉大气污染物排放标准》（GB13271-2014）；</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（5）《恶臭污染物排放标准》（GB14554-93）；</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（6）《城市污水再生利用 工业用水水质》GB/T19923-2005）；</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（7）《工业企业厂界环境噪声排放标准》（GB12348-2008）；</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（8）《危险废物贮存污染控制标准》（GB18597）；</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（9）《一般工业固体废物贮存和填埋污染控制标准》（GB18599-2020）</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（10）《危险废物填埋污染控制标准》（GB19598-2019）</w:t>
      </w:r>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（11）《污染源源强核算技术指南 有色金属冶炼》(HJ983—2018)。</w:t>
      </w:r>
    </w:p>
    <w:p>
      <w:pPr>
        <w:pStyle w:val="3"/>
        <w:spacing w:before="0" w:after="0" w:line="360" w:lineRule="auto"/>
        <w:rPr>
          <w:rFonts w:ascii="仿宋_GB2312" w:eastAsia="仿宋_GB2312" w:hint="eastAsia"/>
          <w:sz w:val="30"/>
          <w:szCs w:val="30"/>
        </w:rPr>
      </w:pPr>
      <w:bookmarkStart w:id="21" w:name="_Toc89766376"/>
      <w:r>
        <w:rPr>
          <w:rFonts w:ascii="仿宋_GB2312" w:eastAsia="仿宋_GB2312" w:hint="eastAsia"/>
          <w:sz w:val="30"/>
          <w:szCs w:val="30"/>
        </w:rPr>
        <w:t>1.4.2清洁生产标准</w:t>
      </w:r>
      <w:bookmarkEnd w:id="21"/>
    </w:p>
    <w:p>
      <w:pPr>
        <w:spacing w:line="360" w:lineRule="auto"/>
        <w:ind w:firstLineChars="200" w:firstLine="60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（1）《清洁生产标准  铜冶炼业》（HJ558-2010）；</w:t>
      </w:r>
    </w:p>
    <w:p>
      <w:pPr>
        <w:spacing w:line="360" w:lineRule="auto"/>
        <w:ind w:firstLineChars="200" w:firstLine="600"/>
        <w:rPr>
          <w:rFonts w:ascii="仿宋_GB2312" w:eastAsia="仿宋_GB2312" w:hint="eastAsia"/>
          <w:highlight w:val="yellow"/>
        </w:rPr>
      </w:pPr>
      <w:r>
        <w:rPr>
          <w:rFonts w:ascii="仿宋_GB2312" w:eastAsia="仿宋_GB2312" w:cs="Times New Roman" w:hint="eastAsia"/>
          <w:kern w:val="2"/>
          <w:sz w:val="30"/>
          <w:szCs w:val="30"/>
          <w:lang w:bidi="ar-SA"/>
        </w:rPr>
        <w:t>（2）《清洁生产标准  铜电解业》（HJ559-2010）。</w:t>
      </w:r>
    </w:p>
    <w:p>
      <w:pPr>
        <w:pStyle w:val="1"/>
        <w:spacing w:before="0" w:line="360" w:lineRule="auto"/>
        <w:ind w:left="0" w:firstLine="0"/>
        <w:jc w:val="both"/>
        <w:rPr>
          <w:rFonts w:ascii="黑体" w:eastAsia="黑体" w:hint="eastAsia"/>
          <w:sz w:val="32"/>
          <w:szCs w:val="32"/>
        </w:rPr>
      </w:pPr>
      <w:bookmarkStart w:id="22" w:name="_Toc89766377"/>
      <w:r>
        <w:rPr>
          <w:rFonts w:ascii="黑体" w:eastAsia="黑体" w:hint="eastAsia"/>
          <w:sz w:val="32"/>
          <w:szCs w:val="32"/>
        </w:rPr>
        <w:t>2、生产工艺及污染物排放</w:t>
      </w:r>
      <w:bookmarkEnd w:id="22"/>
    </w:p>
    <w:p>
      <w:pPr>
        <w:pStyle w:val="2"/>
        <w:spacing w:before="0" w:after="0" w:line="360" w:lineRule="auto"/>
        <w:jc w:val="both"/>
        <w:rPr>
          <w:rFonts w:ascii="仿宋_GB2312" w:eastAsia="仿宋_GB2312" w:hint="eastAsia"/>
        </w:rPr>
      </w:pPr>
      <w:bookmarkStart w:id="23" w:name="_Toc89766378"/>
      <w:r>
        <w:rPr>
          <w:rFonts w:ascii="仿宋_GB2312" w:eastAsia="仿宋_GB2312" w:hint="eastAsia"/>
        </w:rPr>
        <w:t>2.1生产工艺及产污环节</w:t>
      </w:r>
      <w:bookmarkEnd w:id="23"/>
    </w:p>
    <w:p>
      <w:pPr>
        <w:spacing w:before="0" w:after="0"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目前，铜冶炼生产工艺主要有两种，即：</w:t>
      </w:r>
      <w:r>
        <w:rPr>
          <w:rFonts w:ascii="仿宋_GB2312" w:eastAsia="仿宋_GB2312" w:cs="Times New Roman" w:hint="eastAsia"/>
          <w:kern w:val="2"/>
          <w:sz w:val="30"/>
          <w:szCs w:val="30"/>
          <w:lang w:bidi="ar-SA"/>
        </w:rPr>
        <w:t>火法炼铜和湿法炼铜。95%的精铜利用火法冶炼从铜精矿和再生铜中产生，5%的精铜利用湿法冶炼生产。</w:t>
      </w:r>
    </w:p>
    <w:p>
      <w:pPr>
        <w:pStyle w:val="3"/>
        <w:spacing w:before="0" w:after="0" w:line="360" w:lineRule="auto"/>
        <w:jc w:val="both"/>
        <w:rPr>
          <w:rFonts w:ascii="仿宋_GB2312" w:eastAsia="仿宋_GB2312" w:hint="eastAsia"/>
          <w:sz w:val="30"/>
          <w:szCs w:val="30"/>
        </w:rPr>
      </w:pPr>
      <w:bookmarkStart w:id="24" w:name="_Toc89766379"/>
      <w:r>
        <w:rPr>
          <w:rFonts w:ascii="仿宋_GB2312" w:eastAsia="仿宋_GB2312" w:hint="eastAsia"/>
          <w:sz w:val="30"/>
          <w:szCs w:val="30"/>
        </w:rPr>
        <w:t>2.1.1火法炼铜</w:t>
      </w:r>
      <w:bookmarkEnd w:id="24"/>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火法炼铜是利用高温从铜精矿或废杂铜中提取金属铜或其化合物的过程。</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铜精矿火法冶炼生产过程通常由以下几个工序组成：备料、熔炼、吹炼、火法精炼、电解精炼，最终产品为精炼铜（电解铜）。铜精矿火法冶炼工艺流程及产污环节见图1。</w:t>
      </w:r>
    </w:p>
    <w:p>
      <w:pPr>
        <w:pStyle w:val="3"/>
        <w:spacing w:before="0" w:after="0" w:line="360" w:lineRule="auto"/>
        <w:jc w:val="both"/>
        <w:rPr>
          <w:rFonts w:ascii="仿宋_GB2312" w:eastAsia="仿宋_GB2312" w:hint="eastAsia"/>
          <w:sz w:val="30"/>
          <w:szCs w:val="30"/>
        </w:rPr>
      </w:pPr>
      <w:bookmarkStart w:id="25" w:name="_Toc89766380"/>
      <w:r>
        <w:rPr>
          <w:rFonts w:ascii="仿宋_GB2312" w:eastAsia="仿宋_GB2312" w:hint="eastAsia"/>
          <w:sz w:val="30"/>
          <w:szCs w:val="30"/>
        </w:rPr>
        <w:t>2.1.2湿法炼铜</w:t>
      </w:r>
      <w:bookmarkEnd w:id="25"/>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湿法炼铜是在常温常压或高压下，用溶剂或细菌浸出矿石或焙烧矿中的铜，浸出液经过萃取或其他净液方法，使铜和杂质分离，然后用电积法，将溶液中的铜提取出来。氧化矿和自然铜矿通常采用溶剂直接浸出方法；硫化矿通常采用细菌浸出方法。</w:t>
      </w:r>
    </w:p>
    <w:p>
      <w:pPr>
        <w:autoSpaceDE/>
        <w:autoSpaceDN/>
        <w:spacing w:line="360" w:lineRule="auto"/>
        <w:ind w:firstLineChars="200" w:firstLine="600"/>
        <w:rPr>
          <w:rFonts w:ascii="仿宋_GB2312" w:eastAsia="仿宋_GB2312" w:cs="Times New Roman" w:hint="eastAsia"/>
          <w:kern w:val="2"/>
          <w:sz w:val="30"/>
          <w:szCs w:val="30"/>
          <w:lang w:bidi="ar-SA"/>
        </w:rPr>
        <w:sectPr>
          <w:footerReference w:type="default" r:id="rId6"/>
          <w:type w:val="nextColumn"/>
          <w:pgSz w:w="11910" w:h="16840"/>
          <w:pgMar w:top="1440" w:right="1803" w:bottom="1440" w:left="1803" w:header="0" w:footer="690" w:gutter="0"/>
          <w:pgNumType w:start="1"/>
          <w:docGrid w:linePitch="299" w:charSpace="0"/>
        </w:sectPr>
      </w:pPr>
      <w:r>
        <w:rPr>
          <w:rFonts w:ascii="仿宋_GB2312" w:eastAsia="仿宋_GB2312" w:cs="Times New Roman" w:hint="eastAsia"/>
          <w:kern w:val="2"/>
          <w:sz w:val="30"/>
          <w:szCs w:val="30"/>
          <w:lang w:bidi="ar-SA"/>
        </w:rPr>
        <w:t>湿法炼铜工艺流程及产污环节见图2。</w:t>
      </w:r>
    </w:p>
    <w:p>
      <w:pPr>
        <w:pStyle w:val="22"/>
        <w:jc w:val="both"/>
        <w:rPr>
          <w:rFonts w:ascii="黑体" w:eastAsia="黑体" w:hint="eastAsia"/>
          <w:sz w:val="24"/>
          <w:szCs w:val="24"/>
        </w:rPr>
        <w:sectPr>
          <w:pgSz w:w="23814" w:h="16840" w:orient="landscape"/>
          <w:pgMar w:top="1588" w:right="1418" w:bottom="1588" w:left="1418" w:header="0" w:footer="692" w:gutter="0"/>
          <w:pgNumType/>
          <w:docGrid w:linePitch="312" w:charSpace="0"/>
        </w:sectPr>
      </w:pPr>
      <w:r>
        <mc:AlternateContent>
          <mc:Choice Requires="wps">
            <w:drawing>
              <wp:anchor distT="0" distB="0" distL="114296" distR="114296" simplePos="0" relativeHeight="49" behindDoc="0" locked="0" layoutInCell="0" hidden="0" allowOverlap="1">
                <wp:simplePos x="0" y="0"/>
                <wp:positionH relativeFrom="page">
                  <wp:posOffset>12305636</wp:posOffset>
                </wp:positionH>
                <wp:positionV relativeFrom="page">
                  <wp:posOffset>3101959</wp:posOffset>
                </wp:positionV>
                <wp:extent cx="804861" cy="4423409"/>
                <wp:effectExtent l="0" t="0" r="0" b="0"/>
                <wp:wrapSquare wrapText="bothSides"/>
                <wp:docPr id="1" name="_x0000_s1030"/>
                <wp:cNvGraphicFramePr>
                  <a:graphicFrameLocks noChangeAspect="0"/>
                </wp:cNvGraphicFramePr>
                <a:graphic>
                  <a:graphicData uri="http://schemas.microsoft.com/office/word/2010/wordprocessingShape">
                    <wps:wsp>
                      <wps:cNvSpPr/>
                      <wps:spPr>
                        <a:xfrm rot="0">
                          <a:off x="0" y="0"/>
                          <a:ext cx="804861" cy="4423409"/>
                        </a:xfrm>
                        <a:prstGeom prst="rect"/>
                        <a:solidFill>
                          <a:srgbClr val="FFFFFF">
                            <a:alpha val="80000"/>
                          </a:srgbClr>
                        </a:solidFill>
                        <a:ln w="12700" cmpd="sng" cap="flat">
                          <a:solidFill>
                            <a:srgbClr val="FFFFFF"/>
                          </a:solidFill>
                          <a:prstDash val="solid"/>
                          <a:miter/>
                        </a:ln>
                      </wps:spPr>
                      <wps:txbx id="2">
                        <w:txbxContent>
                          <w:p>
                            <w:pPr>
                              <w:jc w:val="center"/>
                              <w:rPr>
                                <w:rFonts w:ascii="黑体" w:eastAsia="黑体" w:cs="Times New Roman" w:hint="eastAsia"/>
                                <w:sz w:val="30"/>
                                <w:szCs w:val="30"/>
                                <w:lang w:bidi="ar-SA"/>
                              </w:rPr>
                            </w:pPr>
                            <w:r>
                              <w:rPr>
                                <w:rFonts w:ascii="黑体" w:eastAsia="黑体" w:cs="Times New Roman" w:hint="eastAsia"/>
                                <w:sz w:val="30"/>
                                <w:szCs w:val="30"/>
                                <w:lang w:bidi="ar-SA"/>
                              </w:rPr>
                              <w:t>图1    铜精矿火法冶炼典型工艺流程及产污环节</w:t>
                            </w:r>
                          </w:p>
                        </w:txbxContent>
                      </wps:txbx>
                      <wps:bodyPr vert="vert270" wrap="square" lIns="457200" tIns="91440" rIns="91440" bIns="91440" anchor="t" anchorCtr="0" upright="1">
                        <a:spAutoFit/>
                      </wps:bodyPr>
                    </wps:wsp>
                  </a:graphicData>
                </a:graphic>
              </wp:anchor>
            </w:drawing>
          </mc:Choice>
          <mc:Fallback>
            <w:pict>
              <v:rect type="#_x0000_t1" id="_x0000_s1030 3" o:spid="_x0000_s3" fillcolor="#FFFFFF" stroked="t" strokeweight="1.0pt" o:allowincell="f" style="position:absolute;margin-left:968.9477pt;margin-top:244.2488pt;width:63.37495pt;height:348.29996pt;z-index:49;mso-position-horizontal:absolute;mso-position-horizontal-relative:page;mso-position-vertical:absolute;mso-position-vertical-relative:page;mso-wrap-distance-left:8.999685pt;mso-wrap-distance-right:8.999685pt;mso-wrap-style:square;">
                <v:fill opacity="52428f"/>
                <v:stroke color="#FFFFFF"/>
                <v:textbox id="866" inset="12.7mm,2.54mm,2.54mm,2.54mm" o:insetmode="custom" style="layout-flow:vertical;mso-layout-flow-alt:bottom-to-top;v-text-anchor:top;mso-fit-shape-to-text:t;">
                  <w:txbxContent>
                    <w:p>
                      <w:pPr>
                        <w:jc w:val="center"/>
                        <w:rPr>
                          <w:rFonts w:ascii="黑体" w:eastAsia="黑体" w:cs="Times New Roman" w:hint="eastAsia"/>
                          <w:sz w:val="30"/>
                          <w:szCs w:val="30"/>
                          <w:lang w:bidi="ar-SA"/>
                        </w:rPr>
                      </w:pPr>
                      <w:r>
                        <w:rPr>
                          <w:rFonts w:ascii="黑体" w:eastAsia="黑体" w:cs="Times New Roman" w:hint="eastAsia"/>
                          <w:sz w:val="30"/>
                          <w:szCs w:val="30"/>
                          <w:lang w:bidi="ar-SA"/>
                        </w:rPr>
                        <w:t>图1    铜精矿火法冶炼典型工艺流程及产污环节</w:t>
                      </w:r>
                    </w:p>
                  </w:txbxContent>
                </v:textbox>
                <w10:wrap type="square"/>
              </v:rect>
            </w:pict>
          </mc:Fallback>
        </mc:AlternateContent>
      </w:r>
      <w:r>
        <w:rPr>
          <w:rFonts w:ascii="黑体" w:eastAsia="黑体" w:hint="eastAsia"/>
          <w:sz w:val="18"/>
        </w:rPr>
        <w:drawing>
          <wp:anchor distT="0" distB="0" distL="114300" distR="114300" simplePos="0" relativeHeight="54" behindDoc="0" locked="0" layoutInCell="1" hidden="0" allowOverlap="1">
            <wp:simplePos x="0" y="0"/>
            <wp:positionH relativeFrom="column">
              <wp:posOffset>1472066</wp:posOffset>
            </wp:positionH>
            <wp:positionV relativeFrom="paragraph">
              <wp:posOffset>-1019540</wp:posOffset>
            </wp:positionV>
            <wp:extent cx="8808719" cy="10670542"/>
            <wp:effectExtent l="0" t="0" r="0" b="0"/>
            <wp:wrapSquare wrapText="bothSides"/>
            <wp:docPr id="4" name="图片 23"/>
            <wp:cNvGraphicFramePr>
              <a:graphicFrameLocks noChangeAspect="1"/>
            </wp:cNvGraphicFramePr>
            <a:graphic>
              <a:graphicData uri="http://schemas.openxmlformats.org/drawingml/2006/picture">
                <pic:pic>
                  <pic:nvPicPr>
                    <pic:cNvPr id="6" name="图片 23 6"/>
                    <pic:cNvPicPr/>
                  </pic:nvPicPr>
                  <pic:blipFill>
                    <a:blip r:embed="rId7"/>
                    <a:stretch>
                      <a:fillRect/>
                    </a:stretch>
                  </pic:blipFill>
                  <pic:spPr>
                    <a:xfrm rot="16200000">
                      <a:off x="0" y="0"/>
                      <a:ext cx="8808719" cy="10670542"/>
                    </a:xfrm>
                    <a:prstGeom prst="rect"/>
                    <a:noFill/>
                    <a:ln w="9525" cmpd="sng" cap="flat">
                      <a:noFill/>
                      <a:prstDash val="solid"/>
                      <a:miter/>
                    </a:ln>
                  </pic:spPr>
                </pic:pic>
              </a:graphicData>
            </a:graphic>
          </wp:anchor>
        </w:drawing>
      </w:r>
    </w:p>
    <w:p>
      <w:pPr>
        <w:pStyle w:val="22"/>
        <w:spacing w:before="9"/>
        <w:jc w:val="both"/>
        <w:rPr>
          <w:rFonts w:ascii="黑体" w:hAnsi="黑体"/>
          <w:sz w:val="11"/>
        </w:rPr>
      </w:pPr>
    </w:p>
    <w:p>
      <w:pPr>
        <w:pStyle w:val="22"/>
        <w:jc w:val="center"/>
        <w:rPr>
          <w:rFonts w:ascii="黑体" w:hAnsi="黑体"/>
          <w:sz w:val="20"/>
        </w:rPr>
      </w:pPr>
      <w:r>
        <w:rPr>
          <w:rFonts w:ascii="黑体" w:hAnsi="黑体"/>
          <w:sz w:val="20"/>
        </w:rPr>
        <w:drawing>
          <wp:inline distT="0" distB="0" distL="68578" distR="68578">
            <wp:extent cx="4359275" cy="4676775"/>
            <wp:effectExtent l="0" t="0" r="0" b="0"/>
            <wp:docPr id="7" name="图片"/>
            <wp:cNvGraphicFramePr>
              <a:graphicFrameLocks noChangeAspect="1"/>
            </wp:cNvGraphicFramePr>
            <a:graphic>
              <a:graphicData uri="http://schemas.openxmlformats.org/drawingml/2006/picture">
                <pic:pic>
                  <pic:nvPicPr>
                    <pic:cNvPr id="9" name="图片 9"/>
                    <pic:cNvPicPr/>
                  </pic:nvPicPr>
                  <pic:blipFill>
                    <a:blip r:embed="rId8"/>
                    <a:stretch>
                      <a:fillRect/>
                    </a:stretch>
                  </pic:blipFill>
                  <pic:spPr>
                    <a:xfrm rot="0">
                      <a:off x="0" y="0"/>
                      <a:ext cx="4359275" cy="4676775"/>
                    </a:xfrm>
                    <a:prstGeom prst="rect"/>
                    <a:noFill/>
                    <a:ln w="9525" cmpd="sng" cap="flat">
                      <a:noFill/>
                      <a:prstDash val="solid"/>
                      <a:miter/>
                    </a:ln>
                  </pic:spPr>
                </pic:pic>
              </a:graphicData>
            </a:graphic>
          </wp:inline>
        </w:drawing>
      </w:r>
    </w:p>
    <w:p>
      <w:pPr>
        <w:pStyle w:val="22"/>
        <w:spacing w:before="4"/>
        <w:jc w:val="both"/>
        <w:rPr>
          <w:rFonts w:ascii="黑体" w:hAnsi="黑体"/>
          <w:sz w:val="8"/>
        </w:rPr>
      </w:pPr>
    </w:p>
    <w:p>
      <w:pPr>
        <w:pStyle w:val="22"/>
        <w:tabs>
          <w:tab w:val="left" w:pos="575"/>
        </w:tabs>
        <w:spacing w:before="61"/>
        <w:ind w:right="116"/>
        <w:jc w:val="center"/>
        <w:rPr>
          <w:rFonts w:ascii="黑体" w:eastAsia="黑体" w:hint="eastAsia"/>
          <w:sz w:val="30"/>
          <w:szCs w:val="30"/>
        </w:rPr>
      </w:pPr>
      <w:r>
        <w:rPr>
          <w:rFonts w:ascii="黑体" w:eastAsia="黑体" w:hint="eastAsia"/>
          <w:sz w:val="30"/>
          <w:szCs w:val="30"/>
        </w:rPr>
        <w:t>图 2</w:t>
        <w:tab/>
        <w:t>湿法炼铜工艺流程及产污环节</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pStyle w:val="3"/>
        <w:spacing w:before="0" w:after="0" w:line="360" w:lineRule="auto"/>
        <w:jc w:val="both"/>
        <w:rPr>
          <w:rFonts w:ascii="仿宋_GB2312" w:eastAsia="仿宋_GB2312" w:hint="eastAsia"/>
          <w:sz w:val="30"/>
          <w:szCs w:val="30"/>
        </w:rPr>
      </w:pPr>
      <w:bookmarkStart w:id="26" w:name="_Toc89766381"/>
      <w:r>
        <w:rPr>
          <w:rFonts w:ascii="仿宋_GB2312" w:eastAsia="仿宋_GB2312" w:hint="eastAsia"/>
          <w:sz w:val="30"/>
          <w:szCs w:val="30"/>
        </w:rPr>
        <w:t>2.1.3生产工艺</w:t>
      </w:r>
      <w:bookmarkEnd w:id="26"/>
    </w:p>
    <w:p>
      <w:pPr>
        <w:autoSpaceDE/>
        <w:autoSpaceDN/>
        <w:spacing w:line="360" w:lineRule="auto"/>
        <w:ind w:firstLineChars="200" w:firstLine="600"/>
        <w:jc w:val="both"/>
        <w:rPr>
          <w:rFonts w:ascii="仿宋_GB2312" w:eastAsia="仿宋_GB2312" w:cs="Times New Roman" w:hint="eastAsia"/>
          <w:kern w:val="2"/>
          <w:sz w:val="30"/>
          <w:szCs w:val="30"/>
          <w:lang w:bidi="ar-SA"/>
        </w:rPr>
      </w:pPr>
      <w:bookmarkStart w:id="27" w:name="_Toc54799929"/>
      <w:bookmarkStart w:id="28" w:name="_Toc58246153"/>
      <w:r>
        <w:rPr>
          <w:rFonts w:ascii="仿宋_GB2312" w:eastAsia="仿宋_GB2312" w:cs="Times New Roman" w:hint="eastAsia"/>
          <w:kern w:val="2"/>
          <w:sz w:val="30"/>
          <w:szCs w:val="30"/>
          <w:lang w:bidi="ar-SA"/>
        </w:rPr>
        <w:t>火法炼铜生产过程一般由以下几个工序组成：备料、熔炼、吹炼、精炼、电解精炼，最终产品为电解铜。</w:t>
      </w:r>
    </w:p>
    <w:p>
      <w:pPr>
        <w:pStyle w:val="3"/>
        <w:spacing w:before="0" w:after="0" w:line="360" w:lineRule="auto"/>
        <w:ind w:firstLineChars="200" w:firstLine="600"/>
        <w:jc w:val="both"/>
        <w:rPr>
          <w:rFonts w:ascii="仿宋_GB2312" w:eastAsia="仿宋_GB2312" w:hint="eastAsia"/>
          <w:sz w:val="30"/>
          <w:szCs w:val="30"/>
        </w:rPr>
      </w:pPr>
      <w:bookmarkStart w:id="29" w:name="_Toc89766382"/>
      <w:r>
        <w:rPr>
          <w:rFonts w:ascii="仿宋_GB2312" w:eastAsia="仿宋_GB2312" w:hint="eastAsia"/>
          <w:sz w:val="30"/>
          <w:szCs w:val="30"/>
        </w:rPr>
        <w:t>（1）</w:t>
      </w:r>
      <w:bookmarkEnd w:id="27"/>
      <w:bookmarkEnd w:id="28"/>
      <w:r>
        <w:rPr>
          <w:rFonts w:ascii="仿宋_GB2312" w:eastAsia="仿宋_GB2312" w:hint="eastAsia"/>
          <w:sz w:val="30"/>
          <w:szCs w:val="30"/>
        </w:rPr>
        <w:t>原料制备</w:t>
      </w:r>
      <w:bookmarkEnd w:id="29"/>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原料制备目的是将铜精矿、燃料、熔剂等物料进行预处理，使之符合不同冶炼工艺的需要。精矿蒸汽干燥技术是通过蒸汽干燥机，利用冶炼烟气余热回收生产的蒸汽干燥铜精矿。</w:t>
      </w:r>
    </w:p>
    <w:p>
      <w:pPr>
        <w:autoSpaceDE/>
        <w:autoSpaceDN/>
        <w:spacing w:line="360" w:lineRule="auto"/>
        <w:ind w:firstLineChars="200" w:firstLine="600"/>
        <w:jc w:val="both"/>
        <w:rPr>
          <w:rFonts w:ascii="仿宋_GB2312" w:eastAsia="仿宋_GB2312" w:hint="eastAsia"/>
          <w:sz w:val="14"/>
        </w:rPr>
      </w:pPr>
      <w:r>
        <w:rPr>
          <w:rFonts w:ascii="仿宋_GB2312" w:eastAsia="仿宋_GB2312" w:cs="Times New Roman" w:hint="eastAsia"/>
          <w:kern w:val="2"/>
          <w:sz w:val="30"/>
          <w:szCs w:val="30"/>
          <w:lang w:bidi="ar-SA"/>
        </w:rPr>
        <w:t>该技术适用于精矿配料前的预干燥或精矿配料后的深度干燥。</w:t>
      </w:r>
    </w:p>
    <w:p>
      <w:pPr>
        <w:pStyle w:val="3"/>
        <w:spacing w:before="0" w:after="0" w:line="360" w:lineRule="auto"/>
        <w:ind w:firstLineChars="200" w:firstLine="600"/>
        <w:jc w:val="both"/>
        <w:rPr>
          <w:rFonts w:ascii="仿宋_GB2312" w:eastAsia="仿宋_GB2312" w:hint="eastAsia"/>
          <w:sz w:val="30"/>
          <w:szCs w:val="30"/>
        </w:rPr>
      </w:pPr>
      <w:bookmarkStart w:id="30" w:name="_Toc54799930"/>
      <w:bookmarkStart w:id="31" w:name="_Toc58246154"/>
      <w:bookmarkStart w:id="32" w:name="_Toc89766383"/>
      <w:r>
        <w:rPr>
          <w:rFonts w:ascii="仿宋_GB2312" w:eastAsia="仿宋_GB2312" w:hint="eastAsia"/>
          <w:sz w:val="30"/>
          <w:szCs w:val="30"/>
        </w:rPr>
        <w:t>（2）熔炼</w:t>
      </w:r>
      <w:bookmarkEnd w:id="30"/>
      <w:bookmarkEnd w:id="31"/>
      <w:bookmarkEnd w:id="32"/>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熔炼工序是通过不同的熔炼方法，对铜精矿造锍熔炼，炼成含铜、硫、铁及贵金属的冰铜，使之与杂质炉渣分离；产出的含二氧化硫烟气经收尘后用于制造硫酸或其他硫制品，烟尘返回熔炼炉处理。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精矿富氧强化熔炼技术是目前铜火法冶炼的主流技术，包括闪速熔炼工艺和熔池熔炼工艺，其中熔池熔炼工艺又分为顶吹、底吹和侧吹工艺。该技术是在熔炼中通入富氧或工业纯氧，强化熔炼过程，充分利用精矿中铁和硫在氧化过程中放出的热量，减少燃料消耗量，在自热或接近自热的条件下进行熔炼。</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该技术可减少烟气总量，提高SO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浓度，便于制造硫酸或其他硫产品，总硫利用率显著提高，同时降低SO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排放量。</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该技术适用于铜冶炼熔炼工序。</w:t>
      </w:r>
    </w:p>
    <w:p>
      <w:pPr>
        <w:pStyle w:val="3"/>
        <w:spacing w:before="0" w:after="0" w:line="360" w:lineRule="auto"/>
        <w:ind w:firstLineChars="200" w:firstLine="600"/>
        <w:jc w:val="both"/>
        <w:rPr>
          <w:rFonts w:ascii="仿宋_GB2312" w:eastAsia="仿宋_GB2312" w:hint="eastAsia"/>
          <w:sz w:val="30"/>
          <w:szCs w:val="30"/>
        </w:rPr>
      </w:pPr>
      <w:bookmarkStart w:id="33" w:name="_Toc89766384"/>
      <w:bookmarkStart w:id="34" w:name="_Toc54799931"/>
      <w:bookmarkStart w:id="35" w:name="_Toc58246155"/>
      <w:r>
        <w:rPr>
          <w:rFonts w:ascii="仿宋_GB2312" w:eastAsia="仿宋_GB2312" w:hint="eastAsia"/>
          <w:sz w:val="30"/>
          <w:szCs w:val="30"/>
        </w:rPr>
        <w:t>（3）吹炼</w:t>
      </w:r>
      <w:bookmarkEnd w:id="33"/>
    </w:p>
    <w:p>
      <w:pPr>
        <w:autoSpaceDE/>
        <w:autoSpaceDN/>
        <w:spacing w:line="360" w:lineRule="auto"/>
        <w:ind w:firstLineChars="200" w:firstLine="600"/>
        <w:jc w:val="both"/>
        <w:rPr>
          <w:rFonts w:ascii="仿宋_GB2312" w:eastAsia="仿宋_GB2312" w:cs="Times New Roman" w:hint="eastAsia"/>
          <w:kern w:val="2"/>
          <w:sz w:val="30"/>
          <w:szCs w:val="30"/>
          <w:lang w:bidi="ar-SA"/>
        </w:rPr>
      </w:pPr>
      <w:bookmarkEnd w:id="34"/>
      <w:bookmarkEnd w:id="35"/>
      <w:r>
        <w:rPr>
          <w:rFonts w:ascii="仿宋_GB2312" w:eastAsia="仿宋_GB2312" w:cs="Times New Roman" w:hint="eastAsia"/>
          <w:kern w:val="2"/>
          <w:sz w:val="30"/>
          <w:szCs w:val="30"/>
          <w:lang w:bidi="ar-SA"/>
        </w:rPr>
        <w:t>吹炼工序是除去冰铜中的硫铁，形成含铜及贵金属的粗铜，炉 渣和烟尘返回上一工序处理。</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a.闪速吹炼工艺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闪速吹炼工艺技术是将熔炼炉产出的熔融的铜锍进行水碎，磨细干燥后在闪速炉中用富氧空气进行吹炼得到粗铜，基本原理和工艺过程同闪速熔炼，但是加入的是高品位铜锍，吹炼过程连续作业。该工艺适用于年产20万吨粗铜以上大规模工厂。闪速吹炼与闪速熔炼炉搭配使用（即：</w:t>
      </w:r>
      <w:r>
        <w:rPr>
          <w:rFonts w:ascii="仿宋_GB2312" w:eastAsia="仿宋_GB2312" w:cs="Times New Roman" w:hint="eastAsia"/>
          <w:b/>
          <w:bCs/>
          <w:kern w:val="2"/>
          <w:sz w:val="30"/>
          <w:szCs w:val="30"/>
          <w:lang w:bidi="ar-SA"/>
        </w:rPr>
        <w:t>双闪工艺）</w:t>
      </w:r>
      <w:r>
        <w:rPr>
          <w:rFonts w:ascii="仿宋_GB2312" w:eastAsia="仿宋_GB2312" w:cs="Times New Roman" w:hint="eastAsia"/>
          <w:kern w:val="2"/>
          <w:sz w:val="30"/>
          <w:szCs w:val="30"/>
          <w:lang w:bidi="ar-SA"/>
        </w:rPr>
        <w:t>，由于该工艺为连续吹炼技术，取消一般吹炼工艺用吊车吊装铜包及渣包等操作，且设备密封性能好，无烟气泄漏，冶炼烟气量少且稳定，作业环境好，硫的回收率高，烟气处理成本低。彻底解决铜冶炼行业吹炼工序低空污染问题，大大降低无组织排放造成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和含重金属烟尘污染程度。</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采用连续吹炼技术工艺有：三菱连续吹炼、闪速连续吹炼、氧气顶吹浸没喷枪连续吹炼、氧气底吹连续吹炼、侧吹连续吹炼等。</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bookmarkStart w:id="36" w:name="_Toc54799932"/>
      <w:bookmarkStart w:id="37" w:name="_Toc58246156"/>
      <w:r>
        <w:rPr>
          <w:rFonts w:ascii="仿宋_GB2312" w:eastAsia="仿宋_GB2312" w:cs="Times New Roman" w:hint="eastAsia"/>
          <w:b/>
          <w:kern w:val="2"/>
          <w:sz w:val="30"/>
          <w:szCs w:val="30"/>
          <w:lang w:bidi="ar-SA"/>
        </w:rPr>
        <w:t>b. P-S转炉吹炼</w:t>
      </w:r>
      <w:bookmarkEnd w:id="36"/>
      <w:bookmarkEnd w:id="37"/>
      <w:r>
        <w:rPr>
          <w:rFonts w:ascii="仿宋_GB2312" w:eastAsia="仿宋_GB2312" w:cs="Times New Roman" w:hint="eastAsia"/>
          <w:b/>
          <w:kern w:val="2"/>
          <w:sz w:val="30"/>
          <w:szCs w:val="30"/>
          <w:lang w:bidi="ar-SA"/>
        </w:rPr>
        <w:t>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P-S转炉吹炼是以熔炼产出的铜锍为原料，加入石英石熔剂造渣，脱去铁、硫等杂质产出粗铜的冶炼方法。P-S转炉应用范围广，无论生产规模大小，铜锍品位高低均可应用该工艺。操作经验丰富，灵活性大，适应性强；缺点是由于间断作业，是炉体密闭差，使得炉口漏风大，有害烟气外逸气严重，气量波动大，烟气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浓度相对偏低，物料进出需要运输机械及车辆装运，易造成明显的低空污染，须配套完善的环境治理措施。</w:t>
      </w:r>
      <w:bookmarkStart w:id="38" w:name="_Toc54799933"/>
      <w:bookmarkStart w:id="39" w:name="_Toc58246157"/>
      <w:bookmarkStart w:id="40" w:name="_Toc89766385"/>
    </w:p>
    <w:p>
      <w:pPr>
        <w:pStyle w:val="3"/>
        <w:spacing w:before="0" w:after="0"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（4）</w:t>
      </w:r>
      <w:bookmarkEnd w:id="38"/>
      <w:bookmarkEnd w:id="39"/>
      <w:r>
        <w:rPr>
          <w:rFonts w:ascii="仿宋_GB2312" w:eastAsia="仿宋_GB2312" w:hint="eastAsia"/>
          <w:sz w:val="30"/>
          <w:szCs w:val="30"/>
        </w:rPr>
        <w:t>阳极精炼</w:t>
      </w:r>
      <w:bookmarkEnd w:id="40"/>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hint="eastAsia"/>
          <w:sz w:val="30"/>
          <w:szCs w:val="30"/>
        </w:rPr>
        <w:t>阳极精炼</w:t>
      </w:r>
      <w:r>
        <w:rPr>
          <w:rFonts w:ascii="仿宋_GB2312" w:eastAsia="仿宋_GB2312" w:cs="Times New Roman" w:hint="eastAsia"/>
          <w:kern w:val="2"/>
          <w:sz w:val="30"/>
          <w:szCs w:val="30"/>
          <w:lang w:bidi="ar-SA"/>
        </w:rPr>
        <w:t>工序是将粗铜中氧、硫等杂质进一步去除，浇铸出符合电解需要的阳极板。包括：回转阳极炉天然气还原技术、</w:t>
      </w:r>
      <w:r>
        <w:rPr>
          <w:rFonts w:ascii="仿宋_GB2312" w:eastAsia="仿宋_GB2312" w:hint="eastAsia"/>
          <w:sz w:val="30"/>
          <w:szCs w:val="30"/>
        </w:rPr>
        <w:t>回转阳极炉固体还原剂喷吹。</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b/>
          <w:kern w:val="2"/>
          <w:sz w:val="30"/>
          <w:szCs w:val="30"/>
          <w:lang w:bidi="ar-SA"/>
        </w:rPr>
        <w:t>回转阳极炉天然气还原技术</w:t>
      </w:r>
      <w:r>
        <w:rPr>
          <w:rFonts w:ascii="仿宋_GB2312" w:eastAsia="仿宋_GB2312" w:cs="Times New Roman" w:hint="eastAsia"/>
          <w:kern w:val="2"/>
          <w:sz w:val="30"/>
          <w:szCs w:val="30"/>
          <w:lang w:bidi="ar-SA"/>
        </w:rPr>
        <w:t>：是采用天然气取代重油、柴油、液化石油气等传统还原剂，并与空气混合使用在回转阳极炉中还原粗铜生产精铜的技术。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该技术可提高还原剂的利用率，强化还原效果，缩短还原时间，减少环境污染，并显著提高阳极铜的质量。该技术适用于有天然气供应地区的铜回转阳极炉精炼系统。</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b/>
          <w:kern w:val="2"/>
          <w:sz w:val="30"/>
          <w:szCs w:val="30"/>
          <w:lang w:bidi="ar-SA"/>
        </w:rPr>
        <w:t>回转阳极炉固体还原剂喷吹技术：</w:t>
      </w:r>
      <w:r>
        <w:rPr>
          <w:rFonts w:ascii="仿宋_GB2312" w:eastAsia="仿宋_GB2312" w:cs="Times New Roman" w:hint="eastAsia"/>
          <w:kern w:val="2"/>
          <w:sz w:val="30"/>
          <w:szCs w:val="30"/>
          <w:lang w:bidi="ar-SA"/>
        </w:rPr>
        <w:t>用褐煤半焦与无烟煤以一定比例进行配比后，制成的新型固体还原剂取代重油、柴油、液化石油气等传统还原剂，喷吹于回转阳极炉中进行铜火法精炼的技术。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该技术阳极精炼炉烟气黑度低于林格曼等级Ⅰ级，逸散烟气减少；与使用重油较相比较，可降低铜阳极板的生产成本。</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该技术适用于无天然气供应地区的铜回转阳极炉精炼系统。</w:t>
      </w:r>
    </w:p>
    <w:p>
      <w:pPr>
        <w:pStyle w:val="3"/>
        <w:spacing w:before="0" w:after="0" w:line="360" w:lineRule="auto"/>
        <w:ind w:firstLineChars="200" w:firstLine="600"/>
        <w:jc w:val="both"/>
        <w:rPr>
          <w:rFonts w:ascii="仿宋_GB2312" w:eastAsia="仿宋_GB2312" w:hint="eastAsia"/>
          <w:sz w:val="30"/>
          <w:szCs w:val="30"/>
        </w:rPr>
      </w:pPr>
      <w:bookmarkStart w:id="41" w:name="_Toc54799936"/>
      <w:bookmarkStart w:id="42" w:name="_Toc58246160"/>
      <w:bookmarkStart w:id="43" w:name="_Toc89766386"/>
      <w:r>
        <w:rPr>
          <w:rFonts w:ascii="仿宋_GB2312" w:eastAsia="仿宋_GB2312" w:hint="eastAsia"/>
          <w:sz w:val="30"/>
          <w:szCs w:val="30"/>
        </w:rPr>
        <w:t>（5）电解</w:t>
      </w:r>
      <w:bookmarkEnd w:id="41"/>
      <w:bookmarkEnd w:id="42"/>
      <w:r>
        <w:rPr>
          <w:rFonts w:ascii="仿宋_GB2312" w:eastAsia="仿宋_GB2312" w:hint="eastAsia"/>
          <w:sz w:val="30"/>
          <w:szCs w:val="30"/>
        </w:rPr>
        <w:t>精炼</w:t>
      </w:r>
      <w:bookmarkEnd w:id="43"/>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电解精炼工序：其目的是除去杂质，进一步提纯，生产出符合标准的阴极铜成品，并把金银等贵金属富集在阳极泥中。</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a.常规电解精炼工艺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常规电解精炼工艺采用铜薄片（厚度0.3～0.7mm）经加工安装吊耳后制成铜始极片作为阴极，电解过程中铜离子析出于始极片上成为阴极铜。一片始极片仅能使用一个铜电解阴极周期，所以电解车间还需要配备种板槽，专门生产制作始极片用的铜薄片。种板槽所用的阳极和电解槽用的阳极一样，采用的阴极板又称母板，材质有三种：不锈钢板、钛板或轧制铜板。当铜在阴极上沉积到合适的厚度后，将其从种板槽吊出剥下即送去制作始极片，母板送回种板槽循环使用。</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b.不锈钢阴极电解精炼工艺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永久性不锈钢阴极铜电解技术是以重复使用的不锈钢阴极取代传统电解法的自制阴极生产电解铜的技术。产出的阴极铜从不锈钢阴极板上剥下，不锈钢阴极板再返回电解槽中使用。由于不锈钢阴极板平直，所以可采用高电流密度进行生产。同常规电解相比，该技术中的不锈钢阴极重复使用，省去了阴极制作系统；工艺流程简化，生产效率高，产品质量好，因此具有常规电解及周期反向电解不可比拟的优点，是先进的电解精炼工艺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该技术适用于现代大型铜冶炼企业电解精炼工艺。</w:t>
      </w:r>
    </w:p>
    <w:p>
      <w:pPr>
        <w:pStyle w:val="3"/>
        <w:spacing w:before="0" w:after="0" w:line="360" w:lineRule="auto"/>
        <w:ind w:firstLineChars="200" w:firstLine="600"/>
        <w:jc w:val="both"/>
        <w:rPr>
          <w:rFonts w:ascii="仿宋_GB2312" w:eastAsia="仿宋_GB2312" w:hint="eastAsia"/>
          <w:sz w:val="30"/>
          <w:szCs w:val="30"/>
        </w:rPr>
      </w:pPr>
      <w:bookmarkStart w:id="44" w:name="_Toc54799935"/>
      <w:bookmarkStart w:id="45" w:name="_Toc58246159"/>
      <w:bookmarkStart w:id="46" w:name="_Toc89766387"/>
      <w:r>
        <w:rPr>
          <w:rFonts w:ascii="仿宋_GB2312" w:eastAsia="仿宋_GB2312" w:hint="eastAsia"/>
          <w:sz w:val="30"/>
          <w:szCs w:val="30"/>
        </w:rPr>
        <w:t>（6）烟气余热回收利用</w:t>
      </w:r>
      <w:bookmarkEnd w:id="44"/>
      <w:bookmarkEnd w:id="45"/>
      <w:bookmarkEnd w:id="46"/>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烟气余热回收技术是火法冶炼产生的高温烟气进入除尘系统前，先利用烟气蕴含的热能进行生产的技术。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余热回收方式有：利用离炉烟气预热空气（或煤气）；使用余热锅炉或汽化冷却装置生产中、低压蒸汽和热水；利用废气循环调节炉温和改善燃烧；利用离炉烟气加热入炉冷料。</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利用余热生产的蒸汽可供生产、采暖通风、生活热水或余热发电系统使用。该技术适用于铜锍熔炼、吹炼、精炼生产过程烟气的余热利用。</w:t>
      </w:r>
    </w:p>
    <w:p>
      <w:pPr>
        <w:pStyle w:val="3"/>
        <w:spacing w:before="0" w:after="0" w:line="360" w:lineRule="auto"/>
        <w:ind w:firstLineChars="200" w:firstLine="600"/>
        <w:jc w:val="both"/>
        <w:rPr>
          <w:rFonts w:ascii="仿宋_GB2312" w:eastAsia="仿宋_GB2312" w:hint="eastAsia"/>
          <w:sz w:val="30"/>
          <w:szCs w:val="30"/>
        </w:rPr>
      </w:pPr>
      <w:r>
        <w:rPr>
          <w:rFonts w:ascii="仿宋_GB2312" w:eastAsia="仿宋_GB2312" w:hint="eastAsia"/>
          <w:sz w:val="30"/>
          <w:szCs w:val="30"/>
        </w:rPr>
        <w:t>（7）熔炼炉渣处理工艺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采用富氧熔炼后，熔炼强度大增，熔炼炉内炉渣和铜锍分离不完全，渣含有价金属较高。熔炼炉渣后续处理方法有沉降分离法和选矿法。</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a.沉降电炉工艺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沉降法是将炉渣流入沉降（或贫化）炉，炉渣在沉降炉静止状态停留一定时间，使炉渣和铜锍分离。沉降炉多数为电炉，也有用回转炉。沉降炉产铜锍和熔炼炉产铜锍合并送吹炼处理。沉降炉渣经水碎后，送渣场堆放或利用。沉降炉烟气经收尘后可达标排放。</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b.渣选矿工艺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选矿法是熔炼炉渣先进行缓冷，使渣中的硫化亚铜晶体长大。缓冷渣经破碎、磨矿、浮选，产出渣精矿，渣精矿返熔炼处理，尾矿送渣场堆存。</w:t>
      </w:r>
    </w:p>
    <w:p>
      <w:pPr>
        <w:pStyle w:val="3"/>
        <w:spacing w:before="0" w:after="0" w:line="360" w:lineRule="auto"/>
        <w:ind w:firstLineChars="200" w:firstLine="600"/>
        <w:jc w:val="both"/>
        <w:rPr>
          <w:rFonts w:ascii="仿宋_GB2312" w:eastAsia="仿宋_GB2312" w:hint="eastAsia"/>
          <w:sz w:val="30"/>
          <w:szCs w:val="30"/>
        </w:rPr>
      </w:pPr>
      <w:bookmarkStart w:id="47" w:name="_Toc89766388"/>
      <w:bookmarkStart w:id="48" w:name="_Toc54799937"/>
      <w:bookmarkStart w:id="49" w:name="_Toc58246161"/>
      <w:r>
        <w:rPr>
          <w:rFonts w:ascii="仿宋_GB2312" w:eastAsia="仿宋_GB2312" w:hint="eastAsia"/>
          <w:sz w:val="30"/>
          <w:szCs w:val="30"/>
        </w:rPr>
        <w:t>（8）阳极泥处理技术</w:t>
      </w:r>
      <w:bookmarkEnd w:id="47"/>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a.加压浸出-氧气顶吹熔炼阳极泥处理</w:t>
      </w:r>
      <w:bookmarkEnd w:id="48"/>
      <w:bookmarkEnd w:id="49"/>
      <w:r>
        <w:rPr>
          <w:rFonts w:ascii="仿宋_GB2312" w:eastAsia="仿宋_GB2312" w:cs="Times New Roman" w:hint="eastAsia"/>
          <w:b/>
          <w:kern w:val="2"/>
          <w:sz w:val="30"/>
          <w:szCs w:val="30"/>
          <w:lang w:bidi="ar-SA"/>
        </w:rPr>
        <w:t>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加压浸出-氧气顶吹熔炼阳极泥处理技术工艺流程为：阳极泥加压浸出-氧气顶吹（卡尔多）熔炼-金银合金板电解精炼得银；银电解阳极泥水溶液氯化分金-氯化液控制电位还原得金，氯化渣再经浸出、还原后得银粉送入银熔练系统。</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该技术工艺流程短，生产效率高，可减少污染物排放。该技术适用于大型铜冶炼电解精炼产生的阳极泥的处理。</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bookmarkStart w:id="50" w:name="_Toc54799938"/>
      <w:bookmarkStart w:id="51" w:name="_Toc58246162"/>
      <w:r>
        <w:rPr>
          <w:rFonts w:ascii="仿宋_GB2312" w:eastAsia="仿宋_GB2312" w:cs="Times New Roman" w:hint="eastAsia"/>
          <w:b/>
          <w:kern w:val="2"/>
          <w:sz w:val="30"/>
          <w:szCs w:val="30"/>
          <w:lang w:bidi="ar-SA"/>
        </w:rPr>
        <w:t>b.阳极泥湿法处理</w:t>
      </w:r>
      <w:bookmarkEnd w:id="50"/>
      <w:bookmarkEnd w:id="51"/>
      <w:r>
        <w:rPr>
          <w:rFonts w:ascii="仿宋_GB2312" w:eastAsia="仿宋_GB2312" w:cs="Times New Roman" w:hint="eastAsia"/>
          <w:b/>
          <w:kern w:val="2"/>
          <w:sz w:val="30"/>
          <w:szCs w:val="30"/>
          <w:lang w:bidi="ar-SA"/>
        </w:rPr>
        <w:t>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阳极泥湿法处理技术工艺流程为：硫酸化焙烧脱硒→稀硫酸浸出→浸出液铜置换银得银粉→银粉经熔炼、电解后得银；浸出渣水溶液氯化分金→氯化液控制电位还原得金，氯化渣再经浸出、还原后得银粉送入银熔练系统。</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该技术金属回收率高，无烟尘、废气产生；但对原料适应性差。该技术适用于铜冶炼电解精炼产生的阳极泥的处理。</w:t>
      </w:r>
    </w:p>
    <w:p>
      <w:pPr>
        <w:pStyle w:val="3"/>
        <w:spacing w:before="0" w:after="0" w:line="360" w:lineRule="auto"/>
        <w:ind w:firstLineChars="200" w:firstLine="600"/>
        <w:jc w:val="both"/>
        <w:rPr>
          <w:rFonts w:ascii="仿宋_GB2312" w:eastAsia="仿宋_GB2312" w:hint="eastAsia"/>
          <w:sz w:val="30"/>
          <w:szCs w:val="30"/>
        </w:rPr>
      </w:pPr>
      <w:bookmarkStart w:id="52" w:name="_Toc54799940"/>
      <w:bookmarkStart w:id="53" w:name="_Toc58246164"/>
      <w:bookmarkStart w:id="54" w:name="_Toc89766390"/>
      <w:r>
        <w:rPr>
          <w:rFonts w:ascii="仿宋_GB2312" w:eastAsia="仿宋_GB2312" w:hint="eastAsia"/>
          <w:sz w:val="30"/>
          <w:szCs w:val="30"/>
        </w:rPr>
        <w:t>（9）湿法炼铜技术</w:t>
      </w:r>
      <w:bookmarkEnd w:id="52"/>
      <w:bookmarkEnd w:id="53"/>
      <w:bookmarkEnd w:id="54"/>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湿法炼铜技术是采用浸出→萃取→电积工艺生产阴极铜。该技术适用于氧化矿和表外矿、铜矿废石、低品位硫化铜矿的冶炼。</w:t>
      </w:r>
    </w:p>
    <w:p>
      <w:pPr>
        <w:pStyle w:val="2"/>
        <w:spacing w:before="0" w:after="0" w:line="360" w:lineRule="auto"/>
        <w:jc w:val="both"/>
        <w:rPr>
          <w:rFonts w:ascii="仿宋_GB2312" w:eastAsia="仿宋_GB2312" w:hint="eastAsia"/>
        </w:rPr>
      </w:pPr>
      <w:bookmarkStart w:id="55" w:name="_Toc89766391"/>
      <w:r>
        <w:rPr>
          <w:rFonts w:ascii="仿宋_GB2312" w:eastAsia="仿宋_GB2312" w:hint="eastAsia"/>
        </w:rPr>
        <w:t>2.2污染物排放</w:t>
      </w:r>
      <w:bookmarkEnd w:id="55"/>
    </w:p>
    <w:p>
      <w:pPr>
        <w:pStyle w:val="22"/>
        <w:spacing w:before="6"/>
        <w:jc w:val="both"/>
        <w:rPr>
          <w:rFonts w:ascii="仿宋_GB2312" w:eastAsia="仿宋_GB2312" w:hint="eastAsia"/>
          <w:sz w:val="9"/>
        </w:rPr>
      </w:pP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铜冶炼过程中会产生大气、水污染和固体废物、噪声，其中大气污染、水污染和固体废物是主要环境问题。</w:t>
      </w:r>
    </w:p>
    <w:p>
      <w:pPr>
        <w:pStyle w:val="3"/>
        <w:spacing w:before="0" w:after="0" w:line="360" w:lineRule="auto"/>
        <w:jc w:val="both"/>
        <w:rPr>
          <w:rFonts w:ascii="仿宋_GB2312" w:eastAsia="仿宋_GB2312" w:hint="eastAsia"/>
          <w:sz w:val="30"/>
          <w:szCs w:val="30"/>
        </w:rPr>
      </w:pPr>
      <w:bookmarkStart w:id="56" w:name="_Toc89766392"/>
      <w:r>
        <w:rPr>
          <w:rFonts w:ascii="仿宋_GB2312" w:eastAsia="仿宋_GB2312" w:hint="eastAsia"/>
          <w:sz w:val="30"/>
          <w:szCs w:val="30"/>
        </w:rPr>
        <w:t>2.2.1大气污染</w:t>
      </w:r>
      <w:bookmarkEnd w:id="56"/>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火法炼铜过程中产生的大气污染物主要为颗粒物、SO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、NO</w:t>
      </w:r>
      <w:r>
        <w:rPr>
          <w:rFonts w:ascii="仿宋_GB2312" w:eastAsia="仿宋_GB2312" w:cs="Times New Roman" w:hint="eastAsia"/>
          <w:kern w:val="2"/>
          <w:sz w:val="30"/>
          <w:szCs w:val="30"/>
          <w:vertAlign w:val="subscript"/>
          <w:lang w:bidi="ar-SA"/>
        </w:rPr>
        <w:t>X</w:t>
      </w:r>
      <w:r>
        <w:rPr>
          <w:rFonts w:ascii="仿宋_GB2312" w:eastAsia="仿宋_GB2312" w:cs="Times New Roman" w:hint="eastAsia"/>
          <w:kern w:val="2"/>
          <w:sz w:val="30"/>
          <w:szCs w:val="30"/>
          <w:lang w:bidi="ar-SA"/>
        </w:rPr>
        <w:t>、铅及其化合物、砷及其化合物、汞及其化合物、硫酸雾、氟化物。铜冶炼过程中主要大气污染物及来源见表1。</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表1  铜冶炼大气污染物及来源</w:t>
      </w:r>
    </w:p>
    <w:tbl>
      <w:tblPr>
        <w:jc w:val="left"/>
        <w:tblInd w:w="157" w:type="dxa"/>
        <w:tblW w:w="921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0" w:type="dxa"/>
          <w:left w:w="108" w:type="dxa"/>
          <w:bottom w:w="0" w:type="dxa"/>
          <w:right w:w="108" w:type="dxa"/>
        </w:tblCellMar>
      </w:tblPr>
      <w:tblGrid>
        <w:gridCol w:w="1276"/>
        <w:gridCol w:w="283"/>
        <w:gridCol w:w="3261"/>
        <w:gridCol w:w="4394"/>
      </w:tblGrid>
      <w:tr>
        <w:trPr>
          <w:trHeight w:val="462"/>
        </w:trPr>
        <w:tc>
          <w:tcPr>
            <w:tcW w:w="9214" w:type="dxa"/>
            <w:gridSpan w:val="4"/>
            <w:vAlign w:val="center"/>
          </w:tcPr>
          <w:p>
            <w:pPr>
              <w:autoSpaceDE/>
              <w:autoSpaceDN/>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火法炼铜</w:t>
            </w:r>
          </w:p>
        </w:tc>
      </w:tr>
      <w:tr>
        <w:trPr>
          <w:trHeight w:val="403"/>
        </w:trPr>
        <w:tc>
          <w:tcPr>
            <w:tcW w:w="1276" w:type="dxa"/>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工序</w:t>
            </w:r>
          </w:p>
        </w:tc>
        <w:tc>
          <w:tcPr>
            <w:tcW w:w="3544" w:type="dxa"/>
            <w:gridSpan w:val="2"/>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产排污环节</w:t>
            </w:r>
          </w:p>
        </w:tc>
        <w:tc>
          <w:tcPr>
            <w:tcW w:w="4394" w:type="dxa"/>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主要污染物</w:t>
            </w:r>
          </w:p>
        </w:tc>
      </w:tr>
      <w:tr>
        <w:trPr>
          <w:trHeight w:val="342"/>
        </w:trPr>
        <w:tc>
          <w:tcPr>
            <w:tcW w:w="1276" w:type="dxa"/>
            <w:vMerge w:val="restart"/>
            <w:vAlign w:val="center"/>
          </w:tcPr>
          <w:p>
            <w:pPr>
              <w:autoSpaceDE/>
              <w:autoSpaceDN/>
              <w:jc w:val="center"/>
              <w:rPr>
                <w:rFonts w:ascii="Times New Roman" w:eastAsia="仿宋_GB2312" w:cs="Times New Roman" w:hAnsi="Times New Roman"/>
                <w:kern w:val="2"/>
                <w:sz w:val="21"/>
                <w:szCs w:val="21"/>
                <w:lang w:bidi="ar-SA"/>
              </w:rPr>
            </w:pPr>
          </w:p>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原料制备</w:t>
            </w:r>
          </w:p>
        </w:tc>
        <w:tc>
          <w:tcPr>
            <w:tcW w:w="3544" w:type="dxa"/>
            <w:gridSpan w:val="2"/>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hint="eastAsia"/>
                <w:kern w:val="2"/>
                <w:sz w:val="21"/>
                <w:szCs w:val="21"/>
                <w:lang w:bidi="ar-SA"/>
              </w:rPr>
              <w:t>蒸汽</w:t>
            </w:r>
            <w:r>
              <w:rPr>
                <w:rFonts w:ascii="Times New Roman" w:eastAsia="仿宋_GB2312" w:cs="Times New Roman" w:hAnsi="Times New Roman"/>
                <w:kern w:val="2"/>
                <w:sz w:val="21"/>
                <w:szCs w:val="21"/>
                <w:lang w:bidi="ar-SA"/>
              </w:rPr>
              <w:t>干燥</w:t>
            </w:r>
          </w:p>
        </w:tc>
        <w:tc>
          <w:tcPr>
            <w:tcW w:w="4394" w:type="dxa"/>
            <w:vMerge w:val="restart"/>
            <w:vAlign w:val="center"/>
          </w:tcPr>
          <w:p>
            <w:pPr>
              <w:autoSpaceDE/>
              <w:autoSpaceDN/>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p>
        </w:tc>
      </w:tr>
      <w:tr>
        <w:trPr>
          <w:trHeight w:val="453"/>
        </w:trPr>
        <w:tc>
          <w:tcPr>
            <w:tcW w:w="1276" w:type="dxa"/>
            <w:vMerge/>
            <w:vAlign w:val="center"/>
          </w:tcPr>
          <w:p/>
        </w:tc>
        <w:tc>
          <w:tcPr>
            <w:tcW w:w="3544" w:type="dxa"/>
            <w:gridSpan w:val="2"/>
            <w:vAlign w:val="center"/>
          </w:tcPr>
          <w:p>
            <w:pPr>
              <w:pStyle w:val="25"/>
              <w:autoSpaceDE/>
              <w:autoSpaceDN/>
              <w:ind w:right="52"/>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精矿上料、精矿出料、转运</w:t>
            </w:r>
          </w:p>
        </w:tc>
        <w:tc>
          <w:tcPr>
            <w:tcW w:w="4394" w:type="dxa"/>
            <w:vMerge/>
            <w:vAlign w:val="center"/>
          </w:tcPr>
          <w:p/>
        </w:tc>
      </w:tr>
      <w:tr>
        <w:trPr>
          <w:trHeight w:val="636"/>
        </w:trPr>
        <w:tc>
          <w:tcPr>
            <w:tcW w:w="1276" w:type="dxa"/>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配料</w:t>
            </w:r>
          </w:p>
        </w:tc>
        <w:tc>
          <w:tcPr>
            <w:tcW w:w="3544" w:type="dxa"/>
            <w:gridSpan w:val="2"/>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抓斗卸料、定量给料设备、皮带运输设备转运过程中扬尘</w:t>
            </w:r>
          </w:p>
        </w:tc>
        <w:tc>
          <w:tcPr>
            <w:tcW w:w="4394" w:type="dxa"/>
            <w:vMerge/>
            <w:vAlign w:val="center"/>
          </w:tcPr>
          <w:p/>
        </w:tc>
      </w:tr>
      <w:tr>
        <w:trPr>
          <w:trHeight w:val="395"/>
        </w:trPr>
        <w:tc>
          <w:tcPr>
            <w:tcW w:w="1276" w:type="dxa"/>
            <w:vMerge w:val="restart"/>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熔炼</w:t>
            </w:r>
          </w:p>
        </w:tc>
        <w:tc>
          <w:tcPr>
            <w:tcW w:w="3544" w:type="dxa"/>
            <w:gridSpan w:val="2"/>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熔炼炉</w:t>
            </w:r>
          </w:p>
        </w:tc>
        <w:tc>
          <w:tcPr>
            <w:tcW w:w="4394" w:type="dxa"/>
            <w:vMerge w:val="restart"/>
            <w:vAlign w:val="center"/>
          </w:tcPr>
          <w:p>
            <w:pPr>
              <w:autoSpaceDE/>
              <w:autoSpaceDN/>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r>
              <w:rPr>
                <w:rFonts w:ascii="Times New Roman" w:eastAsia="仿宋_GB2312" w:cs="Times New Roman" w:hAnsi="Times New Roman"/>
                <w:kern w:val="2"/>
                <w:sz w:val="21"/>
                <w:szCs w:val="21"/>
                <w:lang w:bidi="ar-SA"/>
              </w:rPr>
              <w:t>、</w:t>
            </w:r>
            <w:r>
              <w:rPr>
                <w:rFonts w:ascii="Times New Roman" w:eastAsia="仿宋_GB2312" w:cs="Times New Roman" w:hAnsi="Times New Roman" w:hint="eastAsia"/>
                <w:kern w:val="2"/>
                <w:sz w:val="21"/>
                <w:szCs w:val="21"/>
                <w:lang w:bidi="ar-SA"/>
              </w:rPr>
              <w:t>NO</w:t>
            </w:r>
            <w:r>
              <w:rPr>
                <w:rFonts w:ascii="Times New Roman" w:eastAsia="仿宋_GB2312" w:cs="Times New Roman" w:hAnsi="Times New Roman" w:hint="eastAsia"/>
                <w:kern w:val="2"/>
                <w:sz w:val="21"/>
                <w:szCs w:val="21"/>
                <w:vertAlign w:val="subscript"/>
                <w:lang w:bidi="ar-SA"/>
              </w:rPr>
              <w:t>X</w:t>
            </w:r>
            <w:r>
              <w:rPr>
                <w:rFonts w:ascii="Times New Roman" w:eastAsia="仿宋_GB2312" w:cs="Times New Roman" w:hAnsi="Times New Roman" w:hint="eastAsia"/>
                <w:kern w:val="2"/>
                <w:sz w:val="21"/>
                <w:szCs w:val="21"/>
                <w:lang w:bidi="ar-SA"/>
              </w:rPr>
              <w:t>、铅及其化合物、砷及其化合物、汞及其化合物、</w:t>
            </w:r>
            <w:r>
              <w:rPr>
                <w:rFonts w:ascii="Times New Roman" w:eastAsia="仿宋_GB2312" w:cs="Times New Roman" w:hAnsi="Times New Roman"/>
                <w:kern w:val="2"/>
                <w:sz w:val="21"/>
                <w:szCs w:val="21"/>
                <w:lang w:bidi="ar-SA"/>
              </w:rPr>
              <w:t>硫酸雾</w:t>
            </w:r>
            <w:r>
              <w:rPr>
                <w:rFonts w:ascii="Times New Roman" w:eastAsia="仿宋_GB2312" w:cs="Times New Roman" w:hAnsi="Times New Roman" w:hint="eastAsia"/>
                <w:kern w:val="2"/>
                <w:sz w:val="21"/>
                <w:szCs w:val="21"/>
                <w:lang w:bidi="ar-SA"/>
              </w:rPr>
              <w:t>、氟化物</w:t>
            </w:r>
          </w:p>
        </w:tc>
      </w:tr>
      <w:tr>
        <w:trPr>
          <w:trHeight w:val="663"/>
        </w:trPr>
        <w:tc>
          <w:tcPr>
            <w:tcW w:w="1276" w:type="dxa"/>
            <w:vMerge/>
            <w:vAlign w:val="center"/>
          </w:tcPr>
          <w:p/>
        </w:tc>
        <w:tc>
          <w:tcPr>
            <w:tcW w:w="3544" w:type="dxa"/>
            <w:gridSpan w:val="2"/>
            <w:vAlign w:val="center"/>
          </w:tcPr>
          <w:p>
            <w:pPr>
              <w:pStyle w:val="25"/>
              <w:autoSpaceDE/>
              <w:autoSpaceDN/>
              <w:ind w:right="32"/>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加料口、锍放出口、渣放出口、喷枪孔、溜槽、包子房等处泄漏</w:t>
            </w:r>
          </w:p>
        </w:tc>
        <w:tc>
          <w:tcPr>
            <w:tcW w:w="4394" w:type="dxa"/>
            <w:vMerge/>
            <w:vAlign w:val="center"/>
          </w:tcPr>
          <w:p/>
        </w:tc>
      </w:tr>
      <w:tr>
        <w:trPr>
          <w:trHeight w:val="400"/>
        </w:trPr>
        <w:tc>
          <w:tcPr>
            <w:tcW w:w="1276" w:type="dxa"/>
            <w:vAlign w:val="center"/>
          </w:tcPr>
          <w:p>
            <w:pPr>
              <w:autoSpaceDE/>
              <w:autoSpaceDN/>
              <w:jc w:val="center"/>
              <w:rPr>
                <w:rFonts w:ascii="Times New Roman" w:eastAsia="仿宋_GB2312" w:cs="Times New Roman" w:hAnsi="Times New Roman"/>
                <w:kern w:val="2"/>
                <w:sz w:val="21"/>
                <w:szCs w:val="21"/>
                <w:lang w:bidi="ar-SA"/>
              </w:rPr>
            </w:pPr>
          </w:p>
        </w:tc>
        <w:tc>
          <w:tcPr>
            <w:tcW w:w="3544" w:type="dxa"/>
            <w:gridSpan w:val="2"/>
            <w:vMerge w:val="restart"/>
            <w:vAlign w:val="center"/>
          </w:tcPr>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吹炼炉</w:t>
            </w:r>
          </w:p>
        </w:tc>
        <w:tc>
          <w:tcPr>
            <w:tcW w:w="4394" w:type="dxa"/>
            <w:vMerge w:val="restart"/>
            <w:vAlign w:val="center"/>
          </w:tcPr>
          <w:p>
            <w:pPr>
              <w:autoSpaceDE/>
              <w:autoSpaceDN/>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r>
              <w:rPr>
                <w:rFonts w:ascii="Times New Roman" w:eastAsia="仿宋_GB2312" w:cs="Times New Roman" w:hAnsi="Times New Roman"/>
                <w:kern w:val="2"/>
                <w:sz w:val="21"/>
                <w:szCs w:val="21"/>
                <w:lang w:bidi="ar-SA"/>
              </w:rPr>
              <w:t>、</w:t>
            </w:r>
            <w:r>
              <w:rPr>
                <w:rFonts w:ascii="Times New Roman" w:eastAsia="仿宋_GB2312" w:cs="Times New Roman" w:hAnsi="Times New Roman" w:hint="eastAsia"/>
                <w:kern w:val="2"/>
                <w:sz w:val="21"/>
                <w:szCs w:val="21"/>
                <w:lang w:bidi="ar-SA"/>
              </w:rPr>
              <w:t>NO</w:t>
            </w:r>
            <w:r>
              <w:rPr>
                <w:rFonts w:ascii="Times New Roman" w:eastAsia="仿宋_GB2312" w:cs="Times New Roman" w:hAnsi="Times New Roman" w:hint="eastAsia"/>
                <w:kern w:val="2"/>
                <w:sz w:val="21"/>
                <w:szCs w:val="21"/>
                <w:vertAlign w:val="subscript"/>
                <w:lang w:bidi="ar-SA"/>
              </w:rPr>
              <w:t>X</w:t>
            </w:r>
            <w:r>
              <w:rPr>
                <w:rFonts w:ascii="Times New Roman" w:eastAsia="仿宋_GB2312" w:cs="Times New Roman" w:hAnsi="Times New Roman" w:hint="eastAsia"/>
                <w:kern w:val="2"/>
                <w:sz w:val="21"/>
                <w:szCs w:val="21"/>
                <w:lang w:bidi="ar-SA"/>
              </w:rPr>
              <w:t>、铅及其化合物、砷及其化合物、汞及其化合物、</w:t>
            </w:r>
            <w:r>
              <w:rPr>
                <w:rFonts w:ascii="Times New Roman" w:eastAsia="仿宋_GB2312" w:cs="Times New Roman" w:hAnsi="Times New Roman"/>
                <w:kern w:val="2"/>
                <w:sz w:val="21"/>
                <w:szCs w:val="21"/>
                <w:lang w:bidi="ar-SA"/>
              </w:rPr>
              <w:t>硫酸雾</w:t>
            </w:r>
            <w:r>
              <w:rPr>
                <w:rFonts w:ascii="Times New Roman" w:eastAsia="仿宋_GB2312" w:cs="Times New Roman" w:hAnsi="Times New Roman" w:hint="eastAsia"/>
                <w:kern w:val="2"/>
                <w:sz w:val="21"/>
                <w:szCs w:val="21"/>
                <w:lang w:bidi="ar-SA"/>
              </w:rPr>
              <w:t>、氟化物</w:t>
            </w:r>
          </w:p>
        </w:tc>
      </w:tr>
      <w:tr>
        <w:trPr>
          <w:trHeight w:val="241"/>
        </w:trPr>
        <w:tc>
          <w:tcPr>
            <w:tcW w:w="1276" w:type="dxa"/>
            <w:vMerge w:val="restart"/>
          </w:tcPr>
          <w:p>
            <w:pPr>
              <w:pStyle w:val="25"/>
              <w:autoSpaceDE/>
              <w:autoSpaceDN/>
              <w:ind w:right="-29" w:firstLineChars="100" w:firstLine="210"/>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吹炼</w:t>
            </w:r>
          </w:p>
        </w:tc>
        <w:tc>
          <w:tcPr>
            <w:tcW w:w="3544" w:type="dxa"/>
            <w:gridSpan w:val="2"/>
            <w:vMerge/>
          </w:tcPr>
          <w:p/>
        </w:tc>
        <w:tc>
          <w:tcPr>
            <w:tcW w:w="4394" w:type="dxa"/>
            <w:vMerge/>
          </w:tcPr>
          <w:p/>
        </w:tc>
      </w:tr>
      <w:tr>
        <w:trPr>
          <w:trHeight w:val="636"/>
        </w:trPr>
        <w:tc>
          <w:tcPr>
            <w:tcW w:w="1276" w:type="dxa"/>
            <w:vMerge/>
          </w:tcPr>
          <w:p/>
        </w:tc>
        <w:tc>
          <w:tcPr>
            <w:tcW w:w="3544"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加料口、粗铜放出口、渣放出口、喷枪孔、溜槽、包子房等处泄漏</w:t>
            </w:r>
          </w:p>
        </w:tc>
        <w:tc>
          <w:tcPr>
            <w:tcW w:w="4394" w:type="dxa"/>
            <w:vMerge/>
          </w:tcPr>
          <w:p/>
        </w:tc>
      </w:tr>
      <w:tr>
        <w:trPr>
          <w:trHeight w:val="637"/>
        </w:trPr>
        <w:tc>
          <w:tcPr>
            <w:tcW w:w="1276" w:type="dxa"/>
            <w:vMerge w:val="restart"/>
          </w:tcPr>
          <w:p>
            <w:pPr>
              <w:autoSpaceDE/>
              <w:autoSpaceDN/>
              <w:jc w:val="center"/>
              <w:rPr>
                <w:rFonts w:ascii="Times New Roman" w:eastAsia="仿宋_GB2312" w:cs="Times New Roman" w:hAnsi="Times New Roman"/>
                <w:kern w:val="2"/>
                <w:sz w:val="21"/>
                <w:szCs w:val="21"/>
                <w:lang w:bidi="ar-SA"/>
              </w:rPr>
            </w:pPr>
          </w:p>
          <w:p>
            <w:pPr>
              <w:autoSpaceDE/>
              <w:autoSpaceDN/>
              <w:jc w:val="center"/>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精炼</w:t>
            </w:r>
          </w:p>
        </w:tc>
        <w:tc>
          <w:tcPr>
            <w:tcW w:w="3544" w:type="dxa"/>
            <w:gridSpan w:val="2"/>
            <w:vAlign w:val="center"/>
          </w:tcPr>
          <w:p>
            <w:pPr>
              <w:pStyle w:val="25"/>
              <w:autoSpaceDE/>
              <w:autoSpaceDN/>
              <w:ind w:right="-29" w:firstLineChars="450" w:firstLine="945"/>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精炼炉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r>
              <w:rPr>
                <w:rFonts w:ascii="Times New Roman" w:eastAsia="仿宋_GB2312" w:cs="Times New Roman" w:hAnsi="Times New Roman"/>
                <w:kern w:val="2"/>
                <w:sz w:val="21"/>
                <w:szCs w:val="21"/>
                <w:lang w:bidi="ar-SA"/>
              </w:rPr>
              <w:t>、</w:t>
            </w:r>
            <w:r>
              <w:rPr>
                <w:rFonts w:ascii="Times New Roman" w:eastAsia="仿宋_GB2312" w:cs="Times New Roman" w:hAnsi="Times New Roman" w:hint="eastAsia"/>
                <w:kern w:val="2"/>
                <w:sz w:val="21"/>
                <w:szCs w:val="21"/>
                <w:lang w:bidi="ar-SA"/>
              </w:rPr>
              <w:t>NO</w:t>
            </w:r>
            <w:r>
              <w:rPr>
                <w:rFonts w:ascii="Times New Roman" w:eastAsia="仿宋_GB2312" w:cs="Times New Roman" w:hAnsi="Times New Roman" w:hint="eastAsia"/>
                <w:kern w:val="2"/>
                <w:sz w:val="21"/>
                <w:szCs w:val="21"/>
                <w:vertAlign w:val="subscript"/>
                <w:lang w:bidi="ar-SA"/>
              </w:rPr>
              <w:t>X</w:t>
            </w:r>
            <w:r>
              <w:rPr>
                <w:rFonts w:ascii="Times New Roman" w:eastAsia="仿宋_GB2312" w:cs="Times New Roman" w:hAnsi="Times New Roman" w:hint="eastAsia"/>
                <w:kern w:val="2"/>
                <w:sz w:val="21"/>
                <w:szCs w:val="21"/>
                <w:lang w:bidi="ar-SA"/>
              </w:rPr>
              <w:t>、铅及其化合物、砷及其化合物、汞及其化合物、</w:t>
            </w:r>
            <w:r>
              <w:rPr>
                <w:rFonts w:ascii="Times New Roman" w:eastAsia="仿宋_GB2312" w:cs="Times New Roman" w:hAnsi="Times New Roman"/>
                <w:kern w:val="2"/>
                <w:sz w:val="21"/>
                <w:szCs w:val="21"/>
                <w:lang w:bidi="ar-SA"/>
              </w:rPr>
              <w:t>硫酸雾</w:t>
            </w:r>
            <w:r>
              <w:rPr>
                <w:rFonts w:ascii="Times New Roman" w:eastAsia="仿宋_GB2312" w:cs="Times New Roman" w:hAnsi="Times New Roman" w:hint="eastAsia"/>
                <w:kern w:val="2"/>
                <w:sz w:val="21"/>
                <w:szCs w:val="21"/>
                <w:lang w:bidi="ar-SA"/>
              </w:rPr>
              <w:t>、氟化物</w:t>
            </w:r>
          </w:p>
        </w:tc>
      </w:tr>
      <w:tr>
        <w:trPr>
          <w:trHeight w:val="404"/>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加料口、出渣口</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p>
        </w:tc>
      </w:tr>
      <w:tr>
        <w:trPr>
          <w:trHeight w:val="402"/>
        </w:trPr>
        <w:tc>
          <w:tcPr>
            <w:tcW w:w="1276" w:type="dxa"/>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烟气制酸</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制酸尾气</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SO</w:t>
            </w:r>
            <w:r>
              <w:rPr>
                <w:rFonts w:ascii="Times New Roman" w:eastAsia="仿宋_GB2312" w:cs="Times New Roman" w:hAnsi="Times New Roman"/>
                <w:kern w:val="2"/>
                <w:sz w:val="21"/>
                <w:szCs w:val="21"/>
                <w:vertAlign w:val="subscript"/>
                <w:lang w:bidi="ar-SA"/>
              </w:rPr>
              <w:t>2</w:t>
            </w:r>
            <w:r>
              <w:rPr>
                <w:rFonts w:ascii="Times New Roman" w:eastAsia="仿宋_GB2312" w:cs="Times New Roman" w:hAnsi="Times New Roman"/>
                <w:kern w:val="2"/>
                <w:sz w:val="21"/>
                <w:szCs w:val="21"/>
                <w:lang w:bidi="ar-SA"/>
              </w:rPr>
              <w:t>、硫酸雾</w:t>
            </w:r>
          </w:p>
        </w:tc>
      </w:tr>
      <w:tr>
        <w:trPr>
          <w:trHeight w:val="298"/>
        </w:trPr>
        <w:tc>
          <w:tcPr>
            <w:tcW w:w="1276" w:type="dxa"/>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废酸处理</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废水处理设施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hint="eastAsia"/>
                <w:kern w:val="2"/>
                <w:sz w:val="21"/>
                <w:szCs w:val="21"/>
                <w:lang w:bidi="ar-SA"/>
              </w:rPr>
              <w:t>H</w:t>
            </w:r>
            <w:r>
              <w:rPr>
                <w:rFonts w:ascii="Times New Roman" w:eastAsia="仿宋_GB2312" w:cs="Times New Roman" w:hAnsi="Times New Roman" w:hint="eastAsia"/>
                <w:kern w:val="2"/>
                <w:sz w:val="21"/>
                <w:szCs w:val="21"/>
                <w:vertAlign w:val="subscript"/>
                <w:lang w:bidi="ar-SA"/>
              </w:rPr>
              <w:t>2</w:t>
            </w:r>
            <w:r>
              <w:rPr>
                <w:rFonts w:ascii="Times New Roman" w:eastAsia="仿宋_GB2312" w:cs="Times New Roman" w:hAnsi="Times New Roman" w:hint="eastAsia"/>
                <w:kern w:val="2"/>
                <w:sz w:val="21"/>
                <w:szCs w:val="21"/>
                <w:lang w:bidi="ar-SA"/>
              </w:rPr>
              <w:t>S</w:t>
            </w:r>
          </w:p>
        </w:tc>
      </w:tr>
      <w:tr>
        <w:trPr>
          <w:trHeight w:val="404"/>
        </w:trPr>
        <w:tc>
          <w:tcPr>
            <w:tcW w:w="1276" w:type="dxa"/>
            <w:vMerge w:val="restart"/>
          </w:tcPr>
          <w:p>
            <w:pPr>
              <w:pStyle w:val="25"/>
              <w:autoSpaceDE/>
              <w:autoSpaceDN/>
              <w:ind w:right="-29"/>
              <w:rPr>
                <w:rFonts w:ascii="Times New Roman" w:eastAsia="仿宋_GB2312" w:cs="Times New Roman" w:hAnsi="Times New Roman"/>
                <w:kern w:val="2"/>
                <w:sz w:val="21"/>
                <w:szCs w:val="21"/>
                <w:lang w:bidi="ar-SA"/>
              </w:rPr>
            </w:pPr>
          </w:p>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渣贫化</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炉窑</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p>
        </w:tc>
      </w:tr>
      <w:tr>
        <w:trPr>
          <w:trHeight w:val="318"/>
        </w:trPr>
        <w:tc>
          <w:tcPr>
            <w:tcW w:w="1276" w:type="dxa"/>
            <w:vMerge/>
          </w:tcPr>
          <w:p/>
        </w:tc>
        <w:tc>
          <w:tcPr>
            <w:tcW w:w="3544"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加料口、锍放出口、渣放出口、电极孔、溜槽、包子房等处泄漏</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p>
        </w:tc>
      </w:tr>
      <w:tr>
        <w:trPr>
          <w:trHeight w:val="404"/>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渣水碎</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颗粒物、SO</w:t>
            </w:r>
            <w:r>
              <w:rPr>
                <w:rFonts w:ascii="Times New Roman" w:eastAsia="仿宋_GB2312" w:cs="Times New Roman" w:hAnsi="Times New Roman"/>
                <w:kern w:val="2"/>
                <w:sz w:val="21"/>
                <w:szCs w:val="21"/>
                <w:vertAlign w:val="subscript"/>
                <w:lang w:bidi="ar-SA"/>
              </w:rPr>
              <w:t>2</w:t>
            </w:r>
          </w:p>
        </w:tc>
      </w:tr>
      <w:tr>
        <w:trPr>
          <w:trHeight w:val="402"/>
        </w:trPr>
        <w:tc>
          <w:tcPr>
            <w:tcW w:w="1276" w:type="dxa"/>
            <w:vMerge w:val="restart"/>
          </w:tcPr>
          <w:p>
            <w:pPr>
              <w:pStyle w:val="25"/>
              <w:autoSpaceDE/>
              <w:autoSpaceDN/>
              <w:ind w:right="-29"/>
              <w:rPr>
                <w:rFonts w:ascii="Times New Roman" w:eastAsia="仿宋_GB2312" w:cs="Times New Roman" w:hAnsi="Times New Roman"/>
                <w:kern w:val="2"/>
                <w:sz w:val="21"/>
                <w:szCs w:val="21"/>
                <w:lang w:bidi="ar-SA"/>
              </w:rPr>
            </w:pPr>
          </w:p>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渣选矿</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备料工段</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p>
        </w:tc>
      </w:tr>
      <w:tr>
        <w:trPr>
          <w:trHeight w:val="403"/>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选矿工段</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w:t>
            </w:r>
          </w:p>
        </w:tc>
      </w:tr>
      <w:tr>
        <w:trPr>
          <w:trHeight w:val="301"/>
        </w:trPr>
        <w:tc>
          <w:tcPr>
            <w:tcW w:w="1276" w:type="dxa"/>
            <w:vMerge w:val="restart"/>
            <w:vAlign w:val="center"/>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电解</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电解槽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硫酸雾</w:t>
            </w:r>
          </w:p>
        </w:tc>
      </w:tr>
      <w:tr>
        <w:trPr>
          <w:trHeight w:val="404"/>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电解液循环槽等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硫酸雾</w:t>
            </w:r>
          </w:p>
        </w:tc>
      </w:tr>
      <w:tr>
        <w:trPr>
          <w:trHeight w:val="402"/>
        </w:trPr>
        <w:tc>
          <w:tcPr>
            <w:tcW w:w="1276" w:type="dxa"/>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电积</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电积槽及其他槽罐</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硫酸雾</w:t>
            </w:r>
          </w:p>
        </w:tc>
      </w:tr>
      <w:tr>
        <w:trPr>
          <w:trHeight w:val="402"/>
        </w:trPr>
        <w:tc>
          <w:tcPr>
            <w:tcW w:w="1276" w:type="dxa"/>
            <w:vMerge w:val="restart"/>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净液</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真空蒸发器</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硫酸雾</w:t>
            </w:r>
          </w:p>
        </w:tc>
      </w:tr>
      <w:tr>
        <w:trPr>
          <w:trHeight w:val="346"/>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脱铜电积槽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硫酸雾</w:t>
            </w:r>
          </w:p>
        </w:tc>
      </w:tr>
      <w:tr>
        <w:trPr>
          <w:trHeight w:val="402"/>
        </w:trPr>
        <w:tc>
          <w:tcPr>
            <w:tcW w:w="1276" w:type="dxa"/>
            <w:vMerge w:val="restart"/>
            <w:vAlign w:val="center"/>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阳极泥处理</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回转窑</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290"/>
        </w:trPr>
        <w:tc>
          <w:tcPr>
            <w:tcW w:w="1276" w:type="dxa"/>
            <w:vMerge/>
          </w:tcPr>
          <w:p/>
        </w:tc>
        <w:tc>
          <w:tcPr>
            <w:tcW w:w="3544"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回转窑上料、出料系统</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261"/>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硒吸收塔</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SO</w:t>
            </w:r>
            <w:r>
              <w:rPr>
                <w:rFonts w:ascii="Times New Roman" w:eastAsia="仿宋_GB2312" w:cs="Times New Roman" w:hAnsi="Times New Roman"/>
                <w:kern w:val="2"/>
                <w:sz w:val="21"/>
                <w:szCs w:val="21"/>
                <w:vertAlign w:val="subscript"/>
                <w:lang w:bidi="ar-SA"/>
              </w:rPr>
              <w:t>2</w:t>
            </w:r>
          </w:p>
        </w:tc>
      </w:tr>
      <w:tr>
        <w:trPr>
          <w:trHeight w:val="234"/>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卡尔多炉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284"/>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贵铅炉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335"/>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分银炉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416"/>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中频炉</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r>
              <w:rPr>
                <w:rFonts w:ascii="Times New Roman" w:eastAsia="仿宋_GB2312" w:cs="Times New Roman" w:hAnsi="Times New Roman" w:hint="eastAsia"/>
                <w:kern w:val="2"/>
                <w:sz w:val="21"/>
                <w:szCs w:val="21"/>
                <w:lang w:bidi="ar-SA"/>
              </w:rPr>
              <w:t>、铅及其化合物、砷及其化合物</w:t>
            </w:r>
          </w:p>
        </w:tc>
      </w:tr>
      <w:tr>
        <w:trPr>
          <w:trHeight w:val="279"/>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反应槽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w:t>
            </w:r>
          </w:p>
        </w:tc>
      </w:tr>
      <w:tr>
        <w:trPr>
          <w:trHeight w:val="296"/>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水溶液氯化槽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微量Cl</w:t>
            </w:r>
            <w:r>
              <w:rPr>
                <w:rFonts w:ascii="Times New Roman" w:eastAsia="仿宋_GB2312" w:cs="Times New Roman" w:hAnsi="Times New Roman"/>
                <w:kern w:val="2"/>
                <w:sz w:val="21"/>
                <w:szCs w:val="21"/>
                <w:vertAlign w:val="subscript"/>
                <w:lang w:bidi="ar-SA"/>
              </w:rPr>
              <w:t>2</w:t>
            </w:r>
          </w:p>
        </w:tc>
      </w:tr>
      <w:tr>
        <w:trPr>
          <w:trHeight w:val="223"/>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银电解造液槽</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NOx</w:t>
            </w:r>
          </w:p>
        </w:tc>
      </w:tr>
      <w:tr>
        <w:trPr>
          <w:trHeight w:val="403"/>
        </w:trPr>
        <w:tc>
          <w:tcPr>
            <w:tcW w:w="1276" w:type="dxa"/>
            <w:vMerge/>
          </w:tcP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银电解槽、干燥器</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HNO</w:t>
            </w:r>
            <w:r>
              <w:rPr>
                <w:rFonts w:ascii="Times New Roman" w:eastAsia="仿宋_GB2312" w:cs="Times New Roman" w:hAnsi="Times New Roman"/>
                <w:kern w:val="2"/>
                <w:sz w:val="21"/>
                <w:szCs w:val="21"/>
                <w:vertAlign w:val="subscript"/>
                <w:lang w:bidi="ar-SA"/>
              </w:rPr>
              <w:t>3</w:t>
            </w:r>
            <w:r>
              <w:rPr>
                <w:rFonts w:ascii="Times New Roman" w:eastAsia="仿宋_GB2312" w:cs="Times New Roman" w:hAnsi="Times New Roman"/>
                <w:kern w:val="2"/>
                <w:sz w:val="21"/>
                <w:szCs w:val="21"/>
                <w:lang w:bidi="ar-SA"/>
              </w:rPr>
              <w:t>、NOx</w:t>
            </w:r>
          </w:p>
        </w:tc>
      </w:tr>
      <w:tr>
        <w:trPr>
          <w:trHeight w:val="403"/>
        </w:trPr>
        <w:tc>
          <w:tcPr>
            <w:tcW w:w="1276" w:type="dxa"/>
            <w:vAlign w:val="center"/>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锅炉</w:t>
            </w:r>
          </w:p>
        </w:tc>
        <w:tc>
          <w:tcPr>
            <w:tcW w:w="3544" w:type="dxa"/>
            <w:gridSpan w:val="2"/>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供热</w:t>
            </w:r>
          </w:p>
        </w:tc>
        <w:tc>
          <w:tcPr>
            <w:tcW w:w="4394" w:type="dxa"/>
          </w:tcPr>
          <w:p>
            <w:pPr>
              <w:pStyle w:val="25"/>
              <w:autoSpaceDE/>
              <w:autoSpaceDN/>
              <w:ind w:right="-29"/>
              <w:jc w:val="left"/>
              <w:rPr>
                <w:rFonts w:ascii="Times New Roman" w:eastAsia="仿宋_GB2312" w:cs="Times New Roman" w:hAnsi="Times New Roman"/>
                <w:kern w:val="2"/>
                <w:sz w:val="21"/>
                <w:szCs w:val="21"/>
                <w:lang w:bidi="ar-SA"/>
              </w:rPr>
            </w:pPr>
            <w:r>
              <w:rPr>
                <w:rFonts w:ascii="Times New Roman" w:eastAsia="仿宋_GB2312" w:cs="Times New Roman" w:hAnsi="Times New Roman" w:hint="eastAsia"/>
                <w:kern w:val="2"/>
                <w:sz w:val="21"/>
                <w:szCs w:val="21"/>
                <w:lang w:bidi="ar-SA"/>
              </w:rPr>
              <w:t>颗粒物、二氧化硫、氮氧化物</w:t>
            </w:r>
            <w:r>
              <w:rPr>
                <w:rFonts w:ascii="Times New Roman" w:eastAsia="仿宋_GB2312" w:cs="Times New Roman" w:hAnsi="Times New Roman"/>
                <w:kern w:val="2"/>
                <w:sz w:val="21"/>
                <w:szCs w:val="21"/>
                <w:lang w:bidi="ar-SA"/>
              </w:rPr>
              <w:t>、烟气黑度（林格曼黑度</w:t>
            </w:r>
            <w:r>
              <w:rPr>
                <w:rFonts w:ascii="Times New Roman" w:eastAsia="仿宋_GB2312" w:cs="Times New Roman" w:hAnsi="Times New Roman" w:hint="eastAsia"/>
                <w:kern w:val="2"/>
                <w:sz w:val="21"/>
                <w:szCs w:val="21"/>
                <w:lang w:bidi="ar-SA"/>
              </w:rPr>
              <w:t>）</w:t>
            </w:r>
          </w:p>
        </w:tc>
      </w:tr>
      <w:tr>
        <w:trPr>
          <w:trHeight w:val="233"/>
        </w:trPr>
        <w:tc>
          <w:tcPr>
            <w:tcW w:w="9214" w:type="dxa"/>
            <w:gridSpan w:val="4"/>
          </w:tcPr>
          <w:p>
            <w:pPr>
              <w:pStyle w:val="25"/>
              <w:autoSpaceDE/>
              <w:autoSpaceDN/>
              <w:ind w:left="924"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湿法炼铜</w:t>
            </w:r>
          </w:p>
        </w:tc>
      </w:tr>
      <w:tr>
        <w:trPr>
          <w:trHeight w:val="233"/>
        </w:trPr>
        <w:tc>
          <w:tcPr>
            <w:tcW w:w="1559"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工序</w:t>
            </w: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污染源</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主要污染物</w:t>
            </w:r>
          </w:p>
        </w:tc>
      </w:tr>
      <w:tr>
        <w:trPr>
          <w:trHeight w:val="233"/>
        </w:trPr>
        <w:tc>
          <w:tcPr>
            <w:tcW w:w="1559"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备料</w:t>
            </w: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破碎机等</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颗粒物</w:t>
            </w:r>
          </w:p>
        </w:tc>
      </w:tr>
      <w:tr>
        <w:trPr>
          <w:trHeight w:val="233"/>
        </w:trPr>
        <w:tc>
          <w:tcPr>
            <w:tcW w:w="1559" w:type="dxa"/>
            <w:gridSpan w:val="2"/>
            <w:vMerge w:val="restart"/>
            <w:vAlign w:val="center"/>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浸出</w:t>
            </w: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搅拌浸出槽等</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w:t>
            </w:r>
          </w:p>
        </w:tc>
      </w:tr>
      <w:tr>
        <w:trPr>
          <w:trHeight w:val="233"/>
        </w:trPr>
        <w:tc>
          <w:tcPr>
            <w:tcW w:w="1559" w:type="dxa"/>
            <w:gridSpan w:val="2"/>
            <w:vMerge/>
          </w:tcP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堆浸</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w:t>
            </w:r>
          </w:p>
        </w:tc>
      </w:tr>
      <w:tr>
        <w:trPr>
          <w:trHeight w:val="233"/>
        </w:trPr>
        <w:tc>
          <w:tcPr>
            <w:tcW w:w="1559"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萃取</w:t>
            </w: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萃取槽等</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酸雾、萃取剂、溶剂油</w:t>
            </w:r>
          </w:p>
        </w:tc>
      </w:tr>
      <w:tr>
        <w:trPr>
          <w:trHeight w:val="233"/>
        </w:trPr>
        <w:tc>
          <w:tcPr>
            <w:tcW w:w="1559" w:type="dxa"/>
            <w:gridSpan w:val="2"/>
          </w:tcPr>
          <w:p>
            <w:pPr>
              <w:pStyle w:val="25"/>
              <w:autoSpaceDE/>
              <w:autoSpaceDN/>
              <w:ind w:right="-29"/>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电积</w:t>
            </w:r>
          </w:p>
        </w:tc>
        <w:tc>
          <w:tcPr>
            <w:tcW w:w="3261" w:type="dxa"/>
          </w:tcPr>
          <w:p>
            <w:pPr>
              <w:pStyle w:val="25"/>
              <w:autoSpaceDE/>
              <w:autoSpaceDN/>
              <w:ind w:left="924"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电积槽</w:t>
            </w:r>
          </w:p>
        </w:tc>
        <w:tc>
          <w:tcPr>
            <w:tcW w:w="4394" w:type="dxa"/>
          </w:tcPr>
          <w:p>
            <w:pPr>
              <w:pStyle w:val="25"/>
              <w:autoSpaceDE/>
              <w:autoSpaceDN/>
              <w:ind w:right="-29"/>
              <w:jc w:val="both"/>
              <w:rPr>
                <w:rFonts w:ascii="Times New Roman" w:eastAsia="仿宋_GB2312" w:cs="Times New Roman" w:hAnsi="Times New Roman"/>
                <w:kern w:val="2"/>
                <w:sz w:val="21"/>
                <w:szCs w:val="21"/>
                <w:lang w:bidi="ar-SA"/>
              </w:rPr>
            </w:pPr>
            <w:r>
              <w:rPr>
                <w:rFonts w:ascii="Times New Roman" w:eastAsia="仿宋_GB2312" w:cs="Times New Roman" w:hAnsi="Times New Roman"/>
                <w:kern w:val="2"/>
                <w:sz w:val="21"/>
                <w:szCs w:val="21"/>
                <w:lang w:bidi="ar-SA"/>
              </w:rPr>
              <w:t>酸雾</w:t>
            </w:r>
          </w:p>
        </w:tc>
      </w:tr>
    </w:tbl>
    <w:p>
      <w:pPr>
        <w:jc w:val="both"/>
        <w:rPr>
          <w:sz w:val="21"/>
          <w:szCs w:val="21"/>
        </w:rPr>
      </w:pPr>
    </w:p>
    <w:p>
      <w:pPr>
        <w:jc w:val="both"/>
        <w:rPr>
          <w:rFonts w:ascii="仿宋_GB2312" w:eastAsia="仿宋_GB2312" w:hint="eastAsia"/>
          <w:sz w:val="18"/>
        </w:rPr>
      </w:pPr>
    </w:p>
    <w:p>
      <w:pPr>
        <w:pStyle w:val="3"/>
        <w:spacing w:before="0" w:after="0" w:line="360" w:lineRule="auto"/>
        <w:jc w:val="both"/>
        <w:rPr>
          <w:rFonts w:ascii="仿宋_GB2312" w:eastAsia="仿宋_GB2312" w:hint="eastAsia"/>
          <w:sz w:val="30"/>
          <w:szCs w:val="30"/>
        </w:rPr>
      </w:pPr>
      <w:bookmarkStart w:id="57" w:name="_Toc89766393"/>
      <w:r>
        <w:rPr>
          <w:rFonts w:ascii="仿宋_GB2312" w:eastAsia="仿宋_GB2312" w:hint="eastAsia"/>
          <w:sz w:val="30"/>
          <w:szCs w:val="30"/>
        </w:rPr>
        <w:t>2.2.2水污染</w:t>
      </w:r>
      <w:bookmarkEnd w:id="57"/>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火法炼</w:t>
      </w:r>
      <w:r>
        <w:rPr>
          <w:rFonts w:ascii="仿宋_GB2312" w:eastAsia="仿宋_GB2312" w:cs="Times New Roman" w:hint="eastAsia"/>
          <w:kern w:val="2"/>
          <w:sz w:val="30"/>
          <w:szCs w:val="30"/>
          <w:lang w:bidi="ar-SA"/>
        </w:rPr>
        <w:t>铜</w:t>
      </w:r>
      <w:r>
        <w:rPr>
          <w:rFonts w:ascii="Times New Roman" w:eastAsia="仿宋_GB2312" w:cs="Times New Roman" w:hAnsi="Times New Roman"/>
          <w:kern w:val="2"/>
          <w:sz w:val="30"/>
          <w:szCs w:val="30"/>
          <w:lang w:bidi="ar-SA"/>
        </w:rPr>
        <w:t>生产废水主要为污酸、酸性废水和一般生产废水等。</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（1）</w:t>
      </w:r>
      <w:r>
        <w:rPr>
          <w:rFonts w:ascii="Times New Roman" w:eastAsia="仿宋_GB2312" w:cs="Times New Roman" w:hAnsi="Times New Roman"/>
          <w:kern w:val="2"/>
          <w:sz w:val="30"/>
          <w:szCs w:val="30"/>
          <w:lang w:bidi="ar-SA"/>
        </w:rPr>
        <w:t>污酸主要来源于铜冶炼烟气制酸过程中净化工序，主要污染物为稀硫酸、重金属、氟和悬浮物等。</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（2）</w:t>
      </w:r>
      <w:r>
        <w:rPr>
          <w:rFonts w:ascii="Times New Roman" w:eastAsia="仿宋_GB2312" w:cs="Times New Roman" w:hAnsi="Times New Roman"/>
          <w:kern w:val="2"/>
          <w:sz w:val="30"/>
          <w:szCs w:val="30"/>
          <w:lang w:bidi="ar-SA"/>
        </w:rPr>
        <w:t>酸性废水主要来源于污酸处理后产生的废液、烟气制酸系统排出的电除雾器冲洗水、脱硫废水、制酸区地面冲洗水、湿法车间工艺排水、酸雾净化排水、污染地面冲洗水、实验室废水、危险废物</w:t>
      </w:r>
      <w:r>
        <w:rPr>
          <w:rFonts w:ascii="Times New Roman" w:eastAsia="仿宋_GB2312" w:cs="Times New Roman" w:hAnsi="Times New Roman" w:hint="eastAsia"/>
          <w:kern w:val="2"/>
          <w:sz w:val="30"/>
          <w:szCs w:val="30"/>
          <w:lang w:bidi="ar-SA"/>
        </w:rPr>
        <w:t>贮存</w:t>
      </w:r>
      <w:r>
        <w:rPr>
          <w:rFonts w:ascii="Times New Roman" w:eastAsia="仿宋_GB2312" w:cs="Times New Roman" w:hAnsi="Times New Roman"/>
          <w:kern w:val="2"/>
          <w:sz w:val="30"/>
          <w:szCs w:val="30"/>
          <w:lang w:bidi="ar-SA"/>
        </w:rPr>
        <w:t>场所渗滤液、萃余液等，主要污染物为重金属、氟、酸、悬浮物等。</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（3）</w:t>
      </w:r>
      <w:r>
        <w:rPr>
          <w:rFonts w:ascii="Times New Roman" w:eastAsia="仿宋_GB2312" w:cs="Times New Roman" w:hAnsi="Times New Roman"/>
          <w:kern w:val="2"/>
          <w:sz w:val="30"/>
          <w:szCs w:val="30"/>
          <w:lang w:bidi="ar-SA"/>
        </w:rPr>
        <w:t>一般生产废水指污酸和酸性废水之外，生产过程中排出的其他废水。主要包括锅炉排出的污水，除盐水站和软水站排出的浓盐水，间冷循环冷却水系统的排污水，一般工业固体废物贮存、处置场渗滤液，公辅及配套设施排出的含悬浮物、油等污染物的废水。</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（4）</w:t>
      </w:r>
      <w:r>
        <w:rPr>
          <w:rFonts w:ascii="Times New Roman" w:eastAsia="仿宋_GB2312" w:cs="Times New Roman" w:hAnsi="Times New Roman"/>
          <w:kern w:val="2"/>
          <w:sz w:val="30"/>
          <w:szCs w:val="30"/>
          <w:lang w:bidi="ar-SA"/>
        </w:rPr>
        <w:t>初期雨水主要指铜冶炼过程中富集在厂区地面、屋顶、设备表面的颗粒物和跑、冒、滴、漏的污染物随雨水形成的初期径流。</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火法炼铜过程中主要水污染物及来源见表2。污酸和酸性废水主要污染物成分及浓度见表</w:t>
      </w:r>
      <w:r>
        <w:rPr>
          <w:rFonts w:ascii="Times New Roman" w:eastAsia="仿宋_GB2312" w:cs="Times New Roman" w:hAnsi="Times New Roman" w:hint="eastAsia"/>
          <w:kern w:val="2"/>
          <w:sz w:val="30"/>
          <w:szCs w:val="30"/>
          <w:lang w:bidi="ar-SA"/>
        </w:rPr>
        <w:t>3、表4。</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 xml:space="preserve">表2  </w:t>
      </w:r>
      <w:r>
        <w:rPr>
          <w:rFonts w:ascii="仿宋_GB2312" w:eastAsia="仿宋_GB2312" w:cs="Times New Roman" w:hint="eastAsia"/>
          <w:b/>
          <w:sz w:val="28"/>
          <w:szCs w:val="28"/>
          <w:lang w:bidi="ar-SA"/>
        </w:rPr>
        <w:t>火法炼铜</w:t>
      </w:r>
      <w:r>
        <w:rPr>
          <w:rFonts w:ascii="仿宋_GB2312" w:eastAsia="仿宋_GB2312" w:hint="eastAsia"/>
          <w:b/>
          <w:sz w:val="28"/>
          <w:szCs w:val="28"/>
        </w:rPr>
        <w:t>过程中水污染物及来源</w:t>
      </w:r>
    </w:p>
    <w:p>
      <w:pPr>
        <w:pStyle w:val="22"/>
        <w:spacing w:before="10" w:after="1"/>
        <w:jc w:val="both"/>
        <w:rPr>
          <w:rFonts w:ascii="黑体" w:hAnsi="黑体"/>
          <w:sz w:val="14"/>
        </w:rPr>
      </w:pPr>
    </w:p>
    <w:tbl>
      <w:tblPr>
        <w:jc w:val="left"/>
        <w:tblInd w:w="-340" w:type="dxa"/>
        <w:tblW w:w="9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2198"/>
        <w:gridCol w:w="2410"/>
        <w:gridCol w:w="2835"/>
        <w:gridCol w:w="2347"/>
      </w:tblGrid>
      <w:tr>
        <w:trPr>
          <w:trHeight w:val="397"/>
        </w:trPr>
        <w:tc>
          <w:tcPr>
            <w:tcW w:w="9790" w:type="dxa"/>
            <w:gridSpan w:val="4"/>
            <w:tcBorders>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火法炼铜</w:t>
            </w:r>
          </w:p>
        </w:tc>
      </w:tr>
      <w:tr>
        <w:trPr>
          <w:trHeight w:val="397"/>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废水种类</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排水来源</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主要污染物</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备注</w:t>
            </w:r>
          </w:p>
        </w:tc>
      </w:tr>
      <w:tr>
        <w:trPr>
          <w:trHeight w:val="510"/>
        </w:trPr>
        <w:tc>
          <w:tcPr>
            <w:tcW w:w="2198" w:type="dxa"/>
            <w:vMerge w:val="restart"/>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酸性污水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p>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制酸系统污酸</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pH、COD、Zn</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、Cu</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、Cd</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、Ni</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、F</w:t>
            </w:r>
            <w:r>
              <w:rPr>
                <w:rFonts w:ascii="仿宋_GB2312" w:eastAsia="仿宋_GB2312" w:cs="Times New Roman" w:hint="eastAsia"/>
                <w:kern w:val="2"/>
                <w:sz w:val="21"/>
                <w:szCs w:val="21"/>
                <w:vertAlign w:val="superscript"/>
                <w:lang w:bidi="ar-SA"/>
              </w:rPr>
              <w:t>+</w:t>
            </w:r>
            <w:r>
              <w:rPr>
                <w:rFonts w:ascii="仿宋_GB2312" w:eastAsia="仿宋_GB2312" w:cs="Times New Roman" w:hint="eastAsia"/>
                <w:kern w:val="2"/>
                <w:sz w:val="21"/>
                <w:szCs w:val="21"/>
                <w:lang w:bidi="ar-SA"/>
              </w:rPr>
              <w:t>、Hg</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进污酸处理站</w:t>
            </w:r>
          </w:p>
        </w:tc>
      </w:tr>
      <w:tr>
        <w:trPr>
          <w:trHeight w:val="575"/>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p>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制酸系统含酸污水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pH、COD、Zn</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、Cu</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、Cd</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、Ni</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、F</w:t>
            </w:r>
            <w:r>
              <w:rPr>
                <w:rFonts w:ascii="仿宋_GB2312" w:eastAsia="仿宋_GB2312" w:cs="Times New Roman" w:hint="eastAsia"/>
                <w:kern w:val="2"/>
                <w:sz w:val="21"/>
                <w:szCs w:val="21"/>
                <w:vertAlign w:val="superscript"/>
                <w:lang w:bidi="ar-SA"/>
              </w:rPr>
              <w:t>+</w:t>
            </w:r>
            <w:r>
              <w:rPr>
                <w:rFonts w:ascii="仿宋_GB2312" w:eastAsia="仿宋_GB2312" w:cs="Times New Roman" w:hint="eastAsia"/>
                <w:kern w:val="2"/>
                <w:sz w:val="21"/>
                <w:szCs w:val="21"/>
                <w:lang w:bidi="ar-SA"/>
              </w:rPr>
              <w:t>、Hg</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w:t>
            </w:r>
          </w:p>
        </w:tc>
      </w:tr>
      <w:tr>
        <w:trPr>
          <w:trHeight w:val="550"/>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硫酸场地初期雨水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pH、COD、Zn</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、Cu</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、Cd</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、Ni</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w:t>
            </w:r>
          </w:p>
        </w:tc>
      </w:tr>
      <w:tr>
        <w:trPr>
          <w:trHeight w:val="467"/>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生产厂区其他场地初期雨水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pH、COD、Zn</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、Cu</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、Cd</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、Ni</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vertAlign w:val="superscript"/>
                <w:lang w:bidi="ar-SA"/>
              </w:rPr>
              <w:t>3-</w:t>
            </w:r>
            <w:r>
              <w:rPr>
                <w:rFonts w:ascii="仿宋_GB2312" w:eastAsia="仿宋_GB2312" w:cs="Times New Roman"/>
                <w:kern w:val="2"/>
                <w:sz w:val="21"/>
                <w:szCs w:val="21"/>
                <w:vertAlign w:val="superscript"/>
                <w:lang w:bidi="ar-SA"/>
              </w:rPr>
              <w:t xml:space="preserve"> </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进污水处理站或雨水处理站</w:t>
            </w:r>
          </w:p>
        </w:tc>
      </w:tr>
      <w:tr>
        <w:trPr>
          <w:trHeight w:val="875"/>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冶金炉水套冷却水排污水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工业炉窑汽化水套或水冷水套</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冷却后循环使用，少量排污水。可经废水深度处理后回用</w:t>
            </w:r>
          </w:p>
        </w:tc>
      </w:tr>
      <w:tr>
        <w:trPr>
          <w:trHeight w:val="1458"/>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余热锅炉排污水、化学水处理车间排污水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余热锅炉房</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盐类</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锅炉排污水可用于渣缓冷淋水或用于冲渣含酸碱污水中和后可用于渣缓冷淋水或用于冲渣</w:t>
            </w:r>
          </w:p>
        </w:tc>
      </w:tr>
      <w:tr>
        <w:trPr>
          <w:trHeight w:val="583"/>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金属铸锭或产品熔铸冷却水排水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圆盘浇铸机、直线浇铸机等</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固体颗粒物</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沉淀、冷却后循环使用</w:t>
            </w:r>
          </w:p>
        </w:tc>
      </w:tr>
      <w:tr>
        <w:trPr>
          <w:trHeight w:val="397"/>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冲渣水和直接冷却水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水碎装置等</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固体颗粒物</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沉淀、冷却后循环使用</w:t>
            </w:r>
          </w:p>
        </w:tc>
      </w:tr>
      <w:tr>
        <w:trPr>
          <w:trHeight w:val="583"/>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湿式除尘</w:t>
            </w:r>
          </w:p>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循环水系统</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精矿干燥烟气湿式除尘废水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悬浮物、盐类</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沉淀、冷却后循环使用</w:t>
            </w:r>
          </w:p>
        </w:tc>
      </w:tr>
      <w:tr>
        <w:trPr>
          <w:trHeight w:val="466"/>
        </w:trPr>
        <w:tc>
          <w:tcPr>
            <w:tcW w:w="2198" w:type="dxa"/>
            <w:vMerge w:val="restart"/>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电解、净液、阳极泥湿法处理车间排水</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电解槽、极板清洗水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spacing w:val="-4"/>
                <w:kern w:val="2"/>
                <w:sz w:val="21"/>
                <w:szCs w:val="21"/>
                <w:lang w:bidi="ar-SA"/>
              </w:rPr>
              <w:t>酸性废水、COD、Cd</w:t>
            </w:r>
            <w:r>
              <w:rPr>
                <w:rFonts w:ascii="仿宋_GB2312" w:eastAsia="仿宋_GB2312" w:cs="Times New Roman" w:hint="eastAsia"/>
                <w:spacing w:val="-4"/>
                <w:kern w:val="2"/>
                <w:sz w:val="21"/>
                <w:szCs w:val="21"/>
                <w:vertAlign w:val="superscript"/>
                <w:lang w:bidi="ar-SA"/>
              </w:rPr>
              <w:t>2+</w:t>
            </w:r>
            <w:r>
              <w:rPr>
                <w:rFonts w:ascii="仿宋_GB2312" w:eastAsia="仿宋_GB2312" w:cs="Times New Roman"/>
                <w:spacing w:val="-4"/>
                <w:kern w:val="2"/>
                <w:sz w:val="21"/>
                <w:szCs w:val="21"/>
                <w:vertAlign w:val="superscript"/>
                <w:lang w:bidi="ar-SA"/>
              </w:rPr>
              <w:t xml:space="preserve"> </w:t>
            </w:r>
            <w:r>
              <w:rPr>
                <w:rFonts w:ascii="仿宋_GB2312" w:eastAsia="仿宋_GB2312" w:cs="Times New Roman" w:hint="eastAsia"/>
                <w:spacing w:val="-4"/>
                <w:kern w:val="2"/>
                <w:sz w:val="21"/>
                <w:szCs w:val="21"/>
                <w:lang w:bidi="ar-SA"/>
              </w:rPr>
              <w:t>、Co</w:t>
            </w:r>
            <w:r>
              <w:rPr>
                <w:rFonts w:ascii="仿宋_GB2312" w:eastAsia="仿宋_GB2312" w:cs="Times New Roman" w:hint="eastAsia"/>
                <w:spacing w:val="-4"/>
                <w:kern w:val="2"/>
                <w:sz w:val="21"/>
                <w:szCs w:val="21"/>
                <w:vertAlign w:val="superscript"/>
                <w:lang w:bidi="ar-SA"/>
              </w:rPr>
              <w:t>2+</w:t>
            </w:r>
            <w:r>
              <w:rPr>
                <w:rFonts w:ascii="仿宋_GB2312" w:eastAsia="仿宋_GB2312" w:cs="Times New Roman" w:hint="eastAsia"/>
                <w:spacing w:val="-4"/>
                <w:kern w:val="2"/>
                <w:sz w:val="21"/>
                <w:szCs w:val="21"/>
                <w:lang w:bidi="ar-SA"/>
              </w:rPr>
              <w:t>、</w:t>
            </w:r>
            <w:r>
              <w:rPr>
                <w:rFonts w:ascii="仿宋_GB2312" w:eastAsia="仿宋_GB2312" w:cs="Times New Roman" w:hint="eastAsia"/>
                <w:kern w:val="2"/>
                <w:sz w:val="21"/>
                <w:szCs w:val="21"/>
                <w:lang w:bidi="ar-SA"/>
              </w:rPr>
              <w:t>Cu</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 xml:space="preserve"> 、Zn</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返回电解系统</w:t>
            </w:r>
          </w:p>
        </w:tc>
      </w:tr>
      <w:tr>
        <w:trPr>
          <w:trHeight w:val="396"/>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含氯尾气吸收后的废水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COD、Cl</w:t>
            </w:r>
            <w:r>
              <w:rPr>
                <w:rFonts w:ascii="仿宋_GB2312" w:eastAsia="仿宋_GB2312" w:cs="Times New Roman" w:hint="eastAsia"/>
                <w:kern w:val="2"/>
                <w:sz w:val="21"/>
                <w:szCs w:val="21"/>
                <w:vertAlign w:val="superscript"/>
                <w:lang w:bidi="ar-SA"/>
              </w:rPr>
              <w:t>-</w:t>
            </w:r>
            <w:r>
              <w:rPr>
                <w:rFonts w:ascii="仿宋_GB2312" w:eastAsia="仿宋_GB2312" w:cs="Times New Roman" w:hint="eastAsia"/>
                <w:kern w:val="2"/>
                <w:sz w:val="21"/>
                <w:szCs w:val="21"/>
                <w:lang w:bidi="ar-SA"/>
              </w:rPr>
              <w:t>、Na</w:t>
            </w:r>
            <w:r>
              <w:rPr>
                <w:rFonts w:ascii="仿宋_GB2312" w:eastAsia="仿宋_GB2312" w:cs="Times New Roman" w:hint="eastAsia"/>
                <w:kern w:val="2"/>
                <w:sz w:val="21"/>
                <w:szCs w:val="21"/>
                <w:vertAlign w:val="superscript"/>
                <w:lang w:bidi="ar-SA"/>
              </w:rPr>
              <w:t>+</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去污酸污水处理站</w:t>
            </w:r>
          </w:p>
        </w:tc>
      </w:tr>
      <w:tr>
        <w:trPr>
          <w:trHeight w:val="396"/>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硒吸收塔溶液、洗涤粗硒的洗液</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Se</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铁屑置换后渣弃去</w:t>
            </w:r>
          </w:p>
        </w:tc>
      </w:tr>
      <w:tr>
        <w:trPr>
          <w:trHeight w:val="397"/>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真空蒸发器冷凝水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pH、COD、</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返回工艺系统</w:t>
            </w:r>
          </w:p>
        </w:tc>
      </w:tr>
      <w:tr>
        <w:trPr>
          <w:trHeight w:val="396"/>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银粉洗涤水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、Ag</w:t>
            </w:r>
            <w:r>
              <w:rPr>
                <w:rFonts w:ascii="仿宋_GB2312" w:eastAsia="仿宋_GB2312" w:cs="Times New Roman" w:hint="eastAsia"/>
                <w:kern w:val="2"/>
                <w:sz w:val="21"/>
                <w:szCs w:val="21"/>
                <w:vertAlign w:val="superscript"/>
                <w:lang w:bidi="ar-SA"/>
              </w:rPr>
              <w:t>+</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返回电解系统</w:t>
            </w:r>
          </w:p>
        </w:tc>
      </w:tr>
      <w:tr>
        <w:trPr>
          <w:trHeight w:val="396"/>
        </w:trPr>
        <w:tc>
          <w:tcPr>
            <w:tcW w:w="1985" w:type="dxa"/>
            <w:vMerge/>
            <w:tcBorders>
              <w:top w:val="nil"/>
              <w:bottom w:val="single" w:sz="6" w:space="0" w:color="000000"/>
              <w:right w:val="single" w:sz="6" w:space="0" w:color="000000"/>
              <w:tl2br w:val="nil"/>
              <w:tr2bl w:val="nil"/>
            </w:tcBorders>
            <w:vAlign w:val="center"/>
          </w:tcP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车间地面冲洗水、压滤机滤布清洗水</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spacing w:val="-2"/>
                <w:kern w:val="2"/>
                <w:sz w:val="21"/>
                <w:szCs w:val="21"/>
                <w:lang w:bidi="ar-SA"/>
              </w:rPr>
              <w:t>酸性废水、COD、Zn</w:t>
            </w:r>
            <w:r>
              <w:rPr>
                <w:rFonts w:ascii="仿宋_GB2312" w:eastAsia="仿宋_GB2312" w:cs="Times New Roman" w:hint="eastAsia"/>
                <w:spacing w:val="-2"/>
                <w:kern w:val="2"/>
                <w:sz w:val="21"/>
                <w:szCs w:val="21"/>
                <w:vertAlign w:val="superscript"/>
                <w:lang w:bidi="ar-SA"/>
              </w:rPr>
              <w:t>2+</w:t>
            </w:r>
            <w:r>
              <w:rPr>
                <w:rFonts w:ascii="仿宋_GB2312" w:eastAsia="仿宋_GB2312" w:cs="Times New Roman" w:hint="eastAsia"/>
                <w:spacing w:val="-2"/>
                <w:kern w:val="2"/>
                <w:sz w:val="21"/>
                <w:szCs w:val="21"/>
                <w:lang w:bidi="ar-SA"/>
              </w:rPr>
              <w:t>、Cu</w:t>
            </w:r>
            <w:r>
              <w:rPr>
                <w:rFonts w:ascii="仿宋_GB2312" w:eastAsia="仿宋_GB2312" w:cs="Times New Roman" w:hint="eastAsia"/>
                <w:spacing w:val="-2"/>
                <w:kern w:val="2"/>
                <w:sz w:val="21"/>
                <w:szCs w:val="21"/>
                <w:vertAlign w:val="superscript"/>
                <w:lang w:bidi="ar-SA"/>
              </w:rPr>
              <w:t>2+</w:t>
            </w:r>
            <w:r>
              <w:rPr>
                <w:rFonts w:ascii="仿宋_GB2312" w:eastAsia="仿宋_GB2312" w:cs="Times New Roman" w:hint="eastAsia"/>
                <w:spacing w:val="-2"/>
                <w:kern w:val="2"/>
                <w:sz w:val="21"/>
                <w:szCs w:val="21"/>
                <w:lang w:bidi="ar-SA"/>
              </w:rPr>
              <w:t>、</w:t>
            </w:r>
            <w:r>
              <w:rPr>
                <w:rFonts w:ascii="仿宋_GB2312" w:eastAsia="仿宋_GB2312" w:cs="Times New Roman" w:hint="eastAsia"/>
                <w:kern w:val="2"/>
                <w:sz w:val="21"/>
                <w:szCs w:val="21"/>
                <w:lang w:bidi="ar-SA"/>
              </w:rPr>
              <w:t>Pb</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、Cd</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、Ni</w:t>
            </w:r>
            <w:r>
              <w:rPr>
                <w:rFonts w:ascii="仿宋_GB2312" w:eastAsia="仿宋_GB2312" w:cs="Times New Roman" w:hint="eastAsia"/>
                <w:kern w:val="2"/>
                <w:sz w:val="21"/>
                <w:szCs w:val="21"/>
                <w:vertAlign w:val="superscript"/>
                <w:lang w:bidi="ar-SA"/>
              </w:rPr>
              <w:t>2+</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vertAlign w:val="superscript"/>
                <w:lang w:bidi="ar-SA"/>
              </w:rPr>
              <w:t>3-</w:t>
            </w:r>
            <w:r>
              <w:rPr>
                <w:rFonts w:ascii="仿宋_GB2312" w:eastAsia="仿宋_GB2312" w:cs="Times New Roman" w:hint="eastAsia"/>
                <w:kern w:val="2"/>
                <w:sz w:val="21"/>
                <w:szCs w:val="21"/>
                <w:lang w:bidi="ar-SA"/>
              </w:rPr>
              <w:t>、AsO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vertAlign w:val="superscript"/>
                <w:lang w:bidi="ar-SA"/>
              </w:rPr>
              <w:t>3-</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w:t>
            </w:r>
          </w:p>
        </w:tc>
      </w:tr>
      <w:tr>
        <w:trPr>
          <w:trHeight w:val="291"/>
        </w:trPr>
        <w:tc>
          <w:tcPr>
            <w:tcW w:w="9790" w:type="dxa"/>
            <w:gridSpan w:val="4"/>
            <w:tcBorders>
              <w:top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湿法炼铜</w:t>
            </w:r>
          </w:p>
        </w:tc>
      </w:tr>
      <w:tr>
        <w:trPr>
          <w:trHeight w:val="382"/>
        </w:trPr>
        <w:tc>
          <w:tcPr>
            <w:tcW w:w="2198" w:type="dxa"/>
            <w:tcBorders>
              <w:top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废水种类</w:t>
            </w:r>
          </w:p>
        </w:tc>
        <w:tc>
          <w:tcPr>
            <w:tcW w:w="2410"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排水来源</w:t>
            </w:r>
          </w:p>
        </w:tc>
        <w:tc>
          <w:tcPr>
            <w:tcW w:w="2835" w:type="dxa"/>
            <w:tcBorders>
              <w:top w:val="single" w:sz="6" w:space="0" w:color="000000"/>
              <w:left w:val="single" w:sz="6" w:space="0" w:color="000000"/>
              <w:bottom w:val="single" w:sz="6" w:space="0" w:color="000000"/>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主要污染物</w:t>
            </w:r>
          </w:p>
        </w:tc>
        <w:tc>
          <w:tcPr>
            <w:tcW w:w="2347" w:type="dxa"/>
            <w:tcBorders>
              <w:top w:val="single" w:sz="6" w:space="0" w:color="000000"/>
              <w:left w:val="single" w:sz="6" w:space="0" w:color="000000"/>
              <w:bottom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备注</w:t>
            </w:r>
          </w:p>
        </w:tc>
      </w:tr>
      <w:tr>
        <w:trPr>
          <w:trHeight w:val="394"/>
        </w:trPr>
        <w:tc>
          <w:tcPr>
            <w:tcW w:w="2198" w:type="dxa"/>
            <w:tcBorders>
              <w:top w:val="single" w:sz="6" w:space="0" w:color="000000"/>
              <w:bottom w:val="nil"/>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酸性污水</w:t>
            </w:r>
          </w:p>
        </w:tc>
        <w:tc>
          <w:tcPr>
            <w:tcW w:w="2410" w:type="dxa"/>
            <w:tcBorders>
              <w:top w:val="single" w:sz="6" w:space="0" w:color="000000"/>
              <w:left w:val="single" w:sz="6" w:space="0" w:color="000000"/>
              <w:bottom w:val="nil"/>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生产厂区场地雨水</w:t>
            </w:r>
          </w:p>
        </w:tc>
        <w:tc>
          <w:tcPr>
            <w:tcW w:w="2835" w:type="dxa"/>
            <w:tcBorders>
              <w:top w:val="single" w:sz="6" w:space="0" w:color="000000"/>
              <w:left w:val="single" w:sz="6" w:space="0" w:color="000000"/>
              <w:bottom w:val="nil"/>
              <w:right w:val="single" w:sz="6" w:space="0" w:color="000000"/>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spacing w:val="-2"/>
                <w:kern w:val="2"/>
                <w:sz w:val="21"/>
                <w:szCs w:val="21"/>
                <w:lang w:bidi="ar-SA"/>
              </w:rPr>
              <w:t>酸性废水、COD、Zn</w:t>
            </w:r>
            <w:r>
              <w:rPr>
                <w:rFonts w:ascii="仿宋_GB2312" w:eastAsia="仿宋_GB2312" w:cs="Times New Roman" w:hint="eastAsia"/>
                <w:spacing w:val="-2"/>
                <w:kern w:val="2"/>
                <w:sz w:val="21"/>
                <w:szCs w:val="21"/>
                <w:vertAlign w:val="superscript"/>
                <w:lang w:bidi="ar-SA"/>
              </w:rPr>
              <w:t>2+</w:t>
            </w:r>
            <w:r>
              <w:rPr>
                <w:rFonts w:ascii="仿宋_GB2312" w:eastAsia="仿宋_GB2312" w:cs="Times New Roman" w:hint="eastAsia"/>
                <w:spacing w:val="-2"/>
                <w:kern w:val="2"/>
                <w:sz w:val="21"/>
                <w:szCs w:val="21"/>
                <w:lang w:bidi="ar-SA"/>
              </w:rPr>
              <w:t>、Cu</w:t>
            </w:r>
            <w:r>
              <w:rPr>
                <w:rFonts w:ascii="仿宋_GB2312" w:eastAsia="仿宋_GB2312" w:cs="Times New Roman" w:hint="eastAsia"/>
                <w:spacing w:val="-2"/>
                <w:kern w:val="2"/>
                <w:sz w:val="21"/>
                <w:szCs w:val="21"/>
                <w:vertAlign w:val="superscript"/>
                <w:lang w:bidi="ar-SA"/>
              </w:rPr>
              <w:t>2+</w:t>
            </w:r>
            <w:r>
              <w:rPr>
                <w:rFonts w:ascii="仿宋_GB2312" w:eastAsia="仿宋_GB2312" w:cs="Times New Roman" w:hint="eastAsia"/>
                <w:spacing w:val="-2"/>
                <w:kern w:val="2"/>
                <w:sz w:val="21"/>
                <w:szCs w:val="21"/>
                <w:lang w:bidi="ar-SA"/>
              </w:rPr>
              <w:t>、</w:t>
            </w:r>
            <w:r>
              <w:rPr>
                <w:rFonts w:ascii="仿宋_GB2312" w:eastAsia="仿宋_GB2312" w:cs="Times New Roman" w:hint="eastAsia"/>
                <w:spacing w:val="-6"/>
                <w:kern w:val="2"/>
                <w:sz w:val="21"/>
                <w:szCs w:val="21"/>
                <w:lang w:bidi="ar-SA"/>
              </w:rPr>
              <w:t>Pb</w:t>
            </w:r>
            <w:r>
              <w:rPr>
                <w:rFonts w:ascii="仿宋_GB2312" w:eastAsia="仿宋_GB2312" w:cs="Times New Roman" w:hint="eastAsia"/>
                <w:spacing w:val="-6"/>
                <w:kern w:val="2"/>
                <w:sz w:val="21"/>
                <w:szCs w:val="21"/>
                <w:vertAlign w:val="superscript"/>
                <w:lang w:bidi="ar-SA"/>
              </w:rPr>
              <w:t>2+</w:t>
            </w:r>
            <w:r>
              <w:rPr>
                <w:rFonts w:ascii="仿宋_GB2312" w:eastAsia="仿宋_GB2312" w:cs="Times New Roman" w:hint="eastAsia"/>
                <w:spacing w:val="-6"/>
                <w:kern w:val="2"/>
                <w:sz w:val="21"/>
                <w:szCs w:val="21"/>
                <w:lang w:bidi="ar-SA"/>
              </w:rPr>
              <w:t>、Cd</w:t>
            </w:r>
            <w:r>
              <w:rPr>
                <w:rFonts w:ascii="仿宋_GB2312" w:eastAsia="仿宋_GB2312" w:cs="Times New Roman" w:hint="eastAsia"/>
                <w:spacing w:val="-6"/>
                <w:kern w:val="2"/>
                <w:sz w:val="21"/>
                <w:szCs w:val="21"/>
                <w:vertAlign w:val="superscript"/>
                <w:lang w:bidi="ar-SA"/>
              </w:rPr>
              <w:t>2+</w:t>
            </w:r>
            <w:r>
              <w:rPr>
                <w:rFonts w:ascii="仿宋_GB2312" w:eastAsia="仿宋_GB2312" w:cs="Times New Roman" w:hint="eastAsia"/>
                <w:spacing w:val="-6"/>
                <w:kern w:val="2"/>
                <w:sz w:val="21"/>
                <w:szCs w:val="21"/>
                <w:lang w:bidi="ar-SA"/>
              </w:rPr>
              <w:t>、Ni</w:t>
            </w:r>
            <w:r>
              <w:rPr>
                <w:rFonts w:ascii="仿宋_GB2312" w:eastAsia="仿宋_GB2312" w:cs="Times New Roman" w:hint="eastAsia"/>
                <w:spacing w:val="-6"/>
                <w:kern w:val="2"/>
                <w:sz w:val="21"/>
                <w:szCs w:val="21"/>
                <w:vertAlign w:val="superscript"/>
                <w:lang w:bidi="ar-SA"/>
              </w:rPr>
              <w:t>2+</w:t>
            </w:r>
            <w:r>
              <w:rPr>
                <w:rFonts w:ascii="仿宋_GB2312" w:eastAsia="仿宋_GB2312" w:cs="Times New Roman" w:hint="eastAsia"/>
                <w:spacing w:val="-6"/>
                <w:kern w:val="2"/>
                <w:sz w:val="21"/>
                <w:szCs w:val="21"/>
                <w:lang w:bidi="ar-SA"/>
              </w:rPr>
              <w:t>、AsO</w:t>
            </w:r>
            <w:r>
              <w:rPr>
                <w:rFonts w:ascii="仿宋_GB2312" w:eastAsia="仿宋_GB2312" w:cs="Times New Roman" w:hint="eastAsia"/>
                <w:spacing w:val="-6"/>
                <w:kern w:val="2"/>
                <w:sz w:val="21"/>
                <w:szCs w:val="21"/>
                <w:vertAlign w:val="subscript"/>
                <w:lang w:bidi="ar-SA"/>
              </w:rPr>
              <w:t>3</w:t>
            </w:r>
            <w:r>
              <w:rPr>
                <w:rFonts w:ascii="仿宋_GB2312" w:eastAsia="仿宋_GB2312" w:cs="Times New Roman" w:hint="eastAsia"/>
                <w:spacing w:val="-6"/>
                <w:kern w:val="2"/>
                <w:sz w:val="21"/>
                <w:szCs w:val="21"/>
                <w:vertAlign w:val="superscript"/>
                <w:lang w:bidi="ar-SA"/>
              </w:rPr>
              <w:t>3-</w:t>
            </w:r>
            <w:r>
              <w:rPr>
                <w:rFonts w:ascii="仿宋_GB2312" w:eastAsia="仿宋_GB2312" w:cs="Times New Roman" w:hint="eastAsia"/>
                <w:spacing w:val="-6"/>
                <w:kern w:val="2"/>
                <w:sz w:val="21"/>
                <w:szCs w:val="21"/>
                <w:lang w:bidi="ar-SA"/>
              </w:rPr>
              <w:t>、AsO</w:t>
            </w:r>
            <w:r>
              <w:rPr>
                <w:rFonts w:ascii="仿宋_GB2312" w:eastAsia="仿宋_GB2312" w:cs="Times New Roman" w:hint="eastAsia"/>
                <w:spacing w:val="-6"/>
                <w:kern w:val="2"/>
                <w:sz w:val="21"/>
                <w:szCs w:val="21"/>
                <w:vertAlign w:val="subscript"/>
                <w:lang w:bidi="ar-SA"/>
              </w:rPr>
              <w:t>4</w:t>
            </w:r>
            <w:r>
              <w:rPr>
                <w:rFonts w:ascii="仿宋_GB2312" w:eastAsia="仿宋_GB2312" w:cs="Times New Roman" w:hint="eastAsia"/>
                <w:spacing w:val="-6"/>
                <w:kern w:val="2"/>
                <w:sz w:val="21"/>
                <w:szCs w:val="21"/>
                <w:vertAlign w:val="superscript"/>
                <w:lang w:bidi="ar-SA"/>
              </w:rPr>
              <w:t>3-</w:t>
            </w:r>
            <w:r>
              <w:rPr>
                <w:rFonts w:ascii="仿宋_GB2312" w:eastAsia="仿宋_GB2312" w:cs="Times New Roman" w:hint="eastAsia"/>
                <w:spacing w:val="-6"/>
                <w:kern w:val="2"/>
                <w:sz w:val="21"/>
                <w:szCs w:val="21"/>
                <w:lang w:bidi="ar-SA"/>
              </w:rPr>
              <w:t>、</w:t>
            </w:r>
            <w:r>
              <w:rPr>
                <w:rFonts w:ascii="仿宋_GB2312" w:eastAsia="仿宋_GB2312" w:cs="Times New Roman" w:hint="eastAsia"/>
                <w:kern w:val="2"/>
                <w:sz w:val="21"/>
                <w:szCs w:val="21"/>
                <w:lang w:bidi="ar-SA"/>
              </w:rPr>
              <w:t>Co</w:t>
            </w:r>
            <w:r>
              <w:rPr>
                <w:rFonts w:ascii="仿宋_GB2312" w:eastAsia="仿宋_GB2312" w:cs="Times New Roman" w:hint="eastAsia"/>
                <w:kern w:val="2"/>
                <w:sz w:val="21"/>
                <w:szCs w:val="21"/>
                <w:vertAlign w:val="superscript"/>
                <w:lang w:bidi="ar-SA"/>
              </w:rPr>
              <w:t>2+</w:t>
            </w:r>
          </w:p>
        </w:tc>
        <w:tc>
          <w:tcPr>
            <w:tcW w:w="2347" w:type="dxa"/>
            <w:tcBorders>
              <w:top w:val="single" w:sz="6" w:space="0" w:color="000000"/>
              <w:left w:val="single" w:sz="6" w:space="0" w:color="000000"/>
              <w:bottom w:val="nil"/>
              <w:tl2br w:val="nil"/>
              <w:tr2bl w:val="nil"/>
            </w:tcBorders>
            <w:vAlign w:val="center"/>
          </w:tcPr>
          <w:p>
            <w:pPr>
              <w:pStyle w:val="25"/>
              <w:autoSpaceDE/>
              <w:autoSpaceDN/>
              <w:snapToGrid w:val="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进污水处理站或雨水处理站</w:t>
            </w:r>
          </w:p>
        </w:tc>
      </w:tr>
      <w:tr>
        <w:trPr>
          <w:trHeight w:val="105"/>
        </w:trPr>
        <w:tc>
          <w:tcPr>
            <w:tcW w:w="2198" w:type="dxa"/>
            <w:tcBorders>
              <w:top w:val="nil"/>
              <w:bottom w:val="single" w:sz="6" w:space="0" w:color="000000"/>
              <w:right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p>
        </w:tc>
        <w:tc>
          <w:tcPr>
            <w:tcW w:w="2410" w:type="dxa"/>
            <w:tcBorders>
              <w:top w:val="nil"/>
              <w:left w:val="single" w:sz="6" w:space="0" w:color="000000"/>
              <w:bottom w:val="single" w:sz="6" w:space="0" w:color="000000"/>
              <w:right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p>
        </w:tc>
        <w:tc>
          <w:tcPr>
            <w:tcW w:w="2835" w:type="dxa"/>
            <w:tcBorders>
              <w:top w:val="nil"/>
              <w:left w:val="single" w:sz="6" w:space="0" w:color="000000"/>
              <w:bottom w:val="single" w:sz="6" w:space="0" w:color="000000"/>
              <w:right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p>
        </w:tc>
        <w:tc>
          <w:tcPr>
            <w:tcW w:w="2347" w:type="dxa"/>
            <w:tcBorders>
              <w:top w:val="nil"/>
              <w:left w:val="single" w:sz="6" w:space="0" w:color="000000"/>
              <w:bottom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p>
        </w:tc>
      </w:tr>
      <w:tr>
        <w:trPr>
          <w:trHeight w:val="256"/>
        </w:trPr>
        <w:tc>
          <w:tcPr>
            <w:tcW w:w="2198" w:type="dxa"/>
            <w:tcBorders>
              <w:top w:val="single" w:sz="6" w:space="0" w:color="000000"/>
              <w:right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含萃取剂酸性废水</w:t>
            </w:r>
          </w:p>
        </w:tc>
        <w:tc>
          <w:tcPr>
            <w:tcW w:w="2410" w:type="dxa"/>
            <w:tcBorders>
              <w:top w:val="single" w:sz="6" w:space="0" w:color="000000"/>
              <w:left w:val="single" w:sz="6" w:space="0" w:color="000000"/>
              <w:right w:val="single" w:sz="6" w:space="0" w:color="000000"/>
              <w:tl2br w:val="nil"/>
              <w:tr2bl w:val="nil"/>
            </w:tcBorders>
          </w:tcPr>
          <w:p>
            <w:pPr>
              <w:pStyle w:val="25"/>
              <w:autoSpaceDE/>
              <w:autoSpaceDN/>
              <w:snapToGrid w:val="0"/>
              <w:ind w:right="-29"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萃取工序</w:t>
            </w:r>
          </w:p>
        </w:tc>
        <w:tc>
          <w:tcPr>
            <w:tcW w:w="2835" w:type="dxa"/>
            <w:tcBorders>
              <w:top w:val="single" w:sz="6" w:space="0" w:color="000000"/>
              <w:left w:val="single" w:sz="6" w:space="0" w:color="000000"/>
              <w:right w:val="single" w:sz="6" w:space="0" w:color="000000"/>
              <w:tl2br w:val="nil"/>
              <w:tr2bl w:val="nil"/>
            </w:tcBorders>
          </w:tcPr>
          <w:p>
            <w:pPr>
              <w:pStyle w:val="25"/>
              <w:autoSpaceDE/>
              <w:autoSpaceDN/>
              <w:snapToGrid w:val="0"/>
              <w:ind w:left="924" w:right="-29"/>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酸、油污</w:t>
            </w:r>
          </w:p>
        </w:tc>
        <w:tc>
          <w:tcPr>
            <w:tcW w:w="2347" w:type="dxa"/>
            <w:tcBorders>
              <w:top w:val="single" w:sz="6" w:space="0" w:color="000000"/>
              <w:left w:val="single" w:sz="6" w:space="0" w:color="000000"/>
              <w:tl2br w:val="nil"/>
              <w:tr2bl w:val="nil"/>
            </w:tcBorders>
          </w:tcPr>
          <w:p>
            <w:pPr>
              <w:pStyle w:val="25"/>
              <w:autoSpaceDE/>
              <w:autoSpaceDN/>
              <w:snapToGrid w:val="0"/>
              <w:ind w:right="-29"/>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进污水处理站</w:t>
            </w:r>
          </w:p>
        </w:tc>
      </w:tr>
    </w:tbl>
    <w:p>
      <w:pPr>
        <w:spacing w:before="59"/>
        <w:ind w:right="243"/>
        <w:jc w:val="both"/>
        <w:rPr>
          <w:rFonts w:ascii="黑体" w:eastAsia="黑体" w:hint="eastAsia"/>
          <w:sz w:val="21"/>
          <w:szCs w:val="21"/>
        </w:rPr>
      </w:pP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表3  污酸主要污染物成分及浓度</w:t>
      </w:r>
    </w:p>
    <w:p>
      <w:pPr>
        <w:spacing w:before="12"/>
        <w:jc w:val="both"/>
        <w:rPr>
          <w:rFonts w:ascii="黑体" w:hAnsi="黑体"/>
          <w:sz w:val="10"/>
          <w:szCs w:val="21"/>
        </w:rPr>
      </w:pPr>
    </w:p>
    <w:tbl>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1618"/>
        <w:gridCol w:w="1202"/>
        <w:gridCol w:w="1235"/>
        <w:gridCol w:w="1202"/>
        <w:gridCol w:w="1218"/>
        <w:gridCol w:w="1202"/>
        <w:gridCol w:w="1202"/>
      </w:tblGrid>
      <w:tr>
        <w:trPr>
          <w:trHeight w:val="319"/>
        </w:trPr>
        <w:tc>
          <w:tcPr>
            <w:tcW w:w="16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成分</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总铜</w:t>
            </w:r>
          </w:p>
        </w:tc>
        <w:tc>
          <w:tcPr>
            <w:tcW w:w="1235"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总砷</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总锌</w:t>
            </w:r>
          </w:p>
        </w:tc>
        <w:tc>
          <w:tcPr>
            <w:tcW w:w="12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总铅</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总镉</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总镍</w:t>
            </w:r>
          </w:p>
        </w:tc>
      </w:tr>
      <w:tr>
        <w:trPr>
          <w:trHeight w:val="319"/>
        </w:trPr>
        <w:tc>
          <w:tcPr>
            <w:tcW w:w="16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含量（mg/L）</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50～500</w:t>
            </w:r>
          </w:p>
        </w:tc>
        <w:tc>
          <w:tcPr>
            <w:tcW w:w="1235"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1000～15000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20～300</w:t>
            </w:r>
          </w:p>
        </w:tc>
        <w:tc>
          <w:tcPr>
            <w:tcW w:w="12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1～50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1～150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10～150</w:t>
            </w:r>
          </w:p>
        </w:tc>
      </w:tr>
      <w:tr>
        <w:trPr>
          <w:trHeight w:val="318"/>
        </w:trPr>
        <w:tc>
          <w:tcPr>
            <w:tcW w:w="16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成分</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总钴</w:t>
            </w:r>
          </w:p>
        </w:tc>
        <w:tc>
          <w:tcPr>
            <w:tcW w:w="1235"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总汞</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氟化物</w:t>
            </w:r>
          </w:p>
        </w:tc>
        <w:tc>
          <w:tcPr>
            <w:tcW w:w="12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悬浮物</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SO</w:t>
            </w:r>
            <w:r>
              <w:rPr>
                <w:rFonts w:ascii="仿宋_GB2312" w:eastAsia="仿宋_GB2312" w:cs="Times New Roman" w:hint="eastAsia"/>
                <w:kern w:val="2"/>
                <w:sz w:val="21"/>
                <w:szCs w:val="21"/>
                <w:vertAlign w:val="subscript"/>
                <w:lang w:bidi="ar-SA"/>
              </w:rPr>
              <w:t>4</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p>
        </w:tc>
      </w:tr>
      <w:tr>
        <w:trPr>
          <w:trHeight w:val="318"/>
        </w:trPr>
        <w:tc>
          <w:tcPr>
            <w:tcW w:w="16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含量（mg/L）</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1～10</w:t>
            </w:r>
          </w:p>
        </w:tc>
        <w:tc>
          <w:tcPr>
            <w:tcW w:w="1235"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0.1～10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30～1500</w:t>
            </w:r>
          </w:p>
        </w:tc>
        <w:tc>
          <w:tcPr>
            <w:tcW w:w="1218"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500～3000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1%～20%</w:t>
            </w:r>
          </w:p>
        </w:tc>
        <w:tc>
          <w:tcPr>
            <w:tcW w:w="1202"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p>
        </w:tc>
      </w:tr>
      <w:tr>
        <w:trPr>
          <w:trHeight w:val="455"/>
        </w:trPr>
        <w:tc>
          <w:tcPr>
            <w:tcW w:w="8879" w:type="dxa"/>
            <w:gridSpan w:val="7"/>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注：H</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lang w:bidi="ar-SA"/>
              </w:rPr>
              <w:t xml:space="preserve"> 浓度单位为质量百分比浓度。</w:t>
            </w:r>
          </w:p>
        </w:tc>
      </w:tr>
    </w:tbl>
    <w:p>
      <w:pPr>
        <w:pStyle w:val="25"/>
        <w:autoSpaceDE/>
        <w:autoSpaceDN/>
        <w:jc w:val="both"/>
        <w:rPr>
          <w:rFonts w:ascii="Times New Roman" w:eastAsia="仿宋_GB2312" w:cs="Times New Roman" w:hAnsi="Times New Roman"/>
          <w:kern w:val="2"/>
          <w:sz w:val="24"/>
          <w:szCs w:val="24"/>
          <w:lang w:bidi="ar-SA"/>
        </w:rPr>
      </w:pP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表4  酸性废水主要污染物成分及浓度</w:t>
      </w:r>
    </w:p>
    <w:tbl>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1617"/>
        <w:gridCol w:w="1199"/>
        <w:gridCol w:w="1199"/>
        <w:gridCol w:w="1199"/>
        <w:gridCol w:w="1199"/>
        <w:gridCol w:w="1283"/>
        <w:gridCol w:w="1183"/>
      </w:tblGrid>
      <w:tr>
        <w:trPr>
          <w:trHeight w:val="362"/>
        </w:trPr>
        <w:tc>
          <w:tcPr>
            <w:tcW w:w="1617"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成分</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总铜</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总砷</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总铅</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总锌</w:t>
            </w:r>
          </w:p>
        </w:tc>
        <w:tc>
          <w:tcPr>
            <w:tcW w:w="12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总镉</w:t>
            </w:r>
          </w:p>
        </w:tc>
        <w:tc>
          <w:tcPr>
            <w:tcW w:w="11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总镍</w:t>
            </w:r>
          </w:p>
        </w:tc>
      </w:tr>
      <w:tr>
        <w:trPr>
          <w:trHeight w:val="346"/>
        </w:trPr>
        <w:tc>
          <w:tcPr>
            <w:tcW w:w="1617"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含量（mg/L）</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10～70</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10～200</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10～20</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20～300</w:t>
            </w:r>
          </w:p>
        </w:tc>
        <w:tc>
          <w:tcPr>
            <w:tcW w:w="12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10～80</w:t>
            </w:r>
          </w:p>
        </w:tc>
        <w:tc>
          <w:tcPr>
            <w:tcW w:w="11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1～5</w:t>
            </w:r>
          </w:p>
        </w:tc>
      </w:tr>
      <w:tr>
        <w:trPr>
          <w:trHeight w:val="345"/>
        </w:trPr>
        <w:tc>
          <w:tcPr>
            <w:tcW w:w="1617"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成分</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总钴</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硫化物</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氟化物</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pH 值</w:t>
            </w:r>
          </w:p>
        </w:tc>
        <w:tc>
          <w:tcPr>
            <w:tcW w:w="12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悬浮物</w:t>
            </w:r>
          </w:p>
        </w:tc>
        <w:tc>
          <w:tcPr>
            <w:tcW w:w="11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p>
        </w:tc>
      </w:tr>
      <w:tr>
        <w:trPr>
          <w:trHeight w:val="361"/>
        </w:trPr>
        <w:tc>
          <w:tcPr>
            <w:tcW w:w="1617"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含量（mg/L）</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1～5</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1～20</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10～200</w:t>
            </w:r>
          </w:p>
        </w:tc>
        <w:tc>
          <w:tcPr>
            <w:tcW w:w="1199"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1～5</w:t>
            </w:r>
          </w:p>
        </w:tc>
        <w:tc>
          <w:tcPr>
            <w:tcW w:w="12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300-2000</w:t>
            </w:r>
          </w:p>
        </w:tc>
        <w:tc>
          <w:tcPr>
            <w:tcW w:w="1183" w:type="dxa"/>
            <w:tcBorders>
              <w:tl2br w:val="nil"/>
              <w:tr2bl w:val="nil"/>
            </w:tcBorders>
          </w:tcPr>
          <w:p>
            <w:pPr>
              <w:pStyle w:val="25"/>
              <w:autoSpaceDE/>
              <w:autoSpaceDN/>
              <w:jc w:val="both"/>
              <w:rPr>
                <w:rFonts w:ascii="仿宋_GB2312" w:eastAsia="仿宋_GB2312" w:cs="Times New Roman" w:hint="eastAsia"/>
                <w:kern w:val="2"/>
                <w:sz w:val="21"/>
                <w:szCs w:val="21"/>
                <w:lang w:bidi="ar-SA"/>
              </w:rPr>
            </w:pPr>
          </w:p>
        </w:tc>
      </w:tr>
    </w:tbl>
    <w:p>
      <w:pPr>
        <w:pStyle w:val="25"/>
        <w:autoSpaceDE/>
        <w:autoSpaceDN/>
        <w:jc w:val="both"/>
        <w:rPr>
          <w:rFonts w:ascii="Times New Roman" w:eastAsia="仿宋_GB2312" w:cs="Times New Roman" w:hAnsi="Times New Roman"/>
          <w:kern w:val="2"/>
          <w:sz w:val="24"/>
          <w:szCs w:val="24"/>
          <w:lang w:bidi="ar-SA"/>
        </w:rPr>
      </w:pPr>
    </w:p>
    <w:p>
      <w:pPr>
        <w:pStyle w:val="3"/>
        <w:spacing w:before="0" w:after="0" w:line="360" w:lineRule="auto"/>
        <w:jc w:val="both"/>
        <w:rPr>
          <w:rFonts w:ascii="仿宋_GB2312" w:eastAsia="仿宋_GB2312" w:hint="eastAsia"/>
          <w:sz w:val="30"/>
          <w:szCs w:val="30"/>
        </w:rPr>
      </w:pPr>
      <w:bookmarkStart w:id="58" w:name="_Toc89766394"/>
      <w:r>
        <w:rPr>
          <w:rFonts w:ascii="仿宋_GB2312" w:eastAsia="仿宋_GB2312" w:hint="eastAsia"/>
          <w:sz w:val="30"/>
          <w:szCs w:val="30"/>
        </w:rPr>
        <w:t>2.2.3 固体废物污染</w:t>
      </w:r>
      <w:bookmarkEnd w:id="58"/>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火法炼铜</w:t>
      </w:r>
      <w:r>
        <w:rPr>
          <w:rFonts w:ascii="Times New Roman" w:eastAsia="仿宋_GB2312" w:cs="Times New Roman" w:hAnsi="Times New Roman" w:hint="eastAsia"/>
          <w:kern w:val="2"/>
          <w:sz w:val="30"/>
          <w:szCs w:val="30"/>
          <w:lang w:bidi="ar-SA"/>
        </w:rPr>
        <w:t>产生</w:t>
      </w:r>
      <w:r>
        <w:rPr>
          <w:rFonts w:ascii="Times New Roman" w:eastAsia="仿宋_GB2312" w:cs="Times New Roman" w:hAnsi="Times New Roman"/>
          <w:kern w:val="2"/>
          <w:sz w:val="30"/>
          <w:szCs w:val="30"/>
          <w:lang w:bidi="ar-SA"/>
        </w:rPr>
        <w:t>的一般工业固体废物主要有：铜渣、渣选矿尾矿、</w:t>
      </w:r>
      <w:r>
        <w:rPr>
          <w:rFonts w:ascii="Times New Roman" w:eastAsia="仿宋_GB2312" w:cs="Times New Roman" w:hAnsi="Times New Roman" w:hint="eastAsia"/>
          <w:kern w:val="2"/>
          <w:sz w:val="30"/>
          <w:szCs w:val="30"/>
          <w:lang w:bidi="ar-SA"/>
        </w:rPr>
        <w:t>石膏渣、</w:t>
      </w:r>
      <w:r>
        <w:rPr>
          <w:rFonts w:ascii="Times New Roman" w:eastAsia="仿宋_GB2312" w:cs="Times New Roman" w:hAnsi="Times New Roman"/>
          <w:kern w:val="2"/>
          <w:sz w:val="30"/>
          <w:szCs w:val="30"/>
          <w:lang w:bidi="ar-SA"/>
        </w:rPr>
        <w:t>污水处理</w:t>
      </w:r>
      <w:r>
        <w:rPr>
          <w:rFonts w:ascii="Times New Roman" w:eastAsia="仿宋_GB2312" w:cs="Times New Roman" w:hAnsi="Times New Roman" w:hint="eastAsia"/>
          <w:kern w:val="2"/>
          <w:sz w:val="30"/>
          <w:szCs w:val="30"/>
          <w:lang w:bidi="ar-SA"/>
        </w:rPr>
        <w:t>污泥（中和渣）</w:t>
      </w:r>
      <w:r>
        <w:rPr>
          <w:rFonts w:ascii="Times New Roman" w:eastAsia="仿宋_GB2312" w:cs="Times New Roman" w:hAnsi="Times New Roman"/>
          <w:kern w:val="2"/>
          <w:sz w:val="30"/>
          <w:szCs w:val="30"/>
          <w:lang w:bidi="ar-SA"/>
        </w:rPr>
        <w:t>、耐火材料等。其中铜渣含铜量高</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企业内部通过渣选矿厂提铜后</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产生渣选尾矿</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水泥等建材企业作为水泥掺和料进行综合利用</w:t>
      </w:r>
      <w:r>
        <w:rPr>
          <w:rFonts w:ascii="Times New Roman" w:eastAsia="仿宋_GB2312" w:cs="Times New Roman" w:hAnsi="Times New Roman" w:hint="eastAsia"/>
          <w:kern w:val="2"/>
          <w:sz w:val="30"/>
          <w:szCs w:val="30"/>
          <w:lang w:bidi="ar-SA"/>
        </w:rPr>
        <w:t>。</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火法炼铜</w:t>
      </w:r>
      <w:r>
        <w:rPr>
          <w:rFonts w:ascii="Times New Roman" w:eastAsia="仿宋_GB2312" w:cs="Times New Roman" w:hAnsi="Times New Roman" w:hint="eastAsia"/>
          <w:kern w:val="2"/>
          <w:sz w:val="30"/>
          <w:szCs w:val="30"/>
          <w:lang w:bidi="ar-SA"/>
        </w:rPr>
        <w:t>产生</w:t>
      </w:r>
      <w:r>
        <w:rPr>
          <w:rFonts w:ascii="Times New Roman" w:eastAsia="仿宋_GB2312" w:cs="Times New Roman" w:hAnsi="Times New Roman"/>
          <w:kern w:val="2"/>
          <w:sz w:val="30"/>
          <w:szCs w:val="30"/>
          <w:lang w:bidi="ar-SA"/>
        </w:rPr>
        <w:t>的</w:t>
      </w:r>
      <w:r>
        <w:rPr>
          <w:rFonts w:ascii="Times New Roman" w:eastAsia="仿宋_GB2312" w:cs="Times New Roman" w:hAnsi="Times New Roman" w:hint="eastAsia"/>
          <w:kern w:val="2"/>
          <w:sz w:val="30"/>
          <w:szCs w:val="30"/>
          <w:lang w:bidi="ar-SA"/>
        </w:rPr>
        <w:t>危险</w:t>
      </w:r>
      <w:r>
        <w:rPr>
          <w:rFonts w:ascii="Times New Roman" w:eastAsia="仿宋_GB2312" w:cs="Times New Roman" w:hAnsi="Times New Roman"/>
          <w:kern w:val="2"/>
          <w:sz w:val="30"/>
          <w:szCs w:val="30"/>
          <w:lang w:bidi="ar-SA"/>
        </w:rPr>
        <w:t>废物主要有砷渣</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铅滤饼</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除尘装置收集的粉尘</w:t>
      </w:r>
      <w:r>
        <w:rPr>
          <w:rFonts w:ascii="Times New Roman" w:eastAsia="仿宋_GB2312" w:cs="Times New Roman" w:hAnsi="Times New Roman" w:hint="eastAsia"/>
          <w:kern w:val="2"/>
          <w:sz w:val="30"/>
          <w:szCs w:val="30"/>
          <w:lang w:bidi="ar-SA"/>
        </w:rPr>
        <w:t>（白烟尘）、</w:t>
      </w:r>
      <w:r>
        <w:rPr>
          <w:rFonts w:ascii="Times New Roman" w:eastAsia="仿宋_GB2312" w:cs="Times New Roman" w:hAnsi="Times New Roman"/>
          <w:kern w:val="2"/>
          <w:sz w:val="30"/>
          <w:szCs w:val="30"/>
          <w:lang w:bidi="ar-SA"/>
        </w:rPr>
        <w:t>废催化剂</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废矿物油等</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湿法炼铜工艺产生的危险废物主要为铅泥</w:t>
      </w:r>
      <w:r>
        <w:rPr>
          <w:rFonts w:ascii="Times New Roman" w:eastAsia="仿宋_GB2312" w:cs="Times New Roman" w:hAnsi="Times New Roman" w:hint="eastAsia"/>
          <w:kern w:val="2"/>
          <w:sz w:val="30"/>
          <w:szCs w:val="30"/>
          <w:lang w:bidi="ar-SA"/>
        </w:rPr>
        <w:t>。</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湿法炼铜工艺产生的固体废物，目前未列入《国家危险废物名录》。</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表5  固体废物产生情况一览表</w:t>
      </w:r>
    </w:p>
    <w:tbl>
      <w:tblPr>
        <w:jc w:val="center"/>
        <w:tblW w:w="90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694"/>
        <w:gridCol w:w="1540"/>
        <w:gridCol w:w="1604"/>
        <w:gridCol w:w="1843"/>
        <w:gridCol w:w="1409"/>
        <w:gridCol w:w="1947"/>
      </w:tblGrid>
      <w:tr>
        <w:trPr>
          <w:trHeight w:val="430"/>
        </w:trPr>
        <w:tc>
          <w:tcPr>
            <w:tcW w:w="694" w:type="dxa"/>
            <w:tcBorders>
              <w:top w:val="single" w:sz="6" w:space="0" w:color="000000"/>
              <w:left w:val="single" w:sz="6" w:space="0" w:color="000000"/>
              <w:bottom w:val="single" w:sz="6" w:space="0" w:color="000000"/>
              <w:right w:val="single" w:sz="6" w:space="0" w:color="000000"/>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序号</w:t>
            </w:r>
          </w:p>
        </w:tc>
        <w:tc>
          <w:tcPr>
            <w:tcW w:w="1540" w:type="dxa"/>
            <w:tcBorders>
              <w:top w:val="single" w:sz="6" w:space="0" w:color="000000"/>
              <w:left w:val="single" w:sz="6" w:space="0" w:color="000000"/>
              <w:bottom w:val="single" w:sz="6" w:space="0" w:color="000000"/>
              <w:right w:val="single" w:sz="4" w:space="0" w:color="auto"/>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名称</w:t>
            </w:r>
          </w:p>
        </w:tc>
        <w:tc>
          <w:tcPr>
            <w:tcW w:w="1604" w:type="dxa"/>
            <w:tcBorders>
              <w:top w:val="single" w:sz="6" w:space="0" w:color="000000"/>
              <w:left w:val="single" w:sz="6" w:space="0" w:color="000000"/>
              <w:bottom w:val="single" w:sz="6" w:space="0" w:color="000000"/>
              <w:right w:val="single" w:sz="4" w:space="0" w:color="auto"/>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主要污染成分</w:t>
            </w:r>
          </w:p>
        </w:tc>
        <w:tc>
          <w:tcPr>
            <w:tcW w:w="1843" w:type="dxa"/>
            <w:tcBorders>
              <w:top w:val="single" w:sz="6" w:space="0" w:color="000000"/>
              <w:left w:val="single" w:sz="4" w:space="0" w:color="auto"/>
              <w:bottom w:val="single" w:sz="6" w:space="0" w:color="000000"/>
              <w:right w:val="single" w:sz="4" w:space="0" w:color="auto"/>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来源</w:t>
            </w:r>
          </w:p>
        </w:tc>
        <w:tc>
          <w:tcPr>
            <w:tcW w:w="1409" w:type="dxa"/>
            <w:tcBorders>
              <w:top w:val="single" w:sz="6" w:space="0" w:color="000000"/>
              <w:left w:val="single" w:sz="4" w:space="0" w:color="auto"/>
              <w:bottom w:val="single" w:sz="6" w:space="0" w:color="000000"/>
              <w:right w:val="single" w:sz="4" w:space="0" w:color="auto"/>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产废系数</w:t>
            </w:r>
          </w:p>
        </w:tc>
        <w:tc>
          <w:tcPr>
            <w:tcW w:w="1947" w:type="dxa"/>
            <w:tcBorders>
              <w:top w:val="single" w:sz="6" w:space="0" w:color="000000"/>
              <w:left w:val="single" w:sz="4" w:space="0" w:color="auto"/>
              <w:bottom w:val="single" w:sz="6" w:space="0" w:color="000000"/>
              <w:right w:val="single" w:sz="6" w:space="0" w:color="000000"/>
              <w:tl2br w:val="nil"/>
              <w:tr2bl w:val="nil"/>
            </w:tcBorders>
            <w:vAlign w:val="center"/>
          </w:tcPr>
          <w:p>
            <w:pPr>
              <w:spacing w:line="300" w:lineRule="exact"/>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固废性质与代码</w:t>
            </w:r>
          </w:p>
        </w:tc>
      </w:tr>
      <w:tr>
        <w:trPr>
          <w:trHeight w:val="408"/>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铜渣</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铜、铁、铅、砷</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来源于熔炼车间</w:t>
            </w:r>
          </w:p>
        </w:tc>
        <w:tc>
          <w:tcPr>
            <w:tcW w:w="1409"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与铜矿品位相关</w:t>
            </w:r>
          </w:p>
        </w:tc>
        <w:tc>
          <w:tcPr>
            <w:tcW w:w="1947" w:type="dxa"/>
            <w:tcBorders>
              <w:lef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一般工业固废</w:t>
            </w:r>
          </w:p>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321-001-54</w:t>
            </w:r>
          </w:p>
        </w:tc>
      </w:tr>
      <w:tr>
        <w:trPr>
          <w:trHeight w:val="408"/>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渣选尾矿</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铜、铁、二氧化硅</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渣选矿厂</w:t>
            </w:r>
          </w:p>
        </w:tc>
        <w:tc>
          <w:tcPr>
            <w:tcW w:w="1409" w:type="dxa"/>
            <w:vMerge w:val="restart"/>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p>
          <w:p>
            <w:pPr>
              <w:spacing w:line="240" w:lineRule="exact"/>
              <w:jc w:val="both"/>
              <w:rPr>
                <w:rFonts w:ascii="仿宋_GB2312" w:eastAsia="仿宋_GB2312" w:cs="Times New Roman" w:hint="eastAsia"/>
                <w:kern w:val="2"/>
                <w:sz w:val="21"/>
                <w:szCs w:val="21"/>
                <w:lang w:bidi="ar-SA"/>
              </w:rPr>
            </w:pPr>
          </w:p>
          <w:p>
            <w:pPr>
              <w:spacing w:line="240" w:lineRule="exact"/>
              <w:jc w:val="both"/>
              <w:rPr>
                <w:rFonts w:ascii="仿宋_GB2312" w:eastAsia="仿宋_GB2312" w:cs="Times New Roman" w:hint="eastAsia"/>
                <w:kern w:val="2"/>
                <w:sz w:val="21"/>
                <w:szCs w:val="21"/>
                <w:lang w:bidi="ar-SA"/>
              </w:rPr>
            </w:pPr>
          </w:p>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3.11t/t-电解铜</w:t>
            </w:r>
          </w:p>
        </w:tc>
        <w:tc>
          <w:tcPr>
            <w:tcW w:w="1947" w:type="dxa"/>
            <w:tcBorders>
              <w:lef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一般工业固废</w:t>
            </w:r>
          </w:p>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321-001-54</w:t>
            </w:r>
          </w:p>
        </w:tc>
      </w:tr>
      <w:tr>
        <w:trPr>
          <w:trHeight w:val="408"/>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耐火材料</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钙、镁、铝、硅的氧化物</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来源于熔炼车间</w:t>
            </w:r>
          </w:p>
        </w:tc>
        <w:tc>
          <w:tcPr>
            <w:tcW w:w="1409" w:type="dxa"/>
            <w:vMerge/>
            <w:tcBorders>
              <w:left w:val="single" w:sz="4" w:space="0" w:color="auto"/>
              <w:right w:val="single" w:sz="4" w:space="0" w:color="auto"/>
              <w:tl2br w:val="nil"/>
              <w:tr2bl w:val="nil"/>
            </w:tcBorders>
            <w:vAlign w:val="center"/>
          </w:tcPr>
          <w:p/>
        </w:tc>
        <w:tc>
          <w:tcPr>
            <w:tcW w:w="1947" w:type="dxa"/>
            <w:tcBorders>
              <w:lef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一般工业固废</w:t>
            </w:r>
          </w:p>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321-001-99</w:t>
            </w:r>
          </w:p>
        </w:tc>
      </w:tr>
      <w:tr>
        <w:trPr>
          <w:trHeight w:val="408"/>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石膏渣</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硫酸钙</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污酸处理采用硫化法+中和法产生的固废</w:t>
            </w:r>
          </w:p>
        </w:tc>
        <w:tc>
          <w:tcPr>
            <w:tcW w:w="1409" w:type="dxa"/>
            <w:vMerge/>
            <w:tcBorders>
              <w:left w:val="single" w:sz="4" w:space="0" w:color="auto"/>
              <w:right w:val="single" w:sz="4" w:space="0" w:color="auto"/>
              <w:tl2br w:val="nil"/>
              <w:tr2bl w:val="nil"/>
            </w:tcBorders>
            <w:vAlign w:val="center"/>
          </w:tcPr>
          <w:p/>
        </w:tc>
        <w:tc>
          <w:tcPr>
            <w:tcW w:w="1947" w:type="dxa"/>
            <w:tcBorders>
              <w:lef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应根据危废鉴别相关标准进行鉴别</w:t>
            </w: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污水处理污泥（中和渣）</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无机污泥</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来源废水处理站污泥</w:t>
            </w:r>
          </w:p>
        </w:tc>
        <w:tc>
          <w:tcPr>
            <w:tcW w:w="1409" w:type="dxa"/>
            <w:vMerge/>
            <w:tcBorders>
              <w:left w:val="single" w:sz="4" w:space="0" w:color="auto"/>
              <w:right w:val="single" w:sz="4" w:space="0" w:color="auto"/>
              <w:tl2br w:val="nil"/>
              <w:tr2bl w:val="nil"/>
            </w:tcBorders>
          </w:tcPr>
          <w:p/>
        </w:tc>
        <w:tc>
          <w:tcPr>
            <w:tcW w:w="1947" w:type="dxa"/>
            <w:tcBorders>
              <w:lef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应根据危废鉴别相关标准进行鉴别</w:t>
            </w: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6</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砷渣（砷滤饼）</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砷、硫、铅、铜、镉</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火法炼铜过程中烟气净化产生的污酸在处理过程产生的砷渣</w:t>
            </w:r>
          </w:p>
        </w:tc>
        <w:tc>
          <w:tcPr>
            <w:tcW w:w="1409"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10-30kg/t-电解铜</w:t>
            </w:r>
          </w:p>
        </w:tc>
        <w:tc>
          <w:tcPr>
            <w:tcW w:w="1947" w:type="dxa"/>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危险废物 HW48（321-032-48）</w:t>
            </w:r>
          </w:p>
        </w:tc>
      </w:tr>
      <w:tr>
        <w:trPr>
          <w:trHeight w:val="640"/>
        </w:trPr>
        <w:tc>
          <w:tcPr>
            <w:tcW w:w="694" w:type="dxa"/>
            <w:vMerge w:val="restart"/>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7</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铅滤饼</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铅、砷、铜、镉</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火法炼铜制酸系统中烟气净化洗涤过程沉淀产生的酸泥</w:t>
            </w:r>
          </w:p>
        </w:tc>
        <w:tc>
          <w:tcPr>
            <w:tcW w:w="1409"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7-20kg/t-电解铜</w:t>
            </w:r>
          </w:p>
        </w:tc>
        <w:tc>
          <w:tcPr>
            <w:tcW w:w="1947" w:type="dxa"/>
            <w:vMerge w:val="restart"/>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危险废物 HW48（321-031-48）</w:t>
            </w:r>
          </w:p>
        </w:tc>
      </w:tr>
      <w:tr>
        <w:trPr>
          <w:trHeight w:val="640"/>
        </w:trPr>
        <w:tc>
          <w:tcPr>
            <w:tcW w:w="694" w:type="dxa"/>
            <w:vMerge/>
            <w:tcBorders>
              <w:tl2br w:val="nil"/>
              <w:tr2bl w:val="nil"/>
            </w:tcBorders>
            <w:vAlign w:val="center"/>
          </w:tcP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铅泥</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铅、铜</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湿法炼铜工艺铜电积工序</w:t>
            </w:r>
          </w:p>
        </w:tc>
        <w:tc>
          <w:tcPr>
            <w:tcW w:w="1409"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4-10kg/t-电解铜</w:t>
            </w:r>
          </w:p>
        </w:tc>
        <w:tc>
          <w:tcPr>
            <w:tcW w:w="1947" w:type="dxa"/>
            <w:vMerge/>
            <w:tcBorders>
              <w:left w:val="single" w:sz="4" w:space="0" w:color="auto"/>
              <w:tl2br w:val="nil"/>
              <w:tr2bl w:val="nil"/>
            </w:tcBorders>
            <w:vAlign w:val="center"/>
          </w:tcP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除尘装置收集的粉尘（白烟尘）</w:t>
            </w:r>
          </w:p>
        </w:tc>
        <w:tc>
          <w:tcPr>
            <w:tcW w:w="1604" w:type="dxa"/>
            <w:tcBorders>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铅、砷、锌、铜、镉</w:t>
            </w:r>
          </w:p>
        </w:tc>
        <w:tc>
          <w:tcPr>
            <w:tcW w:w="1843"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火法炼铜过程中烟气处理集（除）尘装置收集的粉尘</w:t>
            </w:r>
          </w:p>
        </w:tc>
        <w:tc>
          <w:tcPr>
            <w:tcW w:w="1409" w:type="dxa"/>
            <w:tcBorders>
              <w:left w:val="single" w:sz="4" w:space="0" w:color="auto"/>
              <w:right w:val="single" w:sz="4" w:space="0" w:color="auto"/>
              <w:tl2br w:val="nil"/>
              <w:tr2bl w:val="nil"/>
            </w:tcBorders>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双闪工艺：&lt;1kg/t-电解铜;</w:t>
            </w:r>
          </w:p>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其他工艺:5-50kg/t-电解铜</w:t>
            </w:r>
          </w:p>
        </w:tc>
        <w:tc>
          <w:tcPr>
            <w:tcW w:w="1947" w:type="dxa"/>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 HW48（321-002-48）</w:t>
            </w: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9</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黑铜粉</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砷、铜</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火法炼铜过程中电解净液车间脱铜电解工序产生的底泥</w:t>
            </w:r>
          </w:p>
        </w:tc>
        <w:tc>
          <w:tcPr>
            <w:tcW w:w="1409"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3-8kg/t-电解铜</w:t>
            </w:r>
          </w:p>
        </w:tc>
        <w:tc>
          <w:tcPr>
            <w:tcW w:w="1947" w:type="dxa"/>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返回转沪或闪速炉等工段进行再次利用。若开路处理，应根据危废鉴别相关标准进行鉴别。</w:t>
            </w: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废矿物油</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矿物油</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全厂</w:t>
            </w:r>
          </w:p>
        </w:tc>
        <w:tc>
          <w:tcPr>
            <w:tcW w:w="1409"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w:t>
            </w:r>
          </w:p>
        </w:tc>
        <w:tc>
          <w:tcPr>
            <w:tcW w:w="1947" w:type="dxa"/>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 HW08（900-221-08）</w:t>
            </w:r>
          </w:p>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（900-249-08）</w:t>
            </w:r>
          </w:p>
        </w:tc>
      </w:tr>
      <w:tr>
        <w:trPr>
          <w:trHeight w:val="640"/>
        </w:trPr>
        <w:tc>
          <w:tcPr>
            <w:tcW w:w="694" w:type="dxa"/>
            <w:tcBorders>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11</w:t>
            </w:r>
          </w:p>
        </w:tc>
        <w:tc>
          <w:tcPr>
            <w:tcW w:w="1540"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废催化剂</w:t>
            </w:r>
          </w:p>
        </w:tc>
        <w:tc>
          <w:tcPr>
            <w:tcW w:w="1604" w:type="dxa"/>
            <w:tcBorders>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五氧化二钒</w:t>
            </w:r>
          </w:p>
        </w:tc>
        <w:tc>
          <w:tcPr>
            <w:tcW w:w="1843"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火法炼铜制酸系统中二氧化硫氧化生产硫酸过程产生的废触媒</w:t>
            </w:r>
          </w:p>
        </w:tc>
        <w:tc>
          <w:tcPr>
            <w:tcW w:w="1409" w:type="dxa"/>
            <w:tcBorders>
              <w:left w:val="single" w:sz="4" w:space="0" w:color="auto"/>
              <w:right w:val="single" w:sz="4" w:space="0" w:color="auto"/>
              <w:tl2br w:val="nil"/>
              <w:tr2bl w:val="nil"/>
            </w:tcBorders>
            <w:vAlign w:val="center"/>
          </w:tcPr>
          <w:p>
            <w:pPr>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0.1-0.3kg/t-电解铜</w:t>
            </w:r>
          </w:p>
        </w:tc>
        <w:tc>
          <w:tcPr>
            <w:tcW w:w="1947" w:type="dxa"/>
            <w:tcBorders>
              <w:left w:val="single" w:sz="4" w:space="0" w:color="auto"/>
              <w:tl2br w:val="nil"/>
              <w:tr2bl w:val="nil"/>
            </w:tcBorders>
            <w:vAlign w:val="center"/>
          </w:tcPr>
          <w:p>
            <w:pPr>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 HW50（261-173-50）</w:t>
            </w:r>
          </w:p>
        </w:tc>
      </w:tr>
    </w:tbl>
    <w:p>
      <w:pPr>
        <w:autoSpaceDE/>
        <w:autoSpaceDN/>
        <w:spacing w:line="360" w:lineRule="auto"/>
        <w:ind w:firstLineChars="200" w:firstLine="420"/>
        <w:jc w:val="both"/>
        <w:rPr>
          <w:rFonts w:ascii="仿宋_GB2312" w:eastAsia="仿宋_GB2312" w:cs="Times New Roman" w:hint="eastAsia"/>
          <w:kern w:val="2"/>
          <w:sz w:val="21"/>
          <w:szCs w:val="21"/>
          <w:lang w:bidi="ar-SA"/>
        </w:rPr>
      </w:pPr>
    </w:p>
    <w:p>
      <w:pPr>
        <w:pStyle w:val="3"/>
        <w:spacing w:before="0" w:after="0" w:line="360" w:lineRule="auto"/>
        <w:jc w:val="both"/>
        <w:rPr>
          <w:rFonts w:ascii="仿宋_GB2312" w:eastAsia="仿宋_GB2312" w:hint="eastAsia"/>
          <w:sz w:val="30"/>
          <w:szCs w:val="30"/>
        </w:rPr>
      </w:pPr>
      <w:bookmarkStart w:id="59" w:name="_Toc89766395"/>
      <w:r>
        <w:rPr>
          <w:rFonts w:ascii="仿宋_GB2312" w:eastAsia="仿宋_GB2312" w:hint="eastAsia"/>
          <w:sz w:val="30"/>
          <w:szCs w:val="30"/>
        </w:rPr>
        <w:t>2.2.4噪声污染</w:t>
      </w:r>
      <w:bookmarkEnd w:id="59"/>
    </w:p>
    <w:p>
      <w:pPr>
        <w:autoSpaceDE/>
        <w:autoSpaceDN/>
        <w:spacing w:line="360" w:lineRule="auto"/>
        <w:ind w:firstLineChars="200" w:firstLine="600"/>
        <w:jc w:val="both"/>
        <w:rPr>
          <w:rFonts w:ascii="黑体" w:eastAsia="黑体" w:hint="eastAsia"/>
          <w:b/>
          <w:sz w:val="32"/>
          <w:szCs w:val="32"/>
        </w:rPr>
      </w:pPr>
      <w:r>
        <w:rPr>
          <w:rFonts w:ascii="Times New Roman" w:eastAsia="仿宋_GB2312" w:cs="Times New Roman" w:hAnsi="Times New Roman"/>
          <w:kern w:val="2"/>
          <w:sz w:val="30"/>
          <w:szCs w:val="30"/>
          <w:lang w:bidi="ar-SA"/>
        </w:rPr>
        <w:t>铜冶炼过程产生的噪声分为机械噪声和空气动力性噪声，主要</w:t>
      </w:r>
      <w:r>
        <w:rPr>
          <w:rFonts w:ascii="Times New Roman" w:eastAsia="仿宋_GB2312" w:cs="Times New Roman" w:hAnsi="Times New Roman"/>
          <w:spacing w:val="-6"/>
          <w:kern w:val="2"/>
          <w:sz w:val="30"/>
          <w:szCs w:val="30"/>
          <w:lang w:bidi="ar-SA"/>
        </w:rPr>
        <w:t>噪声源包括熔炼炉、吹炼炉、精炼炉、余热锅炉、鼓风机、空压</w:t>
      </w:r>
      <w:r>
        <w:rPr>
          <w:rFonts w:ascii="仿宋_GB2312" w:eastAsia="仿宋_GB2312" w:cs="Times New Roman" w:hint="eastAsia"/>
          <w:spacing w:val="-6"/>
          <w:kern w:val="2"/>
          <w:sz w:val="30"/>
          <w:szCs w:val="30"/>
          <w:lang w:bidi="ar-SA"/>
        </w:rPr>
        <w:t>机、氧压机、除尘风机、各种泵类等。噪声源强通常为 85～110 dB(A)。</w:t>
      </w:r>
      <w:bookmarkStart w:id="60" w:name="_Toc89766396"/>
    </w:p>
    <w:p>
      <w:pPr>
        <w:pStyle w:val="1"/>
        <w:spacing w:before="0" w:line="360" w:lineRule="auto"/>
        <w:ind w:left="0" w:firstLine="0"/>
        <w:jc w:val="both"/>
        <w:rPr>
          <w:rFonts w:ascii="黑体" w:eastAsia="黑体" w:hint="eastAsia"/>
          <w:sz w:val="32"/>
          <w:szCs w:val="32"/>
        </w:rPr>
      </w:pPr>
      <w:r>
        <w:rPr>
          <w:rFonts w:ascii="黑体" w:eastAsia="黑体" w:hint="eastAsia"/>
          <w:sz w:val="32"/>
          <w:szCs w:val="32"/>
        </w:rPr>
        <w:t>3、清洁生产要求</w:t>
      </w:r>
      <w:bookmarkEnd w:id="60"/>
    </w:p>
    <w:p>
      <w:pPr>
        <w:pStyle w:val="2"/>
        <w:spacing w:before="0" w:after="0" w:line="360" w:lineRule="auto"/>
        <w:jc w:val="both"/>
        <w:rPr>
          <w:rFonts w:ascii="仿宋_GB2312" w:eastAsia="仿宋_GB2312" w:hint="eastAsia"/>
        </w:rPr>
      </w:pPr>
      <w:bookmarkStart w:id="61" w:name="_Toc89766397"/>
      <w:r>
        <w:rPr>
          <w:rFonts w:ascii="仿宋_GB2312" w:eastAsia="仿宋_GB2312" w:hint="eastAsia"/>
        </w:rPr>
        <w:t>3.1源头控制</w:t>
      </w:r>
      <w:bookmarkEnd w:id="61"/>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（1）火法炼铜企业应对废水、废气、固体废物的产生、处理和排放进行全过程控制，优先采用清洁生产技术，使用天然气等清洁能源，提高资源、能源利用率，减少污染物的产生和排放。</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（2）火法炼铜工程应采用生产效率高、工艺先进、能耗低、环保达标、资源综合利用好的先进冶炼工艺，且必须配置烟气制酸、资源综合利用、节能等设施。</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（3）火法炼铜企业对入炉铜精矿中有害元素限量应符合《重金属精矿中有害元素的限量规范》（GB20424）的要求。</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4）火法炼铜应采取有效的控制措施，减少无组织排放。全面加强物料储存、输送及生产工艺过程无组织排放控制，在保障生产安全的前提下，采取密闭、封闭等有效措施，有效提高废气收集率，产尘点及车间不得有可见烟粉尘外逸。</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①物料储存。铜精矿、辅料、烟（粉）尘等粉状物料，应采用料仓、料棚、筒仓、储罐等方式密闭储存。产尘点应按照“应收尽收”原则配置废气收集设施，强化运行管理。</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②物料输送。物料输送设备要密封或处于负压状态，采用管道、带式输送机、气力输送设备、罐车等方式密闭输送。物料储仓、物料卸料点、物料转运点、物料受料点、物料破碎筛分设备等扬尘点应密闭。加湿点选在卸料、转运等物料有落差易扬尘的部位通过喷水或喷雾形式加湿物料抑尘。加湿喷嘴采用雾化喷头，加湿水压力宜0.4MPa以上。</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③生产工艺过程。污染的源头设负压集气，防止污染的扩散。冶金炉窑以及炉窑加料口、锍排出口、渣排出口、铜水包房、渣包房、溜槽等产尘点应提高集气效率，产烟部位应密闭，并配备除尘设施。</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5）大宗物料产品清洁运输要求。进出企业的铜精矿、煤炭等大宗物料和产品采用铁路、水路、管道或管状带式输送机等清洁方式运输比例不低于80%；达不到的，汽车运输应全部采用新能源汽车或达到国六排放标准的汽车。</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（6）除尘系统捕集的烟尘中，铅、砷、汞等有害元素含量过高时，不宜返回冶炼系统，应进行综合利用或根据其性质进行安全处置。</w:t>
      </w:r>
    </w:p>
    <w:p>
      <w:pPr>
        <w:autoSpaceDE/>
        <w:autoSpaceDN/>
        <w:spacing w:line="360" w:lineRule="auto"/>
        <w:ind w:left="0"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（7）铜精矿火法冶炼须配套烟气制酸等硫元素回收利用设施。</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（8）铜冶炼企业应不断提高水的重复利用率、减少废水产生量，工业用水循环利用率不应低于《铜冶炼行业规范条件》的规定。</w:t>
      </w:r>
    </w:p>
    <w:p>
      <w:pPr>
        <w:autoSpaceDE/>
        <w:autoSpaceDN/>
        <w:spacing w:line="360" w:lineRule="auto"/>
        <w:ind w:firstLineChars="200" w:firstLine="600"/>
        <w:jc w:val="both"/>
        <w:rPr>
          <w:rFonts w:ascii="仿宋_GB2312" w:eastAsia="仿宋_GB2312" w:cs="Times New Roman" w:hint="eastAsia"/>
          <w:bCs/>
          <w:kern w:val="2"/>
          <w:sz w:val="30"/>
          <w:szCs w:val="30"/>
          <w:lang w:bidi="ar-SA"/>
        </w:rPr>
      </w:pPr>
      <w:r>
        <w:rPr>
          <w:rFonts w:ascii="仿宋_GB2312" w:eastAsia="仿宋_GB2312" w:cs="Times New Roman" w:hint="eastAsia"/>
          <w:bCs/>
          <w:kern w:val="2"/>
          <w:sz w:val="30"/>
          <w:szCs w:val="30"/>
          <w:lang w:bidi="ar-SA"/>
        </w:rPr>
        <w:t>（9）铜冶炼企业产生的废水应分类收集、分质处理，实现清污分流、雨污分流。废水处理达标后，宜优先回用。</w:t>
      </w:r>
    </w:p>
    <w:p>
      <w:pPr>
        <w:pStyle w:val="2"/>
        <w:spacing w:before="0" w:after="0" w:line="360" w:lineRule="auto"/>
        <w:jc w:val="both"/>
        <w:rPr>
          <w:rFonts w:ascii="仿宋_GB2312" w:eastAsia="仿宋_GB2312" w:hint="eastAsia"/>
        </w:rPr>
      </w:pPr>
      <w:bookmarkStart w:id="62" w:name="_Toc89766398"/>
      <w:r>
        <w:rPr>
          <w:rFonts w:ascii="仿宋_GB2312" w:eastAsia="仿宋_GB2312" w:hint="eastAsia"/>
        </w:rPr>
        <w:t>3.2清洁生产技术</w:t>
      </w:r>
      <w:bookmarkEnd w:id="62"/>
      <w:r>
        <w:rPr>
          <w:rFonts w:ascii="仿宋_GB2312" w:eastAsia="仿宋_GB2312" w:hint="eastAsia"/>
        </w:rPr>
        <w:t>要求</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铜冶炼行业应坚持减污降碳协同增效的原则，按照“有组织排放超低化、无组织排放系统化、运输清洁化、厂区管理社区化、环境管理精细化”的要求推进有色行业污染防治工作。</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铜冶炼企业在生产工艺与装备要求、资源能源利用指标、产品指标、污染物产生指标、废物回收利用指标、环境管理要求方面需达到《清洁生产标准 铜冶炼业》（HJ558-2010）二级清洁生产水平。建立全行业清洁生产持续推进机制，鼓励企业主动实现一级清洁生产水平，即达到国际清洁生产领先水平。</w:t>
      </w:r>
    </w:p>
    <w:p>
      <w:pPr>
        <w:pStyle w:val="2"/>
        <w:spacing w:before="0" w:after="0" w:line="360" w:lineRule="auto"/>
        <w:jc w:val="both"/>
        <w:rPr>
          <w:rFonts w:ascii="仿宋_GB2312" w:eastAsia="仿宋_GB2312" w:hint="eastAsia"/>
        </w:rPr>
      </w:pPr>
      <w:bookmarkStart w:id="63" w:name="_Toc89766399"/>
      <w:r>
        <w:rPr>
          <w:rFonts w:ascii="仿宋_GB2312" w:eastAsia="仿宋_GB2312" w:hint="eastAsia"/>
        </w:rPr>
        <w:t>3.3清洁生产其它要求</w:t>
      </w:r>
      <w:bookmarkEnd w:id="63"/>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所有铜冶炼企业应因地制宜，因厂制宜，持续提高生产工艺及装备水平、减少资源能源消耗，提高铜、硫等资源综合利用率，减少污染物产生量，提高清洁生产管理水平，实施工业用水及中水回用措施，增大水重复利用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（2）铜冶炼企业必</w:t>
      </w:r>
      <w:r>
        <w:rPr>
          <w:rFonts w:ascii="仿宋_GB2312" w:eastAsia="仿宋_GB2312" w:cs="Times New Roman" w:hint="eastAsia"/>
          <w:kern w:val="2"/>
          <w:sz w:val="32"/>
          <w:szCs w:val="20"/>
          <w:lang w:bidi="ar-SA"/>
        </w:rPr>
        <w:t>须配置烟气制酸、资源综合利用、节能等设施。烟气制酸须采用稀酸洗涤净化、二转二吸或三转三吸等先进工艺，转化率需大于等于99.6%；烟气净化严禁采用水洗或热浓酸洗涤工艺，硫酸尾气需设治理设施。配备的冶炼尾气余热回收、收尘工艺及设备须满足国家《节约能源法》《清洁生产促进法》《环境保护法》等要求。</w:t>
      </w:r>
    </w:p>
    <w:p>
      <w:pPr>
        <w:autoSpaceDE/>
        <w:autoSpaceDN/>
        <w:spacing w:line="360" w:lineRule="auto"/>
        <w:ind w:firstLineChars="200" w:firstLine="600"/>
        <w:jc w:val="both"/>
        <w:rPr>
          <w:rFonts w:ascii="仿宋_GB2312" w:eastAsia="仿宋_GB2312" w:cs="Times New Roman" w:hint="eastAsia"/>
          <w:kern w:val="2"/>
          <w:sz w:val="32"/>
          <w:szCs w:val="20"/>
          <w:lang w:bidi="ar-SA"/>
        </w:rPr>
      </w:pPr>
      <w:r>
        <w:rPr>
          <w:rFonts w:ascii="仿宋_GB2312" w:eastAsia="仿宋_GB2312" w:cs="Times New Roman" w:hint="eastAsia"/>
          <w:kern w:val="2"/>
          <w:sz w:val="30"/>
          <w:szCs w:val="30"/>
          <w:lang w:bidi="ar-SA"/>
        </w:rPr>
        <w:t>（3）鼓励先进示范性企业研发、应用新技术；</w:t>
      </w:r>
      <w:r>
        <w:rPr>
          <w:rFonts w:ascii="仿宋_GB2312" w:eastAsia="仿宋_GB2312" w:cs="Times New Roman" w:hint="eastAsia"/>
          <w:kern w:val="2"/>
          <w:sz w:val="32"/>
          <w:szCs w:val="20"/>
          <w:lang w:bidi="ar-SA"/>
        </w:rPr>
        <w:t>鼓励有条件的企业开展智能工厂建设。</w:t>
      </w:r>
    </w:p>
    <w:p>
      <w:pPr>
        <w:pStyle w:val="1"/>
        <w:spacing w:before="0" w:line="360" w:lineRule="auto"/>
        <w:ind w:left="0" w:firstLine="0"/>
        <w:jc w:val="both"/>
        <w:rPr>
          <w:rFonts w:ascii="黑体" w:eastAsia="黑体" w:hint="eastAsia"/>
          <w:sz w:val="32"/>
          <w:szCs w:val="32"/>
        </w:rPr>
      </w:pPr>
      <w:bookmarkStart w:id="64" w:name="_Toc89766400"/>
      <w:r>
        <w:rPr>
          <w:rFonts w:ascii="黑体" w:eastAsia="黑体" w:hint="eastAsia"/>
          <w:sz w:val="32"/>
          <w:szCs w:val="32"/>
        </w:rPr>
        <w:t>4、铜冶炼污染防治技术及主要技术指标</w:t>
      </w:r>
      <w:bookmarkEnd w:id="64"/>
    </w:p>
    <w:p>
      <w:pPr>
        <w:pStyle w:val="2"/>
        <w:spacing w:before="0" w:after="0" w:line="360" w:lineRule="auto"/>
        <w:jc w:val="both"/>
        <w:rPr>
          <w:rFonts w:ascii="仿宋_GB2312" w:eastAsia="仿宋_GB2312" w:hint="eastAsia"/>
        </w:rPr>
      </w:pPr>
      <w:bookmarkStart w:id="65" w:name="_Toc89766401"/>
      <w:r>
        <w:rPr>
          <w:rFonts w:ascii="仿宋_GB2312" w:eastAsia="仿宋_GB2312" w:hint="eastAsia"/>
        </w:rPr>
        <w:t>4.1烟气除尘技术及主要技术指标</w:t>
      </w:r>
      <w:bookmarkEnd w:id="65"/>
    </w:p>
    <w:p>
      <w:pPr>
        <w:autoSpaceDE/>
        <w:autoSpaceDN/>
        <w:spacing w:line="36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4.1.1电除尘技术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电除尘器是含尘气体在通过高压电场电离使粉尘荷电，在电场力的作用下粉尘沉积于电极上，从而使粉尘从含尘气体中分离出来的一种除尘设备。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除尘器与其他除尘设备相比具有阻力小，耗能少，除尘效率高，适用范围广，处理烟气量大，自动化程度高，运行可靠等优点；但一次性投资大，结构较复杂，消耗钢材多，对制造、安装和维护管理水平要求较高；应用范围受粉尘比电阻的限制，适用于比电阻范围在1×10</w:t>
      </w:r>
      <w:r>
        <w:rPr>
          <w:rFonts w:ascii="仿宋_GB2312" w:eastAsia="仿宋_GB2312" w:cs="Times New Roman" w:hint="eastAsia"/>
          <w:kern w:val="2"/>
          <w:sz w:val="30"/>
          <w:szCs w:val="30"/>
          <w:vertAlign w:val="superscript"/>
          <w:lang w:bidi="ar-SA"/>
        </w:rPr>
        <w:t>4</w:t>
      </w:r>
      <w:r>
        <w:rPr>
          <w:rFonts w:ascii="仿宋_GB2312" w:eastAsia="仿宋_GB2312" w:cs="Times New Roman" w:hint="eastAsia"/>
          <w:kern w:val="2"/>
          <w:sz w:val="30"/>
          <w:szCs w:val="30"/>
          <w:lang w:bidi="ar-SA"/>
        </w:rPr>
        <w:t>～5×10</w:t>
      </w:r>
      <w:r>
        <w:rPr>
          <w:rFonts w:ascii="仿宋_GB2312" w:eastAsia="仿宋_GB2312" w:cs="Times New Roman" w:hint="eastAsia"/>
          <w:kern w:val="2"/>
          <w:sz w:val="30"/>
          <w:szCs w:val="30"/>
          <w:vertAlign w:val="superscript"/>
          <w:lang w:bidi="ar-SA"/>
        </w:rPr>
        <w:t>11</w:t>
      </w:r>
      <w:r>
        <w:rPr>
          <w:rFonts w:ascii="仿宋_GB2312" w:eastAsia="仿宋_GB2312" w:cs="Times New Roman" w:hint="eastAsia"/>
          <w:kern w:val="2"/>
          <w:sz w:val="30"/>
          <w:szCs w:val="30"/>
          <w:lang w:bidi="ar-SA"/>
        </w:rPr>
        <w:t>Ω·cm 之间。</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电除尘技术在铜冶炼厂主要用于熔炼炉除尘、吹炼炉除尘、贫化电炉除尘、干燥烟气除尘。</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（1）工艺参数</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kern w:val="2"/>
          <w:sz w:val="30"/>
          <w:szCs w:val="30"/>
          <w:lang w:bidi="ar-SA"/>
        </w:rPr>
        <w:t>电除尘器计算参数的选择，应符合表6的规定。当电除尘器入口含尘量大于50g/m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xml:space="preserve"> 时，应采取相应的措施，如采用预除尘设备、采用电除尘器、采用高频电源供电等。</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表6  电除尘器计算参数</w:t>
      </w:r>
    </w:p>
    <w:tbl>
      <w:tblPr>
        <w:jc w:val="left"/>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3272"/>
        <w:gridCol w:w="5529"/>
      </w:tblGrid>
      <w:tr>
        <w:trPr>
          <w:trHeight w:val="293"/>
        </w:trPr>
        <w:tc>
          <w:tcPr>
            <w:tcW w:w="3272" w:type="dxa"/>
            <w:tcBorders>
              <w:bottom w:val="single" w:sz="6" w:space="0" w:color="000000"/>
              <w:right w:val="single" w:sz="6" w:space="0" w:color="000000"/>
              <w:tl2br w:val="nil"/>
              <w:tr2bl w:val="nil"/>
            </w:tcBorders>
            <w:vAlign w:val="center"/>
          </w:tcPr>
          <w:p>
            <w:pPr>
              <w:autoSpaceDE/>
              <w:autoSpaceDN/>
              <w:adjustRightInd w:val="0"/>
              <w:snapToGrid w:val="0"/>
              <w:spacing w:line="360" w:lineRule="auto"/>
              <w:ind w:firstLineChars="200" w:firstLine="420"/>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参数名称</w:t>
            </w:r>
          </w:p>
        </w:tc>
        <w:tc>
          <w:tcPr>
            <w:tcW w:w="5529" w:type="dxa"/>
            <w:tcBorders>
              <w:left w:val="single" w:sz="6" w:space="0" w:color="000000"/>
              <w:bottom w:val="single" w:sz="6" w:space="0" w:color="000000"/>
              <w:tl2br w:val="nil"/>
              <w:tr2bl w:val="nil"/>
            </w:tcBorders>
            <w:vAlign w:val="center"/>
          </w:tcPr>
          <w:p>
            <w:pPr>
              <w:autoSpaceDE/>
              <w:autoSpaceDN/>
              <w:adjustRightInd w:val="0"/>
              <w:snapToGrid w:val="0"/>
              <w:spacing w:line="360" w:lineRule="auto"/>
              <w:ind w:firstLineChars="200" w:firstLine="420"/>
              <w:jc w:val="center"/>
              <w:rPr>
                <w:rFonts w:ascii="仿宋_GB2312" w:eastAsia="仿宋_GB2312" w:cs="Times New Roman" w:hint="eastAsia"/>
                <w:b/>
                <w:bCs/>
                <w:kern w:val="2"/>
                <w:sz w:val="21"/>
                <w:szCs w:val="21"/>
                <w:lang w:bidi="ar-SA"/>
              </w:rPr>
            </w:pPr>
            <w:r>
              <w:rPr>
                <w:rFonts w:ascii="仿宋_GB2312" w:eastAsia="仿宋_GB2312" w:cs="Times New Roman" w:hint="eastAsia"/>
                <w:b/>
                <w:bCs/>
                <w:kern w:val="2"/>
                <w:sz w:val="21"/>
                <w:szCs w:val="21"/>
                <w:lang w:bidi="ar-SA"/>
              </w:rPr>
              <w:t>参数指标</w:t>
            </w:r>
          </w:p>
        </w:tc>
      </w:tr>
      <w:tr>
        <w:trPr>
          <w:trHeight w:val="338"/>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烟尘粒度</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 0.1μm</w:t>
            </w:r>
          </w:p>
        </w:tc>
      </w:tr>
      <w:tr>
        <w:trPr>
          <w:trHeight w:val="274"/>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烟气过滤速度</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0.2～1.0m/s</w:t>
            </w:r>
          </w:p>
        </w:tc>
      </w:tr>
      <w:tr>
        <w:trPr>
          <w:trHeight w:val="272"/>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设备阻力</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≤400Pa</w:t>
            </w:r>
          </w:p>
        </w:tc>
      </w:tr>
      <w:tr>
        <w:trPr>
          <w:trHeight w:val="317"/>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允许操作温度</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≤400℃（且高于露点温度 30℃）</w:t>
            </w:r>
          </w:p>
        </w:tc>
      </w:tr>
      <w:tr>
        <w:trPr>
          <w:trHeight w:val="362"/>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允许处理烟气含尘量</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50g/m</w:t>
            </w:r>
            <w:r>
              <w:rPr>
                <w:rFonts w:ascii="仿宋_GB2312" w:eastAsia="仿宋_GB2312" w:cs="Times New Roman" w:hint="eastAsia"/>
                <w:kern w:val="2"/>
                <w:sz w:val="21"/>
                <w:szCs w:val="21"/>
                <w:vertAlign w:val="superscript"/>
                <w:lang w:bidi="ar-SA"/>
              </w:rPr>
              <w:t>3</w:t>
            </w:r>
          </w:p>
        </w:tc>
      </w:tr>
      <w:tr>
        <w:trPr>
          <w:trHeight w:val="291"/>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烟尘比电阻</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1×10</w:t>
            </w:r>
            <w:r>
              <w:rPr>
                <w:rFonts w:ascii="仿宋_GB2312" w:eastAsia="仿宋_GB2312" w:cs="Times New Roman" w:hint="eastAsia"/>
                <w:kern w:val="2"/>
                <w:sz w:val="21"/>
                <w:szCs w:val="21"/>
                <w:vertAlign w:val="superscript"/>
                <w:lang w:bidi="ar-SA"/>
              </w:rPr>
              <w:t>4</w:t>
            </w:r>
            <w:r>
              <w:rPr>
                <w:rFonts w:ascii="仿宋_GB2312" w:eastAsia="仿宋_GB2312" w:cs="Times New Roman" w:hint="eastAsia"/>
                <w:kern w:val="2"/>
                <w:sz w:val="21"/>
                <w:szCs w:val="21"/>
                <w:lang w:bidi="ar-SA"/>
              </w:rPr>
              <w:t>～4×10</w:t>
            </w:r>
            <w:r>
              <w:rPr>
                <w:rFonts w:ascii="仿宋_GB2312" w:eastAsia="仿宋_GB2312" w:cs="Times New Roman" w:hint="eastAsia"/>
                <w:kern w:val="2"/>
                <w:sz w:val="21"/>
                <w:szCs w:val="21"/>
                <w:vertAlign w:val="superscript"/>
                <w:lang w:bidi="ar-SA"/>
              </w:rPr>
              <w:t>12</w:t>
            </w:r>
            <w:r>
              <w:rPr>
                <w:rFonts w:ascii="仿宋_GB2312" w:eastAsia="仿宋_GB2312" w:cs="Times New Roman" w:hint="eastAsia"/>
                <w:kern w:val="2"/>
                <w:sz w:val="21"/>
                <w:szCs w:val="21"/>
                <w:lang w:bidi="ar-SA"/>
              </w:rPr>
              <w:t>Ω·cm</w:t>
            </w:r>
          </w:p>
        </w:tc>
      </w:tr>
      <w:tr>
        <w:trPr>
          <w:trHeight w:val="292"/>
        </w:trPr>
        <w:tc>
          <w:tcPr>
            <w:tcW w:w="3272" w:type="dxa"/>
            <w:tcBorders>
              <w:top w:val="single" w:sz="6" w:space="0" w:color="000000"/>
              <w:bottom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驱进速度</w:t>
            </w:r>
          </w:p>
        </w:tc>
        <w:tc>
          <w:tcPr>
            <w:tcW w:w="5529" w:type="dxa"/>
            <w:tcBorders>
              <w:top w:val="single" w:sz="6" w:space="0" w:color="000000"/>
              <w:left w:val="single" w:sz="6" w:space="0" w:color="000000"/>
              <w:bottom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2 -10cm/s</w:t>
            </w:r>
          </w:p>
        </w:tc>
      </w:tr>
      <w:tr>
        <w:trPr>
          <w:trHeight w:val="291"/>
        </w:trPr>
        <w:tc>
          <w:tcPr>
            <w:tcW w:w="3272" w:type="dxa"/>
            <w:tcBorders>
              <w:top w:val="single" w:sz="6" w:space="0" w:color="000000"/>
              <w:righ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同极距</w:t>
            </w:r>
          </w:p>
        </w:tc>
        <w:tc>
          <w:tcPr>
            <w:tcW w:w="5529" w:type="dxa"/>
            <w:tcBorders>
              <w:top w:val="single" w:sz="6" w:space="0" w:color="000000"/>
              <w:left w:val="single" w:sz="6" w:space="0" w:color="000000"/>
              <w:tl2br w:val="nil"/>
              <w:tr2bl w:val="nil"/>
            </w:tcBorders>
          </w:tcPr>
          <w:p>
            <w:pPr>
              <w:autoSpaceDE/>
              <w:autoSpaceDN/>
              <w:adjustRightInd w:val="0"/>
              <w:snapToGrid w:val="0"/>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400～600mm</w:t>
            </w:r>
          </w:p>
        </w:tc>
      </w:tr>
    </w:tbl>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电除尘器除尘效率为99.0～99.8%，烟尘排放浓度低于50mg/m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。由于电除尘不是烟气处理的最末端，后续处理有烟气制酸及烟气脱硫，因此对电除尘器粉尘浓度的控制应结合技术及经济因素综合考虑。一般送硫酸厂烟气粉尘浓度控制在500 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xml:space="preserve"> 以下。</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该技术一次性投资大，运行和维护成本低，主要用于熔炼炉除尘、吹炼炉除尘、贫化电炉除尘及精矿干燥烟气除尘。</w:t>
      </w:r>
    </w:p>
    <w:p>
      <w:pPr>
        <w:autoSpaceDE/>
        <w:autoSpaceDN/>
        <w:spacing w:line="36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4.1.2袋式除尘技术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袋式除尘技术是利用纤维织物的过滤作用对含尘气体进行净化。该技术除尘效率高，适用范围广。</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该技术适用于铜冶炼企业精矿干燥、阳极炉烟气除尘和卫生通风系统含尘废气的净化。</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kern w:val="2"/>
          <w:sz w:val="30"/>
          <w:szCs w:val="30"/>
          <w:lang w:bidi="ar-SA"/>
        </w:rPr>
        <w:t>袋式除尘器技术参数的选择应符合表7的规定。</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表7   袋式除尘器技术参数</w:t>
      </w:r>
    </w:p>
    <w:tbl>
      <w:tblPr>
        <w:jc w:val="left"/>
        <w:tblInd w:w="657" w:type="dxa"/>
        <w:tblW w:w="85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3469"/>
        <w:gridCol w:w="5077"/>
      </w:tblGrid>
      <w:tr>
        <w:trPr>
          <w:trHeight w:val="292"/>
        </w:trPr>
        <w:tc>
          <w:tcPr>
            <w:tcW w:w="3469" w:type="dxa"/>
            <w:tcBorders>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参数名称</w:t>
            </w:r>
          </w:p>
        </w:tc>
        <w:tc>
          <w:tcPr>
            <w:tcW w:w="5077" w:type="dxa"/>
            <w:tcBorders>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参数指标</w:t>
            </w:r>
          </w:p>
        </w:tc>
      </w:tr>
      <w:tr>
        <w:trPr>
          <w:trHeight w:val="291"/>
        </w:trPr>
        <w:tc>
          <w:tcPr>
            <w:tcW w:w="3469"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烟尘粒度</w:t>
            </w:r>
          </w:p>
        </w:tc>
        <w:tc>
          <w:tcPr>
            <w:tcW w:w="507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≥0.1μm</w:t>
            </w:r>
          </w:p>
        </w:tc>
      </w:tr>
      <w:tr>
        <w:trPr>
          <w:trHeight w:val="291"/>
        </w:trPr>
        <w:tc>
          <w:tcPr>
            <w:tcW w:w="3469"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烟气过滤速度</w:t>
            </w:r>
          </w:p>
        </w:tc>
        <w:tc>
          <w:tcPr>
            <w:tcW w:w="507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0.2～1.0m/min</w:t>
            </w:r>
          </w:p>
        </w:tc>
      </w:tr>
      <w:tr>
        <w:trPr>
          <w:trHeight w:val="291"/>
        </w:trPr>
        <w:tc>
          <w:tcPr>
            <w:tcW w:w="3469"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设备阻力</w:t>
            </w:r>
          </w:p>
        </w:tc>
        <w:tc>
          <w:tcPr>
            <w:tcW w:w="507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1200～2000Pa</w:t>
            </w:r>
          </w:p>
        </w:tc>
      </w:tr>
      <w:tr>
        <w:trPr>
          <w:trHeight w:val="292"/>
        </w:trPr>
        <w:tc>
          <w:tcPr>
            <w:tcW w:w="3469"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允许操作温度</w:t>
            </w:r>
          </w:p>
        </w:tc>
        <w:tc>
          <w:tcPr>
            <w:tcW w:w="507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≤250℃</w:t>
            </w:r>
          </w:p>
        </w:tc>
      </w:tr>
      <w:tr>
        <w:trPr>
          <w:trHeight w:val="291"/>
        </w:trPr>
        <w:tc>
          <w:tcPr>
            <w:tcW w:w="3469" w:type="dxa"/>
            <w:tcBorders>
              <w:top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允许处理烟气含尘量</w:t>
            </w:r>
          </w:p>
        </w:tc>
        <w:tc>
          <w:tcPr>
            <w:tcW w:w="5077" w:type="dxa"/>
            <w:tcBorders>
              <w:top w:val="single" w:sz="6" w:space="0" w:color="000000"/>
              <w:lef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50g/m</w:t>
            </w:r>
            <w:r>
              <w:rPr>
                <w:rFonts w:ascii="仿宋_GB2312" w:eastAsia="仿宋_GB2312" w:cs="Times New Roman" w:hint="eastAsia"/>
                <w:kern w:val="2"/>
                <w:sz w:val="21"/>
                <w:szCs w:val="21"/>
                <w:vertAlign w:val="superscript"/>
                <w:lang w:bidi="ar-SA"/>
              </w:rPr>
              <w:t>3</w:t>
            </w:r>
          </w:p>
        </w:tc>
      </w:tr>
    </w:tbl>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袋式除尘器的除尘总效率大于99.5%，最高可达99.99%。烟尘排放浓度可低于10mg/m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w:t>
      </w:r>
    </w:p>
    <w:p>
      <w:pPr>
        <w:autoSpaceDE/>
        <w:autoSpaceDN/>
        <w:spacing w:line="36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4.1.3旋风除尘技术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旋风除尘技术是利用离心力的作用，使烟尘从烟气中分离从而加以捕集。该技术结构简单，造价低，操作管理方便，维修工作量小；但对处理烟气量的变化敏感。该技术适用于10μm以上的粗粒烟尘除尘，可用于高温（低于450℃）、高含尘量（400～1000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的烟气。旋风除尘器一般只能作为初级除尘使用，以减轻后续除尘设备的负荷。</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旋风除尘器技术参数的选择应符合表8的规定。</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表8  旋风除尘器技术参数</w:t>
      </w:r>
    </w:p>
    <w:tbl>
      <w:tblPr>
        <w:jc w:val="left"/>
        <w:tblInd w:w="108" w:type="dxa"/>
        <w:tblW w:w="84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3701"/>
        <w:gridCol w:w="4770"/>
      </w:tblGrid>
      <w:tr>
        <w:trPr>
          <w:trHeight w:val="330"/>
        </w:trPr>
        <w:tc>
          <w:tcPr>
            <w:tcW w:w="3701" w:type="dxa"/>
            <w:tcBorders>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参数名称</w:t>
            </w:r>
          </w:p>
        </w:tc>
        <w:tc>
          <w:tcPr>
            <w:tcW w:w="4770" w:type="dxa"/>
            <w:tcBorders>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参数指标</w:t>
            </w:r>
          </w:p>
        </w:tc>
      </w:tr>
      <w:tr>
        <w:trPr>
          <w:trHeight w:val="290"/>
        </w:trPr>
        <w:tc>
          <w:tcPr>
            <w:tcW w:w="3701"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烟尘粒径</w:t>
            </w:r>
          </w:p>
        </w:tc>
        <w:tc>
          <w:tcPr>
            <w:tcW w:w="4770"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≥10μm</w:t>
            </w:r>
          </w:p>
        </w:tc>
      </w:tr>
      <w:tr>
        <w:trPr>
          <w:trHeight w:val="292"/>
        </w:trPr>
        <w:tc>
          <w:tcPr>
            <w:tcW w:w="3701"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入口烟气流速</w:t>
            </w:r>
          </w:p>
        </w:tc>
        <w:tc>
          <w:tcPr>
            <w:tcW w:w="4770"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12 -25m/s</w:t>
            </w:r>
          </w:p>
        </w:tc>
      </w:tr>
      <w:tr>
        <w:trPr>
          <w:trHeight w:val="291"/>
        </w:trPr>
        <w:tc>
          <w:tcPr>
            <w:tcW w:w="3701"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筒体断面流速</w:t>
            </w:r>
          </w:p>
        </w:tc>
        <w:tc>
          <w:tcPr>
            <w:tcW w:w="4770"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3 -5m/s</w:t>
            </w:r>
          </w:p>
        </w:tc>
      </w:tr>
      <w:tr>
        <w:trPr>
          <w:trHeight w:val="291"/>
        </w:trPr>
        <w:tc>
          <w:tcPr>
            <w:tcW w:w="3701"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阻力</w:t>
            </w:r>
          </w:p>
        </w:tc>
        <w:tc>
          <w:tcPr>
            <w:tcW w:w="4770"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800～1500Pa</w:t>
            </w:r>
          </w:p>
        </w:tc>
      </w:tr>
      <w:tr>
        <w:trPr>
          <w:trHeight w:val="291"/>
        </w:trPr>
        <w:tc>
          <w:tcPr>
            <w:tcW w:w="3701"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允许操作温度</w:t>
            </w:r>
          </w:p>
        </w:tc>
        <w:tc>
          <w:tcPr>
            <w:tcW w:w="4770"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≤450℃</w:t>
            </w:r>
          </w:p>
        </w:tc>
      </w:tr>
      <w:tr>
        <w:trPr>
          <w:trHeight w:val="290"/>
        </w:trPr>
        <w:tc>
          <w:tcPr>
            <w:tcW w:w="3701" w:type="dxa"/>
            <w:tcBorders>
              <w:top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允许处理烟气含尘量</w:t>
            </w:r>
          </w:p>
        </w:tc>
        <w:tc>
          <w:tcPr>
            <w:tcW w:w="4770" w:type="dxa"/>
            <w:tcBorders>
              <w:top w:val="single" w:sz="6" w:space="0" w:color="000000"/>
              <w:lef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400 ~1000g/m</w:t>
            </w:r>
            <w:r>
              <w:rPr>
                <w:rFonts w:ascii="仿宋_GB2312" w:eastAsia="仿宋_GB2312" w:cs="Times New Roman" w:hint="eastAsia"/>
                <w:kern w:val="2"/>
                <w:sz w:val="21"/>
                <w:szCs w:val="21"/>
                <w:vertAlign w:val="superscript"/>
                <w:lang w:bidi="ar-SA"/>
              </w:rPr>
              <w:t>3</w:t>
            </w:r>
          </w:p>
        </w:tc>
      </w:tr>
    </w:tbl>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b/>
          <w:bCs/>
          <w:kern w:val="2"/>
          <w:sz w:val="30"/>
          <w:szCs w:val="30"/>
          <w:lang w:bidi="ar-SA"/>
        </w:rPr>
        <w:t>（2）处理效率。</w:t>
      </w:r>
      <w:r>
        <w:rPr>
          <w:rFonts w:ascii="仿宋_GB2312" w:eastAsia="仿宋_GB2312" w:cs="Times New Roman" w:hint="eastAsia"/>
          <w:kern w:val="2"/>
          <w:sz w:val="30"/>
          <w:szCs w:val="30"/>
          <w:lang w:bidi="ar-SA"/>
        </w:rPr>
        <w:t>除尘效率 70～90%。</w:t>
      </w:r>
    </w:p>
    <w:p>
      <w:pPr>
        <w:autoSpaceDE/>
        <w:autoSpaceDN/>
        <w:spacing w:line="36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4.1.4烟气除尘主要技术指标</w:t>
      </w:r>
    </w:p>
    <w:p>
      <w:pPr>
        <w:autoSpaceDE/>
        <w:autoSpaceDN/>
        <w:spacing w:line="360" w:lineRule="auto"/>
        <w:ind w:firstLineChars="200" w:firstLine="600"/>
        <w:rPr>
          <w:rFonts w:ascii="Times New Roman" w:eastAsia="仿宋_GB2312" w:cs="Times New Roman" w:hAnsi="Times New Roman"/>
          <w:kern w:val="2"/>
          <w:sz w:val="30"/>
          <w:szCs w:val="30"/>
          <w:lang w:bidi="ar-SA"/>
        </w:rPr>
      </w:pPr>
      <w:r>
        <w:rPr>
          <w:rFonts w:ascii="仿宋_GB2312" w:eastAsia="仿宋_GB2312" w:cs="Times New Roman" w:hint="eastAsia"/>
          <w:kern w:val="2"/>
          <w:sz w:val="30"/>
          <w:szCs w:val="30"/>
          <w:lang w:bidi="ar-SA"/>
        </w:rPr>
        <w:t>烟气除尘主要技术指标见表9。</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sectPr>
          <w:type w:val="nextColumn"/>
          <w:pgSz w:w="11910" w:h="16840"/>
          <w:pgMar w:top="1418" w:right="1588" w:bottom="1418" w:left="1588" w:header="0" w:footer="690" w:gutter="0"/>
          <w:pgNumType/>
          <w:docGrid w:linePitch="312" w:charSpace="0"/>
        </w:sectPr>
      </w:pP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表9   烟气除尘主要术指标</w:t>
      </w:r>
    </w:p>
    <w:p>
      <w:pPr>
        <w:pStyle w:val="22"/>
        <w:spacing w:before="5"/>
        <w:jc w:val="both"/>
        <w:rPr>
          <w:rFonts w:ascii="黑体" w:hAnsi="黑体"/>
          <w:sz w:val="5"/>
        </w:rPr>
      </w:pPr>
    </w:p>
    <w:tbl>
      <w:tblPr>
        <w:jc w:val="left"/>
        <w:tblInd w:w="145" w:type="dxa"/>
        <w:tblW w:w="13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2410"/>
        <w:gridCol w:w="3556"/>
        <w:gridCol w:w="1469"/>
        <w:gridCol w:w="2925"/>
        <w:gridCol w:w="3345"/>
      </w:tblGrid>
      <w:tr>
        <w:trPr>
          <w:trHeight w:val="292"/>
        </w:trPr>
        <w:tc>
          <w:tcPr>
            <w:tcW w:w="2410" w:type="dxa"/>
            <w:tcBorders>
              <w:bottom w:val="single" w:sz="4" w:space="0" w:color="000000"/>
              <w:right w:val="single" w:sz="4" w:space="0" w:color="000000"/>
              <w:tl2br w:val="nil"/>
              <w:tr2bl w:val="nil"/>
            </w:tcBorders>
            <w:vAlign w:val="center"/>
          </w:tcPr>
          <w:p>
            <w:pPr>
              <w:pStyle w:val="25"/>
              <w:adjustRightInd w:val="0"/>
              <w:snapToGrid w:val="0"/>
              <w:spacing w:before="3" w:line="240" w:lineRule="exact"/>
              <w:ind w:left="104" w:right="85"/>
              <w:rPr>
                <w:rFonts w:ascii="仿宋_GB2312" w:eastAsia="仿宋_GB2312" w:hint="eastAsia"/>
                <w:b/>
                <w:bCs/>
                <w:sz w:val="21"/>
                <w:szCs w:val="21"/>
              </w:rPr>
            </w:pPr>
            <w:r>
              <w:rPr>
                <w:rFonts w:ascii="仿宋_GB2312" w:eastAsia="仿宋_GB2312" w:hint="eastAsia"/>
                <w:b/>
                <w:bCs/>
                <w:sz w:val="21"/>
                <w:szCs w:val="21"/>
              </w:rPr>
              <w:t>烟气来源</w:t>
            </w:r>
          </w:p>
        </w:tc>
        <w:tc>
          <w:tcPr>
            <w:tcW w:w="3556" w:type="dxa"/>
            <w:tcBorders>
              <w:left w:val="single" w:sz="4" w:space="0" w:color="000000"/>
              <w:bottom w:val="single" w:sz="4" w:space="0" w:color="000000"/>
              <w:right w:val="single" w:sz="4" w:space="0" w:color="000000"/>
              <w:tl2br w:val="nil"/>
              <w:tr2bl w:val="nil"/>
            </w:tcBorders>
            <w:vAlign w:val="center"/>
          </w:tcPr>
          <w:p>
            <w:pPr>
              <w:pStyle w:val="25"/>
              <w:adjustRightInd w:val="0"/>
              <w:snapToGrid w:val="0"/>
              <w:spacing w:before="3" w:line="240" w:lineRule="exact"/>
              <w:ind w:left="152" w:right="127"/>
              <w:rPr>
                <w:rFonts w:ascii="仿宋_GB2312" w:eastAsia="仿宋_GB2312" w:hint="eastAsia"/>
                <w:b/>
                <w:bCs/>
                <w:sz w:val="21"/>
                <w:szCs w:val="21"/>
              </w:rPr>
            </w:pPr>
            <w:r>
              <w:rPr>
                <w:rFonts w:ascii="仿宋_GB2312" w:eastAsia="仿宋_GB2312" w:hint="eastAsia"/>
                <w:b/>
                <w:bCs/>
                <w:sz w:val="21"/>
                <w:szCs w:val="21"/>
              </w:rPr>
              <w:t>可行技术及流程</w:t>
            </w:r>
          </w:p>
        </w:tc>
        <w:tc>
          <w:tcPr>
            <w:tcW w:w="1469" w:type="dxa"/>
            <w:tcBorders>
              <w:left w:val="single" w:sz="4" w:space="0" w:color="000000"/>
              <w:bottom w:val="single" w:sz="4" w:space="0" w:color="000000"/>
              <w:right w:val="single" w:sz="4" w:space="0" w:color="000000"/>
              <w:tl2br w:val="nil"/>
              <w:tr2bl w:val="nil"/>
            </w:tcBorders>
            <w:vAlign w:val="center"/>
          </w:tcPr>
          <w:p>
            <w:pPr>
              <w:pStyle w:val="25"/>
              <w:adjustRightInd w:val="0"/>
              <w:snapToGrid w:val="0"/>
              <w:spacing w:before="3" w:line="240" w:lineRule="exact"/>
              <w:ind w:left="96" w:right="46"/>
              <w:rPr>
                <w:rFonts w:ascii="仿宋_GB2312" w:eastAsia="仿宋_GB2312" w:hint="eastAsia"/>
                <w:b/>
                <w:bCs/>
                <w:sz w:val="21"/>
                <w:szCs w:val="21"/>
              </w:rPr>
            </w:pPr>
            <w:r>
              <w:rPr>
                <w:rFonts w:ascii="仿宋_GB2312" w:eastAsia="仿宋_GB2312" w:hint="eastAsia"/>
                <w:b/>
                <w:bCs/>
                <w:sz w:val="21"/>
                <w:szCs w:val="21"/>
              </w:rPr>
              <w:t>系统总除尘效率（%）</w:t>
            </w:r>
          </w:p>
        </w:tc>
        <w:tc>
          <w:tcPr>
            <w:tcW w:w="2925" w:type="dxa"/>
            <w:tcBorders>
              <w:left w:val="single" w:sz="4" w:space="0" w:color="000000"/>
              <w:bottom w:val="single" w:sz="4" w:space="0" w:color="000000"/>
              <w:right w:val="single" w:sz="4" w:space="0" w:color="000000"/>
              <w:tl2br w:val="nil"/>
              <w:tr2bl w:val="nil"/>
            </w:tcBorders>
            <w:vAlign w:val="center"/>
          </w:tcPr>
          <w:p>
            <w:pPr>
              <w:pStyle w:val="25"/>
              <w:adjustRightInd w:val="0"/>
              <w:snapToGrid w:val="0"/>
              <w:spacing w:before="3" w:line="240" w:lineRule="exact"/>
              <w:ind w:left="136" w:right="110"/>
              <w:rPr>
                <w:rFonts w:ascii="仿宋_GB2312" w:eastAsia="仿宋_GB2312" w:hint="eastAsia"/>
                <w:b/>
                <w:bCs/>
                <w:sz w:val="21"/>
                <w:szCs w:val="21"/>
              </w:rPr>
            </w:pPr>
            <w:r>
              <w:rPr>
                <w:rFonts w:ascii="仿宋_GB2312" w:eastAsia="仿宋_GB2312" w:hint="eastAsia"/>
                <w:b/>
                <w:bCs/>
                <w:sz w:val="21"/>
                <w:szCs w:val="21"/>
              </w:rPr>
              <w:t>除尘器操作温度（℃）</w:t>
            </w:r>
          </w:p>
        </w:tc>
        <w:tc>
          <w:tcPr>
            <w:tcW w:w="3345" w:type="dxa"/>
            <w:tcBorders>
              <w:left w:val="single" w:sz="4" w:space="0" w:color="000000"/>
              <w:bottom w:val="single" w:sz="4" w:space="0" w:color="000000"/>
              <w:tl2br w:val="nil"/>
              <w:tr2bl w:val="nil"/>
            </w:tcBorders>
            <w:vAlign w:val="center"/>
          </w:tcPr>
          <w:p>
            <w:pPr>
              <w:pStyle w:val="25"/>
              <w:adjustRightInd w:val="0"/>
              <w:snapToGrid w:val="0"/>
              <w:spacing w:before="3" w:line="240" w:lineRule="exact"/>
              <w:ind w:left="674"/>
              <w:rPr>
                <w:rFonts w:ascii="仿宋_GB2312" w:eastAsia="仿宋_GB2312" w:hint="eastAsia"/>
                <w:b/>
                <w:bCs/>
                <w:sz w:val="21"/>
                <w:szCs w:val="21"/>
              </w:rPr>
            </w:pPr>
            <w:r>
              <w:rPr>
                <w:rFonts w:ascii="仿宋_GB2312" w:eastAsia="仿宋_GB2312" w:hint="eastAsia"/>
                <w:b/>
                <w:bCs/>
                <w:sz w:val="21"/>
                <w:szCs w:val="21"/>
              </w:rPr>
              <w:t>可行工艺参数</w:t>
            </w:r>
          </w:p>
        </w:tc>
      </w:tr>
      <w:tr>
        <w:trPr>
          <w:trHeight w:val="354"/>
        </w:trPr>
        <w:tc>
          <w:tcPr>
            <w:tcW w:w="2410" w:type="dxa"/>
            <w:vMerge w:val="restart"/>
            <w:tcBorders>
              <w:top w:val="single" w:sz="4" w:space="0" w:color="000000"/>
              <w:bottom w:val="single" w:sz="4" w:space="0" w:color="000000"/>
              <w:right w:val="single" w:sz="4" w:space="0" w:color="000000"/>
              <w:tl2br w:val="nil"/>
              <w:tr2bl w:val="nil"/>
            </w:tcBorders>
          </w:tcPr>
          <w:p>
            <w:pPr>
              <w:pStyle w:val="25"/>
              <w:adjustRightInd w:val="0"/>
              <w:snapToGrid w:val="0"/>
              <w:spacing w:before="8" w:line="240" w:lineRule="exact"/>
              <w:rPr>
                <w:rFonts w:ascii="仿宋_GB2312" w:eastAsia="仿宋_GB2312" w:hint="eastAsia"/>
                <w:sz w:val="21"/>
                <w:szCs w:val="21"/>
              </w:rPr>
            </w:pPr>
          </w:p>
          <w:p>
            <w:pPr>
              <w:pStyle w:val="25"/>
              <w:adjustRightInd w:val="0"/>
              <w:snapToGrid w:val="0"/>
              <w:spacing w:before="1" w:line="240" w:lineRule="exact"/>
              <w:rPr>
                <w:rFonts w:ascii="仿宋_GB2312" w:eastAsia="仿宋_GB2312" w:hint="eastAsia"/>
                <w:sz w:val="21"/>
                <w:szCs w:val="21"/>
              </w:rPr>
            </w:pPr>
            <w:r>
              <w:rPr>
                <w:rFonts w:ascii="仿宋_GB2312" w:eastAsia="仿宋_GB2312" w:hint="eastAsia"/>
                <w:sz w:val="21"/>
                <w:szCs w:val="21"/>
              </w:rPr>
              <w:t>铜精矿干燥窑烟气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7" w:line="240" w:lineRule="exact"/>
              <w:ind w:right="127"/>
              <w:jc w:val="both"/>
              <w:rPr>
                <w:rFonts w:ascii="仿宋_GB2312" w:eastAsia="仿宋_GB2312" w:hint="eastAsia"/>
                <w:sz w:val="21"/>
                <w:szCs w:val="21"/>
              </w:rPr>
            </w:pPr>
            <w:r>
              <w:rPr>
                <w:rFonts w:ascii="仿宋_GB2312" w:eastAsia="仿宋_GB2312" w:hint="eastAsia"/>
                <w:sz w:val="21"/>
                <w:szCs w:val="21"/>
              </w:rPr>
              <w:t>干燥窑→袋式除尘器→风机→放空</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1" w:line="240" w:lineRule="exact"/>
              <w:ind w:left="75" w:right="46"/>
              <w:jc w:val="both"/>
              <w:rPr>
                <w:rFonts w:ascii="仿宋_GB2312" w:eastAsia="仿宋_GB2312" w:hint="eastAsia"/>
                <w:sz w:val="21"/>
                <w:szCs w:val="21"/>
              </w:rPr>
            </w:pPr>
            <w:r>
              <w:rPr>
                <w:rFonts w:ascii="仿宋_GB2312" w:eastAsia="仿宋_GB2312" w:hint="eastAsia"/>
                <w:sz w:val="21"/>
                <w:szCs w:val="21"/>
              </w:rPr>
              <w:t>≥99</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7" w:line="240" w:lineRule="exact"/>
              <w:ind w:left="137" w:right="110"/>
              <w:jc w:val="both"/>
              <w:rPr>
                <w:rFonts w:ascii="仿宋_GB2312" w:eastAsia="仿宋_GB2312" w:hint="eastAsia"/>
                <w:sz w:val="21"/>
                <w:szCs w:val="21"/>
              </w:rPr>
            </w:pPr>
            <w:r>
              <w:rPr>
                <w:rFonts w:ascii="仿宋_GB2312" w:eastAsia="仿宋_GB2312" w:hint="eastAsia"/>
                <w:sz w:val="21"/>
                <w:szCs w:val="21"/>
              </w:rPr>
              <w:t>80～200</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3" w:line="240" w:lineRule="exact"/>
              <w:ind w:right="305"/>
              <w:rPr>
                <w:rFonts w:ascii="仿宋_GB2312" w:eastAsia="仿宋_GB2312" w:hint="eastAsia"/>
                <w:sz w:val="21"/>
                <w:szCs w:val="21"/>
              </w:rPr>
            </w:pPr>
            <w:r>
              <w:rPr>
                <w:rFonts w:ascii="仿宋_GB2312" w:eastAsia="仿宋_GB2312" w:hint="eastAsia"/>
                <w:sz w:val="21"/>
                <w:szCs w:val="21"/>
              </w:rPr>
              <w:t>过滤风速：0.2～1.0m/min</w:t>
            </w:r>
          </w:p>
        </w:tc>
      </w:tr>
      <w:tr>
        <w:trPr>
          <w:trHeight w:val="583"/>
        </w:trPr>
        <w:tc>
          <w:tcPr>
            <w:tcW w:w="2410" w:type="dxa"/>
            <w:vMerge/>
            <w:tcBorders>
              <w:top w:val="nil"/>
              <w:bottom w:val="single" w:sz="4" w:space="0" w:color="000000"/>
              <w:right w:val="single" w:sz="4" w:space="0" w:color="000000"/>
              <w:tl2br w:val="nil"/>
              <w:tr2bl w:val="nil"/>
            </w:tcBorders>
          </w:tcP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5" w:line="240" w:lineRule="exact"/>
              <w:ind w:right="124"/>
              <w:jc w:val="both"/>
              <w:rPr>
                <w:rFonts w:ascii="仿宋_GB2312" w:eastAsia="仿宋_GB2312" w:hint="eastAsia"/>
                <w:sz w:val="21"/>
                <w:szCs w:val="21"/>
              </w:rPr>
            </w:pPr>
            <w:r>
              <w:rPr>
                <w:rFonts w:ascii="仿宋_GB2312" w:eastAsia="仿宋_GB2312" w:hint="eastAsia"/>
                <w:sz w:val="21"/>
                <w:szCs w:val="21"/>
              </w:rPr>
              <w:t>干燥窑→电除尘器→风机→放空</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0" w:line="240" w:lineRule="exact"/>
              <w:ind w:left="75" w:right="46"/>
              <w:jc w:val="both"/>
              <w:rPr>
                <w:rFonts w:ascii="仿宋_GB2312" w:eastAsia="仿宋_GB2312" w:hint="eastAsia"/>
                <w:sz w:val="21"/>
                <w:szCs w:val="21"/>
              </w:rPr>
            </w:pPr>
            <w:r>
              <w:rPr>
                <w:rFonts w:ascii="仿宋_GB2312" w:eastAsia="仿宋_GB2312" w:hint="eastAsia"/>
                <w:sz w:val="21"/>
                <w:szCs w:val="21"/>
              </w:rPr>
              <w:t>≥99</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5" w:line="240" w:lineRule="exact"/>
              <w:ind w:left="137" w:right="110"/>
              <w:jc w:val="both"/>
              <w:rPr>
                <w:rFonts w:ascii="仿宋_GB2312" w:eastAsia="仿宋_GB2312" w:hint="eastAsia"/>
                <w:sz w:val="21"/>
                <w:szCs w:val="21"/>
              </w:rPr>
            </w:pPr>
            <w:r>
              <w:rPr>
                <w:rFonts w:ascii="仿宋_GB2312" w:eastAsia="仿宋_GB2312" w:hint="eastAsia"/>
                <w:sz w:val="21"/>
                <w:szCs w:val="21"/>
              </w:rPr>
              <w:t>80～200</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 w:line="240" w:lineRule="exact"/>
              <w:ind w:right="305"/>
              <w:jc w:val="both"/>
              <w:rPr>
                <w:rFonts w:ascii="仿宋_GB2312" w:eastAsia="仿宋_GB2312" w:hint="eastAsia"/>
                <w:sz w:val="21"/>
                <w:szCs w:val="21"/>
              </w:rPr>
            </w:pPr>
            <w:r>
              <w:rPr>
                <w:rFonts w:ascii="仿宋_GB2312" w:eastAsia="仿宋_GB2312" w:hint="eastAsia"/>
                <w:sz w:val="21"/>
                <w:szCs w:val="21"/>
              </w:rPr>
              <w:t>过滤风速0.2～1.0m/s 4～5电场</w:t>
            </w:r>
          </w:p>
        </w:tc>
      </w:tr>
      <w:tr>
        <w:trPr>
          <w:trHeight w:val="684"/>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0" w:line="240" w:lineRule="exact"/>
              <w:rPr>
                <w:rFonts w:ascii="仿宋_GB2312" w:eastAsia="仿宋_GB2312" w:hint="eastAsia"/>
                <w:sz w:val="21"/>
                <w:szCs w:val="21"/>
              </w:rPr>
            </w:pPr>
          </w:p>
          <w:p>
            <w:pPr>
              <w:pStyle w:val="25"/>
              <w:adjustRightInd w:val="0"/>
              <w:snapToGrid w:val="0"/>
              <w:spacing w:line="240" w:lineRule="exact"/>
              <w:ind w:left="101" w:right="85"/>
              <w:rPr>
                <w:rFonts w:ascii="仿宋_GB2312" w:eastAsia="仿宋_GB2312" w:hint="eastAsia"/>
                <w:sz w:val="21"/>
                <w:szCs w:val="21"/>
              </w:rPr>
            </w:pPr>
            <w:r>
              <w:rPr>
                <w:rFonts w:ascii="仿宋_GB2312" w:eastAsia="仿宋_GB2312" w:hint="eastAsia"/>
                <w:sz w:val="21"/>
                <w:szCs w:val="21"/>
              </w:rPr>
              <w:t>铜精矿载流干燥烟气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 w:line="240" w:lineRule="exact"/>
              <w:ind w:left="177"/>
              <w:jc w:val="both"/>
              <w:rPr>
                <w:rFonts w:ascii="仿宋_GB2312" w:eastAsia="仿宋_GB2312" w:hint="eastAsia"/>
                <w:sz w:val="21"/>
                <w:szCs w:val="21"/>
              </w:rPr>
            </w:pPr>
            <w:r>
              <w:rPr>
                <w:rFonts w:ascii="仿宋_GB2312" w:eastAsia="仿宋_GB2312" w:hint="eastAsia"/>
                <w:sz w:val="21"/>
                <w:szCs w:val="21"/>
              </w:rPr>
              <w:t>载流管→沉尘室→一级旋风除尘器→二级旋风除尘器→风机→电除尘器→放空</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 w:line="240" w:lineRule="exact"/>
              <w:jc w:val="both"/>
              <w:rPr>
                <w:rFonts w:ascii="仿宋_GB2312" w:eastAsia="仿宋_GB2312" w:hint="eastAsia"/>
                <w:sz w:val="21"/>
                <w:szCs w:val="21"/>
              </w:rPr>
            </w:pPr>
          </w:p>
          <w:p>
            <w:pPr>
              <w:pStyle w:val="25"/>
              <w:adjustRightInd w:val="0"/>
              <w:snapToGrid w:val="0"/>
              <w:spacing w:line="240" w:lineRule="exact"/>
              <w:ind w:left="75" w:right="46"/>
              <w:jc w:val="both"/>
              <w:rPr>
                <w:rFonts w:ascii="仿宋_GB2312" w:eastAsia="仿宋_GB2312" w:hint="eastAsia"/>
                <w:sz w:val="21"/>
                <w:szCs w:val="21"/>
              </w:rPr>
            </w:pPr>
            <w:r>
              <w:rPr>
                <w:rFonts w:ascii="仿宋_GB2312" w:eastAsia="仿宋_GB2312" w:hint="eastAsia"/>
                <w:sz w:val="21"/>
                <w:szCs w:val="21"/>
              </w:rPr>
              <w:t>≥99.5</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4" w:line="240" w:lineRule="exact"/>
              <w:ind w:left="137" w:right="110"/>
              <w:jc w:val="both"/>
              <w:rPr>
                <w:rFonts w:ascii="仿宋_GB2312" w:eastAsia="仿宋_GB2312" w:hint="eastAsia"/>
                <w:sz w:val="21"/>
                <w:szCs w:val="21"/>
              </w:rPr>
            </w:pPr>
            <w:r>
              <w:rPr>
                <w:rFonts w:ascii="仿宋_GB2312" w:eastAsia="仿宋_GB2312" w:hint="eastAsia"/>
                <w:sz w:val="21"/>
                <w:szCs w:val="21"/>
              </w:rPr>
              <w:t>80～200</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 w:line="240" w:lineRule="exact"/>
              <w:jc w:val="both"/>
              <w:rPr>
                <w:rFonts w:ascii="仿宋_GB2312" w:eastAsia="仿宋_GB2312" w:hint="eastAsia"/>
                <w:sz w:val="21"/>
                <w:szCs w:val="21"/>
              </w:rPr>
            </w:pPr>
            <w:r>
              <w:rPr>
                <w:rFonts w:ascii="仿宋_GB2312" w:eastAsia="仿宋_GB2312" w:hint="eastAsia"/>
                <w:sz w:val="21"/>
                <w:szCs w:val="21"/>
              </w:rPr>
              <w:t>过滤风速 0.2～1.0m/s</w:t>
            </w:r>
          </w:p>
          <w:p>
            <w:pPr>
              <w:pStyle w:val="25"/>
              <w:adjustRightInd w:val="0"/>
              <w:snapToGrid w:val="0"/>
              <w:spacing w:before="6" w:line="240" w:lineRule="exact"/>
              <w:ind w:right="199"/>
              <w:jc w:val="both"/>
              <w:rPr>
                <w:rFonts w:ascii="仿宋_GB2312" w:eastAsia="仿宋_GB2312" w:hint="eastAsia"/>
                <w:sz w:val="21"/>
                <w:szCs w:val="21"/>
              </w:rPr>
            </w:pPr>
            <w:r>
              <w:rPr>
                <w:rFonts w:ascii="仿宋_GB2312" w:eastAsia="仿宋_GB2312" w:hint="eastAsia"/>
                <w:sz w:val="21"/>
                <w:szCs w:val="21"/>
              </w:rPr>
              <w:t>烟气含尘20～1000g/m</w:t>
            </w:r>
            <w:r>
              <w:rPr>
                <w:rFonts w:ascii="仿宋_GB2312" w:eastAsia="仿宋_GB2312" w:hint="eastAsia"/>
                <w:sz w:val="21"/>
                <w:szCs w:val="21"/>
                <w:vertAlign w:val="superscript"/>
              </w:rPr>
              <w:t>3</w:t>
            </w:r>
            <w:r>
              <w:rPr>
                <w:rFonts w:ascii="仿宋_GB2312" w:eastAsia="仿宋_GB2312" w:hint="eastAsia"/>
                <w:sz w:val="21"/>
                <w:szCs w:val="21"/>
              </w:rPr>
              <w:t xml:space="preserve"> 4～5电场</w:t>
            </w:r>
          </w:p>
        </w:tc>
      </w:tr>
      <w:tr>
        <w:trPr>
          <w:trHeight w:val="582"/>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45" w:line="240" w:lineRule="exact"/>
              <w:ind w:left="104" w:right="85"/>
              <w:rPr>
                <w:rFonts w:ascii="仿宋_GB2312" w:eastAsia="仿宋_GB2312" w:hint="eastAsia"/>
                <w:sz w:val="21"/>
                <w:szCs w:val="21"/>
              </w:rPr>
            </w:pPr>
            <w:r>
              <w:rPr>
                <w:rFonts w:ascii="仿宋_GB2312" w:eastAsia="仿宋_GB2312" w:hint="eastAsia"/>
                <w:sz w:val="21"/>
                <w:szCs w:val="21"/>
              </w:rPr>
              <w:t>顶(底)吹熔炼炉熔炼烟气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5" w:line="240" w:lineRule="exact"/>
              <w:ind w:right="127"/>
              <w:jc w:val="both"/>
              <w:rPr>
                <w:rFonts w:ascii="仿宋_GB2312" w:eastAsia="仿宋_GB2312" w:hint="eastAsia"/>
                <w:sz w:val="21"/>
                <w:szCs w:val="21"/>
              </w:rPr>
            </w:pPr>
            <w:r>
              <w:rPr>
                <w:rFonts w:ascii="仿宋_GB2312" w:eastAsia="仿宋_GB2312" w:hint="eastAsia"/>
                <w:sz w:val="21"/>
                <w:szCs w:val="21"/>
              </w:rPr>
              <w:t>余热锅炉→电除尘器→风机→制酸</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2" w:line="240" w:lineRule="exact"/>
              <w:ind w:left="75" w:right="46"/>
              <w:jc w:val="both"/>
              <w:rPr>
                <w:rFonts w:ascii="仿宋_GB2312" w:eastAsia="仿宋_GB2312" w:hint="eastAsia"/>
                <w:sz w:val="21"/>
                <w:szCs w:val="21"/>
              </w:rPr>
            </w:pPr>
            <w:r>
              <w:rPr>
                <w:rFonts w:ascii="仿宋_GB2312" w:eastAsia="仿宋_GB2312" w:hint="eastAsia"/>
                <w:sz w:val="21"/>
                <w:szCs w:val="21"/>
              </w:rPr>
              <w:t>≥98</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5" w:line="240" w:lineRule="exact"/>
              <w:ind w:left="137" w:right="110"/>
              <w:jc w:val="both"/>
              <w:rPr>
                <w:rFonts w:ascii="仿宋_GB2312" w:eastAsia="仿宋_GB2312" w:hint="eastAsia"/>
                <w:sz w:val="21"/>
                <w:szCs w:val="21"/>
              </w:rPr>
            </w:pPr>
            <w:r>
              <w:rPr>
                <w:rFonts w:ascii="仿宋_GB2312" w:eastAsia="仿宋_GB2312" w:hint="eastAsia"/>
                <w:sz w:val="21"/>
                <w:szCs w:val="21"/>
              </w:rPr>
              <w:t>≤400并高于烟气露点温度30℃以上</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 w:line="240" w:lineRule="exact"/>
              <w:ind w:right="305"/>
              <w:jc w:val="both"/>
              <w:rPr>
                <w:rFonts w:ascii="仿宋_GB2312" w:eastAsia="仿宋_GB2312" w:hint="eastAsia"/>
                <w:sz w:val="21"/>
                <w:szCs w:val="21"/>
              </w:rPr>
            </w:pPr>
            <w:r>
              <w:rPr>
                <w:rFonts w:ascii="仿宋_GB2312" w:eastAsia="仿宋_GB2312" w:hint="eastAsia"/>
                <w:sz w:val="21"/>
                <w:szCs w:val="21"/>
              </w:rPr>
              <w:t>过滤风速0.2～1.0m/s4～5电场</w:t>
            </w:r>
          </w:p>
        </w:tc>
      </w:tr>
      <w:tr>
        <w:trPr>
          <w:trHeight w:val="583"/>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47" w:line="240" w:lineRule="exact"/>
              <w:ind w:left="101" w:right="85"/>
              <w:rPr>
                <w:rFonts w:ascii="仿宋_GB2312" w:eastAsia="仿宋_GB2312" w:hint="eastAsia"/>
                <w:sz w:val="21"/>
                <w:szCs w:val="21"/>
              </w:rPr>
            </w:pPr>
            <w:r>
              <w:rPr>
                <w:rFonts w:ascii="仿宋_GB2312" w:eastAsia="仿宋_GB2312" w:hint="eastAsia"/>
                <w:sz w:val="21"/>
                <w:szCs w:val="21"/>
              </w:rPr>
              <w:t>闪速炉熔炼烟气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 w:line="240" w:lineRule="exact"/>
              <w:ind w:left="152" w:right="124"/>
              <w:jc w:val="both"/>
              <w:rPr>
                <w:rFonts w:ascii="仿宋_GB2312" w:eastAsia="仿宋_GB2312" w:hint="eastAsia"/>
                <w:sz w:val="21"/>
                <w:szCs w:val="21"/>
              </w:rPr>
            </w:pPr>
            <w:r>
              <w:rPr>
                <w:rFonts w:ascii="仿宋_GB2312" w:eastAsia="仿宋_GB2312" w:hint="eastAsia"/>
                <w:sz w:val="21"/>
                <w:szCs w:val="21"/>
              </w:rPr>
              <w:t>余热锅炉→电除尘器 (必要时可设粗除尘) →风机→制酸</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1" w:line="240" w:lineRule="exact"/>
              <w:ind w:left="75" w:right="46"/>
              <w:jc w:val="both"/>
              <w:rPr>
                <w:rFonts w:ascii="仿宋_GB2312" w:eastAsia="仿宋_GB2312" w:hint="eastAsia"/>
                <w:sz w:val="21"/>
                <w:szCs w:val="21"/>
              </w:rPr>
            </w:pPr>
            <w:r>
              <w:rPr>
                <w:rFonts w:ascii="仿宋_GB2312" w:eastAsia="仿宋_GB2312" w:hint="eastAsia"/>
                <w:sz w:val="21"/>
                <w:szCs w:val="21"/>
              </w:rPr>
              <w:t>≥98</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5" w:line="240" w:lineRule="exact"/>
              <w:ind w:left="137" w:right="110"/>
              <w:jc w:val="both"/>
              <w:rPr>
                <w:rFonts w:ascii="仿宋_GB2312" w:eastAsia="仿宋_GB2312" w:hint="eastAsia"/>
                <w:sz w:val="21"/>
                <w:szCs w:val="21"/>
              </w:rPr>
            </w:pPr>
            <w:r>
              <w:rPr>
                <w:rFonts w:ascii="仿宋_GB2312" w:eastAsia="仿宋_GB2312" w:hint="eastAsia"/>
                <w:sz w:val="21"/>
                <w:szCs w:val="21"/>
              </w:rPr>
              <w:t>≤400并高于烟气露点温度30℃以上</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 w:line="240" w:lineRule="exact"/>
              <w:ind w:right="305"/>
              <w:jc w:val="both"/>
              <w:rPr>
                <w:rFonts w:ascii="仿宋_GB2312" w:eastAsia="仿宋_GB2312" w:hint="eastAsia"/>
                <w:sz w:val="21"/>
                <w:szCs w:val="21"/>
              </w:rPr>
            </w:pPr>
            <w:r>
              <w:rPr>
                <w:rFonts w:ascii="仿宋_GB2312" w:eastAsia="仿宋_GB2312" w:hint="eastAsia"/>
                <w:sz w:val="21"/>
                <w:szCs w:val="21"/>
              </w:rPr>
              <w:t>过滤风速0.2～1.0m/s4～5电场</w:t>
            </w:r>
          </w:p>
        </w:tc>
      </w:tr>
      <w:tr>
        <w:trPr>
          <w:trHeight w:val="505"/>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6" w:line="240" w:lineRule="exact"/>
              <w:rPr>
                <w:rFonts w:ascii="仿宋_GB2312" w:eastAsia="仿宋_GB2312" w:hint="eastAsia"/>
                <w:sz w:val="21"/>
                <w:szCs w:val="21"/>
              </w:rPr>
            </w:pPr>
          </w:p>
          <w:p>
            <w:pPr>
              <w:pStyle w:val="25"/>
              <w:adjustRightInd w:val="0"/>
              <w:snapToGrid w:val="0"/>
              <w:spacing w:line="240" w:lineRule="exact"/>
              <w:ind w:left="104" w:right="85"/>
              <w:rPr>
                <w:rFonts w:ascii="仿宋_GB2312" w:eastAsia="仿宋_GB2312" w:hint="eastAsia"/>
                <w:sz w:val="21"/>
                <w:szCs w:val="21"/>
              </w:rPr>
            </w:pPr>
            <w:r>
              <w:rPr>
                <w:rFonts w:ascii="仿宋_GB2312" w:eastAsia="仿宋_GB2312" w:hint="eastAsia"/>
                <w:sz w:val="21"/>
                <w:szCs w:val="21"/>
              </w:rPr>
              <w:t>吹炼烟气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29" w:line="240" w:lineRule="exact"/>
              <w:ind w:left="715" w:right="19" w:hanging="600"/>
              <w:jc w:val="both"/>
              <w:rPr>
                <w:rFonts w:ascii="仿宋_GB2312" w:eastAsia="仿宋_GB2312" w:hint="eastAsia"/>
                <w:sz w:val="21"/>
                <w:szCs w:val="21"/>
              </w:rPr>
            </w:pPr>
            <w:r>
              <w:rPr>
                <w:rFonts w:ascii="仿宋_GB2312" w:eastAsia="仿宋_GB2312" w:hint="eastAsia"/>
                <w:sz w:val="21"/>
                <w:szCs w:val="21"/>
              </w:rPr>
              <w:t>转炉→余热锅炉（喷雾冷却器）→电除尘器→风机→制酸</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8" w:line="240" w:lineRule="exact"/>
              <w:jc w:val="both"/>
              <w:rPr>
                <w:rFonts w:ascii="仿宋_GB2312" w:eastAsia="仿宋_GB2312" w:hint="eastAsia"/>
                <w:sz w:val="21"/>
                <w:szCs w:val="21"/>
              </w:rPr>
            </w:pPr>
          </w:p>
          <w:p>
            <w:pPr>
              <w:pStyle w:val="25"/>
              <w:adjustRightInd w:val="0"/>
              <w:snapToGrid w:val="0"/>
              <w:spacing w:line="240" w:lineRule="exact"/>
              <w:ind w:left="75" w:right="46"/>
              <w:jc w:val="both"/>
              <w:rPr>
                <w:rFonts w:ascii="仿宋_GB2312" w:eastAsia="仿宋_GB2312" w:hint="eastAsia"/>
                <w:sz w:val="21"/>
                <w:szCs w:val="21"/>
              </w:rPr>
            </w:pPr>
            <w:r>
              <w:rPr>
                <w:rFonts w:ascii="仿宋_GB2312" w:eastAsia="仿宋_GB2312" w:hint="eastAsia"/>
                <w:sz w:val="21"/>
                <w:szCs w:val="21"/>
              </w:rPr>
              <w:t>≥98</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3" w:line="240" w:lineRule="exact"/>
              <w:ind w:left="137" w:right="110"/>
              <w:jc w:val="both"/>
              <w:rPr>
                <w:rFonts w:ascii="仿宋_GB2312" w:eastAsia="仿宋_GB2312" w:hint="eastAsia"/>
                <w:sz w:val="21"/>
                <w:szCs w:val="21"/>
              </w:rPr>
            </w:pPr>
            <w:r>
              <w:rPr>
                <w:rFonts w:ascii="仿宋_GB2312" w:eastAsia="仿宋_GB2312" w:hint="eastAsia"/>
                <w:sz w:val="21"/>
                <w:szCs w:val="21"/>
              </w:rPr>
              <w:t>≤400并高于烟气露点温度30℃以上</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29" w:line="240" w:lineRule="exact"/>
              <w:ind w:right="284"/>
              <w:jc w:val="both"/>
              <w:rPr>
                <w:rFonts w:ascii="仿宋_GB2312" w:eastAsia="仿宋_GB2312" w:hint="eastAsia"/>
                <w:sz w:val="21"/>
                <w:szCs w:val="21"/>
              </w:rPr>
            </w:pPr>
            <w:r>
              <w:rPr>
                <w:rFonts w:ascii="仿宋_GB2312" w:eastAsia="仿宋_GB2312" w:hint="eastAsia"/>
                <w:sz w:val="21"/>
                <w:szCs w:val="21"/>
              </w:rPr>
              <w:t>过滤风速0.2～1.0m/s 4～5电场</w:t>
            </w:r>
          </w:p>
        </w:tc>
      </w:tr>
      <w:tr>
        <w:trPr>
          <w:trHeight w:val="583"/>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46" w:line="240" w:lineRule="exact"/>
              <w:ind w:left="104" w:right="85"/>
              <w:rPr>
                <w:rFonts w:ascii="仿宋_GB2312" w:eastAsia="仿宋_GB2312" w:hint="eastAsia"/>
                <w:sz w:val="21"/>
                <w:szCs w:val="21"/>
              </w:rPr>
            </w:pPr>
            <w:r>
              <w:rPr>
                <w:rFonts w:ascii="仿宋_GB2312" w:eastAsia="仿宋_GB2312" w:hint="eastAsia"/>
                <w:sz w:val="21"/>
                <w:szCs w:val="21"/>
              </w:rPr>
              <w:t>含砷熔炼烟气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left="152" w:right="127"/>
              <w:jc w:val="both"/>
              <w:rPr>
                <w:rFonts w:ascii="仿宋_GB2312" w:eastAsia="仿宋_GB2312" w:hint="eastAsia"/>
                <w:sz w:val="21"/>
                <w:szCs w:val="21"/>
              </w:rPr>
            </w:pPr>
            <w:r>
              <w:rPr>
                <w:rFonts w:ascii="仿宋_GB2312" w:eastAsia="仿宋_GB2312" w:hint="eastAsia"/>
                <w:sz w:val="21"/>
                <w:szCs w:val="21"/>
              </w:rPr>
              <w:t>余热锅炉→电除尘器→骤冷塔→袋式除尘器→风机→制酸</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 w:line="240" w:lineRule="exact"/>
              <w:ind w:right="46"/>
              <w:jc w:val="both"/>
              <w:rPr>
                <w:rFonts w:ascii="仿宋_GB2312" w:eastAsia="仿宋_GB2312" w:hint="eastAsia"/>
                <w:sz w:val="21"/>
                <w:szCs w:val="21"/>
              </w:rPr>
            </w:pPr>
            <w:r>
              <w:rPr>
                <w:rFonts w:ascii="仿宋_GB2312" w:eastAsia="仿宋_GB2312" w:hint="eastAsia"/>
                <w:sz w:val="21"/>
                <w:szCs w:val="21"/>
              </w:rPr>
              <w:t>≥99.5</w:t>
            </w:r>
          </w:p>
          <w:p>
            <w:pPr>
              <w:pStyle w:val="25"/>
              <w:adjustRightInd w:val="0"/>
              <w:snapToGrid w:val="0"/>
              <w:spacing w:before="53" w:line="240" w:lineRule="exact"/>
              <w:ind w:right="46"/>
              <w:jc w:val="both"/>
              <w:rPr>
                <w:rFonts w:ascii="仿宋_GB2312" w:eastAsia="仿宋_GB2312" w:hint="eastAsia"/>
                <w:sz w:val="21"/>
                <w:szCs w:val="21"/>
              </w:rPr>
            </w:pPr>
            <w:r>
              <w:rPr>
                <w:rFonts w:ascii="仿宋_GB2312" w:eastAsia="仿宋_GB2312" w:hint="eastAsia"/>
                <w:sz w:val="21"/>
                <w:szCs w:val="21"/>
              </w:rPr>
              <w:t>≥92（砷）</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jc w:val="both"/>
              <w:rPr>
                <w:rFonts w:ascii="仿宋_GB2312" w:eastAsia="仿宋_GB2312" w:hint="eastAsia"/>
                <w:sz w:val="21"/>
                <w:szCs w:val="21"/>
              </w:rPr>
            </w:pPr>
            <w:r>
              <w:rPr>
                <w:rFonts w:ascii="仿宋_GB2312" w:eastAsia="仿宋_GB2312" w:hint="eastAsia"/>
                <w:sz w:val="21"/>
                <w:szCs w:val="21"/>
              </w:rPr>
              <w:t>≥350（电除尘器）</w:t>
            </w:r>
          </w:p>
          <w:p>
            <w:pPr>
              <w:pStyle w:val="25"/>
              <w:adjustRightInd w:val="0"/>
              <w:snapToGrid w:val="0"/>
              <w:spacing w:before="2" w:line="240" w:lineRule="exact"/>
              <w:jc w:val="both"/>
              <w:rPr>
                <w:rFonts w:ascii="仿宋_GB2312" w:eastAsia="仿宋_GB2312" w:hint="eastAsia"/>
                <w:sz w:val="21"/>
                <w:szCs w:val="21"/>
              </w:rPr>
            </w:pPr>
            <w:r>
              <w:rPr>
                <w:rFonts w:ascii="仿宋_GB2312" w:eastAsia="仿宋_GB2312" w:hint="eastAsia"/>
                <w:sz w:val="21"/>
                <w:szCs w:val="21"/>
              </w:rPr>
              <w:t>≤120（袋式除尘器）</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2" w:line="240" w:lineRule="exact"/>
              <w:ind w:left="344" w:right="305"/>
              <w:jc w:val="both"/>
              <w:rPr>
                <w:rFonts w:ascii="仿宋_GB2312" w:eastAsia="仿宋_GB2312" w:hint="eastAsia"/>
                <w:sz w:val="21"/>
                <w:szCs w:val="21"/>
              </w:rPr>
            </w:pPr>
            <w:r>
              <w:rPr>
                <w:rFonts w:ascii="仿宋_GB2312" w:eastAsia="仿宋_GB2312" w:hint="eastAsia"/>
                <w:sz w:val="21"/>
                <w:szCs w:val="21"/>
              </w:rPr>
              <w:t>过滤风速0.2～1.0m/s</w:t>
            </w:r>
          </w:p>
          <w:p>
            <w:pPr>
              <w:pStyle w:val="25"/>
              <w:adjustRightInd w:val="0"/>
              <w:snapToGrid w:val="0"/>
              <w:spacing w:before="60" w:line="240" w:lineRule="exact"/>
              <w:ind w:left="344" w:right="305"/>
              <w:jc w:val="both"/>
              <w:rPr>
                <w:rFonts w:ascii="仿宋_GB2312" w:eastAsia="仿宋_GB2312" w:hint="eastAsia"/>
                <w:sz w:val="21"/>
                <w:szCs w:val="21"/>
              </w:rPr>
            </w:pPr>
            <w:r>
              <w:rPr>
                <w:rFonts w:ascii="仿宋_GB2312" w:eastAsia="仿宋_GB2312" w:hint="eastAsia"/>
                <w:sz w:val="21"/>
                <w:szCs w:val="21"/>
              </w:rPr>
              <w:t>4～5电场</w:t>
            </w:r>
          </w:p>
        </w:tc>
      </w:tr>
      <w:tr>
        <w:trPr>
          <w:trHeight w:val="583"/>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45" w:line="240" w:lineRule="exact"/>
              <w:ind w:left="104" w:right="85"/>
              <w:rPr>
                <w:rFonts w:ascii="仿宋_GB2312" w:eastAsia="仿宋_GB2312" w:hint="eastAsia"/>
                <w:sz w:val="21"/>
                <w:szCs w:val="21"/>
              </w:rPr>
            </w:pPr>
            <w:r>
              <w:rPr>
                <w:rFonts w:ascii="仿宋_GB2312" w:eastAsia="仿宋_GB2312" w:hint="eastAsia"/>
                <w:sz w:val="21"/>
                <w:szCs w:val="21"/>
              </w:rPr>
              <w:t>电炉贫化烟气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 w:line="240" w:lineRule="exact"/>
              <w:ind w:left="148" w:right="132"/>
              <w:jc w:val="both"/>
              <w:rPr>
                <w:rFonts w:ascii="仿宋_GB2312" w:eastAsia="仿宋_GB2312" w:hint="eastAsia"/>
                <w:sz w:val="21"/>
                <w:szCs w:val="21"/>
              </w:rPr>
            </w:pPr>
            <w:r>
              <w:rPr>
                <w:rFonts w:ascii="仿宋_GB2312" w:eastAsia="仿宋_GB2312" w:hint="eastAsia"/>
                <w:sz w:val="21"/>
                <w:szCs w:val="21"/>
              </w:rPr>
              <w:t>电炉→水套烟道→电除尘器→风机→制酸</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1" w:line="240" w:lineRule="exact"/>
              <w:ind w:left="75" w:right="46"/>
              <w:jc w:val="both"/>
              <w:rPr>
                <w:rFonts w:ascii="仿宋_GB2312" w:eastAsia="仿宋_GB2312" w:hint="eastAsia"/>
                <w:sz w:val="21"/>
                <w:szCs w:val="21"/>
              </w:rPr>
            </w:pPr>
            <w:r>
              <w:rPr>
                <w:rFonts w:ascii="仿宋_GB2312" w:eastAsia="仿宋_GB2312" w:hint="eastAsia"/>
                <w:sz w:val="21"/>
                <w:szCs w:val="21"/>
              </w:rPr>
              <w:t>≥99</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1" w:line="240" w:lineRule="exact"/>
              <w:ind w:left="137" w:right="110"/>
              <w:jc w:val="both"/>
              <w:rPr>
                <w:rFonts w:ascii="仿宋_GB2312" w:eastAsia="仿宋_GB2312" w:hint="eastAsia"/>
                <w:sz w:val="21"/>
                <w:szCs w:val="21"/>
              </w:rPr>
            </w:pPr>
            <w:r>
              <w:rPr>
                <w:rFonts w:ascii="仿宋_GB2312" w:eastAsia="仿宋_GB2312" w:hint="eastAsia"/>
                <w:sz w:val="21"/>
                <w:szCs w:val="21"/>
              </w:rPr>
              <w:t>≥300</w:t>
            </w:r>
          </w:p>
        </w:tc>
        <w:tc>
          <w:tcPr>
            <w:tcW w:w="3345" w:type="dxa"/>
            <w:tcBorders>
              <w:top w:val="single" w:sz="4" w:space="0" w:color="000000"/>
              <w:left w:val="single" w:sz="4" w:space="0" w:color="000000"/>
              <w:bottom w:val="single" w:sz="4" w:space="0" w:color="000000"/>
              <w:tl2br w:val="nil"/>
              <w:tr2bl w:val="nil"/>
            </w:tcBorders>
            <w:vAlign w:val="center"/>
          </w:tcPr>
          <w:p>
            <w:pPr>
              <w:pStyle w:val="25"/>
              <w:adjustRightInd w:val="0"/>
              <w:snapToGrid w:val="0"/>
              <w:spacing w:before="1" w:line="240" w:lineRule="exact"/>
              <w:ind w:right="305"/>
              <w:jc w:val="both"/>
              <w:rPr>
                <w:rFonts w:ascii="仿宋_GB2312" w:eastAsia="仿宋_GB2312" w:hint="eastAsia"/>
                <w:sz w:val="21"/>
                <w:szCs w:val="21"/>
              </w:rPr>
            </w:pPr>
            <w:r>
              <w:rPr>
                <w:rFonts w:ascii="仿宋_GB2312" w:eastAsia="仿宋_GB2312" w:hint="eastAsia"/>
                <w:sz w:val="21"/>
                <w:szCs w:val="21"/>
              </w:rPr>
              <w:t>过滤风速0.2～1.0m/s4～5电场</w:t>
            </w:r>
          </w:p>
        </w:tc>
      </w:tr>
      <w:tr>
        <w:trPr>
          <w:trHeight w:val="731"/>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10" w:line="240" w:lineRule="exact"/>
              <w:rPr>
                <w:rFonts w:ascii="仿宋_GB2312" w:eastAsia="仿宋_GB2312" w:hint="eastAsia"/>
                <w:sz w:val="21"/>
                <w:szCs w:val="21"/>
              </w:rPr>
            </w:pPr>
          </w:p>
          <w:p>
            <w:pPr>
              <w:pStyle w:val="25"/>
              <w:adjustRightInd w:val="0"/>
              <w:snapToGrid w:val="0"/>
              <w:spacing w:line="240" w:lineRule="exact"/>
              <w:ind w:left="104" w:right="85"/>
              <w:rPr>
                <w:rFonts w:ascii="仿宋_GB2312" w:eastAsia="仿宋_GB2312" w:hint="eastAsia"/>
                <w:sz w:val="21"/>
                <w:szCs w:val="21"/>
              </w:rPr>
            </w:pPr>
            <w:r>
              <w:rPr>
                <w:rFonts w:ascii="仿宋_GB2312" w:eastAsia="仿宋_GB2312" w:hint="eastAsia"/>
                <w:sz w:val="21"/>
                <w:szCs w:val="21"/>
              </w:rPr>
              <w:t>精炼烟气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right="149"/>
              <w:jc w:val="both"/>
              <w:rPr>
                <w:rFonts w:ascii="仿宋_GB2312" w:eastAsia="仿宋_GB2312" w:hint="eastAsia"/>
                <w:sz w:val="21"/>
                <w:szCs w:val="21"/>
              </w:rPr>
            </w:pPr>
            <w:r>
              <w:rPr>
                <w:rFonts w:ascii="仿宋_GB2312" w:eastAsia="仿宋_GB2312" w:hint="eastAsia"/>
                <w:sz w:val="21"/>
                <w:szCs w:val="21"/>
              </w:rPr>
              <w:t>阳极炉→余热锅炉→烟气换热器→ 冷却烟道→袋式除尘器（或电除尘器）→风机→制酸（或脱硫）</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2" w:line="240" w:lineRule="exact"/>
              <w:jc w:val="both"/>
              <w:rPr>
                <w:rFonts w:ascii="仿宋_GB2312" w:eastAsia="仿宋_GB2312" w:hint="eastAsia"/>
                <w:sz w:val="21"/>
                <w:szCs w:val="21"/>
              </w:rPr>
            </w:pPr>
          </w:p>
          <w:p>
            <w:pPr>
              <w:pStyle w:val="25"/>
              <w:adjustRightInd w:val="0"/>
              <w:snapToGrid w:val="0"/>
              <w:spacing w:line="240" w:lineRule="exact"/>
              <w:ind w:left="75" w:right="46"/>
              <w:jc w:val="both"/>
              <w:rPr>
                <w:rFonts w:ascii="仿宋_GB2312" w:eastAsia="仿宋_GB2312" w:hint="eastAsia"/>
                <w:sz w:val="21"/>
                <w:szCs w:val="21"/>
              </w:rPr>
            </w:pPr>
            <w:r>
              <w:rPr>
                <w:rFonts w:ascii="仿宋_GB2312" w:eastAsia="仿宋_GB2312" w:hint="eastAsia"/>
                <w:sz w:val="21"/>
                <w:szCs w:val="21"/>
              </w:rPr>
              <w:t>≥99</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46" w:line="240" w:lineRule="exact"/>
              <w:ind w:left="115" w:right="39"/>
              <w:jc w:val="both"/>
              <w:rPr>
                <w:rFonts w:ascii="仿宋_GB2312" w:eastAsia="仿宋_GB2312" w:hint="eastAsia"/>
                <w:sz w:val="21"/>
                <w:szCs w:val="21"/>
              </w:rPr>
            </w:pPr>
            <w:r>
              <w:rPr>
                <w:rFonts w:ascii="仿宋_GB2312" w:eastAsia="仿宋_GB2312" w:hint="eastAsia"/>
                <w:sz w:val="21"/>
                <w:szCs w:val="21"/>
              </w:rPr>
              <w:t>≤150（袋式除尘器）并高于烟气露点温度30℃以上</w:t>
            </w:r>
          </w:p>
        </w:tc>
        <w:tc>
          <w:tcPr>
            <w:tcW w:w="3345" w:type="dxa"/>
            <w:tcBorders>
              <w:top w:val="single" w:sz="4" w:space="0" w:color="000000"/>
              <w:left w:val="single" w:sz="4" w:space="0" w:color="000000"/>
              <w:bottom w:val="single" w:sz="4" w:space="0" w:color="000000"/>
              <w:tl2br w:val="nil"/>
              <w:tr2bl w:val="nil"/>
            </w:tcBorders>
          </w:tcPr>
          <w:p>
            <w:pPr>
              <w:pStyle w:val="25"/>
              <w:adjustRightInd w:val="0"/>
              <w:snapToGrid w:val="0"/>
              <w:spacing w:before="146" w:line="240" w:lineRule="exact"/>
              <w:ind w:right="305"/>
              <w:jc w:val="both"/>
              <w:rPr>
                <w:rFonts w:ascii="仿宋_GB2312" w:eastAsia="仿宋_GB2312" w:hint="eastAsia"/>
                <w:sz w:val="21"/>
                <w:szCs w:val="21"/>
              </w:rPr>
            </w:pPr>
            <w:r>
              <w:rPr>
                <w:rFonts w:ascii="仿宋_GB2312" w:eastAsia="仿宋_GB2312" w:hint="eastAsia"/>
                <w:sz w:val="21"/>
                <w:szCs w:val="21"/>
              </w:rPr>
              <w:t>过滤风速0.2～1.0m/min</w:t>
            </w:r>
          </w:p>
        </w:tc>
      </w:tr>
      <w:tr>
        <w:trPr>
          <w:trHeight w:val="583"/>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line="240" w:lineRule="exact"/>
              <w:ind w:left="104" w:right="85"/>
              <w:rPr>
                <w:rFonts w:ascii="仿宋_GB2312" w:eastAsia="仿宋_GB2312" w:hint="eastAsia"/>
                <w:sz w:val="21"/>
                <w:szCs w:val="21"/>
              </w:rPr>
            </w:pPr>
            <w:r>
              <w:rPr>
                <w:rFonts w:ascii="仿宋_GB2312" w:eastAsia="仿宋_GB2312" w:hint="eastAsia"/>
                <w:sz w:val="21"/>
                <w:szCs w:val="21"/>
              </w:rPr>
              <w:t>杂铜阳极炉烟气、熔炼及吹炼炉烟气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line="240" w:lineRule="exact"/>
              <w:ind w:left="152" w:right="127"/>
              <w:jc w:val="both"/>
              <w:rPr>
                <w:rFonts w:ascii="仿宋_GB2312" w:eastAsia="仿宋_GB2312" w:hint="eastAsia"/>
                <w:sz w:val="21"/>
                <w:szCs w:val="21"/>
              </w:rPr>
            </w:pPr>
            <w:r>
              <w:rPr>
                <w:rFonts w:ascii="仿宋_GB2312" w:eastAsia="仿宋_GB2312" w:hint="eastAsia"/>
                <w:sz w:val="21"/>
                <w:szCs w:val="21"/>
              </w:rPr>
              <w:t>余热锅炉→烟气冷却器→袋式除尘器→风机→放空</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161" w:line="240" w:lineRule="exact"/>
              <w:ind w:left="75" w:right="46"/>
              <w:jc w:val="both"/>
              <w:rPr>
                <w:rFonts w:ascii="仿宋_GB2312" w:eastAsia="仿宋_GB2312" w:hint="eastAsia"/>
                <w:sz w:val="21"/>
                <w:szCs w:val="21"/>
              </w:rPr>
            </w:pPr>
            <w:r>
              <w:rPr>
                <w:rFonts w:ascii="仿宋_GB2312" w:eastAsia="仿宋_GB2312" w:hint="eastAsia"/>
                <w:sz w:val="21"/>
                <w:szCs w:val="21"/>
              </w:rPr>
              <w:t>≥ 99.5</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line="240" w:lineRule="exact"/>
              <w:ind w:right="110"/>
              <w:jc w:val="both"/>
              <w:rPr>
                <w:rFonts w:ascii="仿宋_GB2312" w:eastAsia="仿宋_GB2312" w:hint="eastAsia"/>
                <w:sz w:val="21"/>
                <w:szCs w:val="21"/>
              </w:rPr>
            </w:pPr>
            <w:r>
              <w:rPr>
                <w:rFonts w:ascii="仿宋_GB2312" w:eastAsia="仿宋_GB2312" w:hint="eastAsia"/>
                <w:sz w:val="21"/>
                <w:szCs w:val="21"/>
              </w:rPr>
              <w:t>低于滤料允许操作温度并高于烟气露点温度 30℃以上</w:t>
            </w:r>
          </w:p>
        </w:tc>
        <w:tc>
          <w:tcPr>
            <w:tcW w:w="3345" w:type="dxa"/>
            <w:tcBorders>
              <w:top w:val="single" w:sz="4" w:space="0" w:color="000000"/>
              <w:left w:val="single" w:sz="4" w:space="0" w:color="000000"/>
              <w:bottom w:val="single" w:sz="4" w:space="0" w:color="000000"/>
              <w:tl2br w:val="nil"/>
              <w:tr2bl w:val="nil"/>
            </w:tcBorders>
          </w:tcPr>
          <w:p>
            <w:pPr>
              <w:pStyle w:val="25"/>
              <w:adjustRightInd w:val="0"/>
              <w:snapToGrid w:val="0"/>
              <w:spacing w:line="240" w:lineRule="exact"/>
              <w:ind w:right="305"/>
              <w:jc w:val="both"/>
              <w:rPr>
                <w:rFonts w:ascii="仿宋_GB2312" w:eastAsia="仿宋_GB2312" w:hint="eastAsia"/>
                <w:sz w:val="21"/>
                <w:szCs w:val="21"/>
              </w:rPr>
            </w:pPr>
            <w:r>
              <w:rPr>
                <w:rFonts w:ascii="仿宋_GB2312" w:eastAsia="仿宋_GB2312" w:hint="eastAsia"/>
                <w:sz w:val="21"/>
                <w:szCs w:val="21"/>
              </w:rPr>
              <w:t>过滤风速0.2～1.0m/min</w:t>
            </w:r>
          </w:p>
        </w:tc>
      </w:tr>
      <w:tr>
        <w:trPr>
          <w:trHeight w:val="584"/>
        </w:trPr>
        <w:tc>
          <w:tcPr>
            <w:tcW w:w="2410" w:type="dxa"/>
            <w:tcBorders>
              <w:top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left="104" w:right="85"/>
              <w:rPr>
                <w:rFonts w:ascii="仿宋_GB2312" w:eastAsia="仿宋_GB2312" w:hint="eastAsia"/>
                <w:sz w:val="21"/>
                <w:szCs w:val="21"/>
              </w:rPr>
            </w:pPr>
            <w:r>
              <w:rPr>
                <w:rFonts w:ascii="仿宋_GB2312" w:eastAsia="仿宋_GB2312" w:hint="eastAsia"/>
                <w:sz w:val="21"/>
                <w:szCs w:val="21"/>
              </w:rPr>
              <w:t>杂铜阳极炉烟气、熔炼及吹炼炉烟气</w:t>
            </w:r>
          </w:p>
        </w:tc>
        <w:tc>
          <w:tcPr>
            <w:tcW w:w="3556"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left="152" w:right="127"/>
              <w:jc w:val="both"/>
              <w:rPr>
                <w:rFonts w:ascii="仿宋_GB2312" w:eastAsia="仿宋_GB2312" w:hint="eastAsia"/>
                <w:sz w:val="21"/>
                <w:szCs w:val="21"/>
              </w:rPr>
            </w:pPr>
            <w:r>
              <w:rPr>
                <w:rFonts w:ascii="仿宋_GB2312" w:eastAsia="仿宋_GB2312" w:hint="eastAsia"/>
                <w:sz w:val="21"/>
                <w:szCs w:val="21"/>
              </w:rPr>
              <w:t>余热锅炉→骤冷器→袋式除尘器→风机→放空</w:t>
            </w:r>
          </w:p>
        </w:tc>
        <w:tc>
          <w:tcPr>
            <w:tcW w:w="1469"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right="46"/>
              <w:jc w:val="both"/>
              <w:rPr>
                <w:rFonts w:ascii="仿宋_GB2312" w:eastAsia="仿宋_GB2312" w:hint="eastAsia"/>
                <w:sz w:val="21"/>
                <w:szCs w:val="21"/>
              </w:rPr>
            </w:pPr>
            <w:r>
              <w:rPr>
                <w:rFonts w:ascii="仿宋_GB2312" w:eastAsia="仿宋_GB2312" w:hint="eastAsia"/>
                <w:sz w:val="21"/>
                <w:szCs w:val="21"/>
              </w:rPr>
              <w:t>≥99.5，二恶英净化效率≥95</w:t>
            </w:r>
          </w:p>
        </w:tc>
        <w:tc>
          <w:tcPr>
            <w:tcW w:w="2925" w:type="dxa"/>
            <w:tcBorders>
              <w:top w:val="single" w:sz="4" w:space="0" w:color="000000"/>
              <w:left w:val="single" w:sz="4" w:space="0" w:color="000000"/>
              <w:bottom w:val="single" w:sz="4" w:space="0" w:color="000000"/>
              <w:right w:val="single" w:sz="4" w:space="0" w:color="000000"/>
              <w:tl2br w:val="nil"/>
              <w:tr2bl w:val="nil"/>
            </w:tcBorders>
          </w:tcPr>
          <w:p>
            <w:pPr>
              <w:pStyle w:val="25"/>
              <w:adjustRightInd w:val="0"/>
              <w:snapToGrid w:val="0"/>
              <w:spacing w:before="2" w:line="240" w:lineRule="exact"/>
              <w:ind w:right="110"/>
              <w:jc w:val="both"/>
              <w:rPr>
                <w:rFonts w:ascii="仿宋_GB2312" w:eastAsia="仿宋_GB2312" w:hint="eastAsia"/>
                <w:sz w:val="21"/>
                <w:szCs w:val="21"/>
              </w:rPr>
            </w:pPr>
            <w:r>
              <w:rPr>
                <w:rFonts w:ascii="仿宋_GB2312" w:eastAsia="仿宋_GB2312" w:hint="eastAsia"/>
                <w:sz w:val="21"/>
                <w:szCs w:val="21"/>
              </w:rPr>
              <w:t>低于滤料允许操作温度并高于烟气露点温度30℃以上</w:t>
            </w:r>
          </w:p>
        </w:tc>
        <w:tc>
          <w:tcPr>
            <w:tcW w:w="3345" w:type="dxa"/>
            <w:tcBorders>
              <w:top w:val="single" w:sz="4" w:space="0" w:color="000000"/>
              <w:left w:val="single" w:sz="4" w:space="0" w:color="000000"/>
              <w:bottom w:val="single" w:sz="4" w:space="0" w:color="000000"/>
              <w:tl2br w:val="nil"/>
              <w:tr2bl w:val="nil"/>
            </w:tcBorders>
          </w:tcPr>
          <w:p>
            <w:pPr>
              <w:pStyle w:val="25"/>
              <w:adjustRightInd w:val="0"/>
              <w:snapToGrid w:val="0"/>
              <w:spacing w:before="2" w:line="240" w:lineRule="exact"/>
              <w:ind w:right="305"/>
              <w:jc w:val="both"/>
              <w:rPr>
                <w:rFonts w:ascii="仿宋_GB2312" w:eastAsia="仿宋_GB2312" w:hint="eastAsia"/>
                <w:sz w:val="21"/>
                <w:szCs w:val="21"/>
              </w:rPr>
            </w:pPr>
            <w:r>
              <w:rPr>
                <w:rFonts w:ascii="仿宋_GB2312" w:eastAsia="仿宋_GB2312" w:hint="eastAsia"/>
                <w:sz w:val="21"/>
                <w:szCs w:val="21"/>
              </w:rPr>
              <w:t>过滤风速0.2～1.0m/min</w:t>
            </w:r>
          </w:p>
        </w:tc>
      </w:tr>
      <w:tr>
        <w:trPr>
          <w:trHeight w:val="582"/>
        </w:trPr>
        <w:tc>
          <w:tcPr>
            <w:tcW w:w="2410" w:type="dxa"/>
            <w:tcBorders>
              <w:top w:val="single" w:sz="4" w:space="0" w:color="000000"/>
              <w:right w:val="single" w:sz="4" w:space="0" w:color="000000"/>
              <w:tl2br w:val="nil"/>
              <w:tr2bl w:val="nil"/>
            </w:tcBorders>
          </w:tcPr>
          <w:p>
            <w:pPr>
              <w:pStyle w:val="25"/>
              <w:adjustRightInd w:val="0"/>
              <w:snapToGrid w:val="0"/>
              <w:spacing w:before="147" w:line="240" w:lineRule="exact"/>
              <w:ind w:left="104" w:right="85"/>
              <w:rPr>
                <w:rFonts w:ascii="仿宋_GB2312" w:eastAsia="仿宋_GB2312" w:hint="eastAsia"/>
                <w:sz w:val="21"/>
                <w:szCs w:val="21"/>
              </w:rPr>
            </w:pPr>
            <w:r>
              <w:rPr>
                <w:rFonts w:ascii="仿宋_GB2312" w:eastAsia="仿宋_GB2312" w:hint="eastAsia"/>
                <w:sz w:val="21"/>
                <w:szCs w:val="21"/>
              </w:rPr>
              <w:t>卫生通风空气</w:t>
            </w:r>
          </w:p>
        </w:tc>
        <w:tc>
          <w:tcPr>
            <w:tcW w:w="3556" w:type="dxa"/>
            <w:tcBorders>
              <w:top w:val="single" w:sz="4" w:space="0" w:color="000000"/>
              <w:left w:val="single" w:sz="4" w:space="0" w:color="000000"/>
              <w:right w:val="single" w:sz="4" w:space="0" w:color="000000"/>
              <w:tl2br w:val="nil"/>
              <w:tr2bl w:val="nil"/>
            </w:tcBorders>
          </w:tcPr>
          <w:p>
            <w:pPr>
              <w:pStyle w:val="25"/>
              <w:adjustRightInd w:val="0"/>
              <w:snapToGrid w:val="0"/>
              <w:spacing w:before="1" w:line="240" w:lineRule="exact"/>
              <w:ind w:left="152" w:right="127"/>
              <w:jc w:val="both"/>
              <w:rPr>
                <w:rFonts w:ascii="仿宋_GB2312" w:eastAsia="仿宋_GB2312" w:hint="eastAsia"/>
                <w:sz w:val="21"/>
                <w:szCs w:val="21"/>
              </w:rPr>
            </w:pPr>
            <w:r>
              <w:rPr>
                <w:rFonts w:ascii="仿宋_GB2312" w:eastAsia="仿宋_GB2312" w:hint="eastAsia"/>
                <w:sz w:val="21"/>
                <w:szCs w:val="21"/>
              </w:rPr>
              <w:t>各排风点→袋式除尘器→风机→放空（或脱硫）</w:t>
            </w:r>
          </w:p>
        </w:tc>
        <w:tc>
          <w:tcPr>
            <w:tcW w:w="1469" w:type="dxa"/>
            <w:tcBorders>
              <w:top w:val="single" w:sz="4" w:space="0" w:color="000000"/>
              <w:left w:val="single" w:sz="4" w:space="0" w:color="000000"/>
              <w:right w:val="single" w:sz="4" w:space="0" w:color="000000"/>
              <w:tl2br w:val="nil"/>
              <w:tr2bl w:val="nil"/>
            </w:tcBorders>
          </w:tcPr>
          <w:p>
            <w:pPr>
              <w:pStyle w:val="25"/>
              <w:adjustRightInd w:val="0"/>
              <w:snapToGrid w:val="0"/>
              <w:spacing w:before="162" w:line="240" w:lineRule="exact"/>
              <w:ind w:left="75" w:right="46"/>
              <w:jc w:val="both"/>
              <w:rPr>
                <w:rFonts w:ascii="仿宋_GB2312" w:eastAsia="仿宋_GB2312" w:hint="eastAsia"/>
                <w:sz w:val="21"/>
                <w:szCs w:val="21"/>
              </w:rPr>
            </w:pPr>
            <w:r>
              <w:rPr>
                <w:rFonts w:ascii="仿宋_GB2312" w:eastAsia="仿宋_GB2312" w:hint="eastAsia"/>
                <w:sz w:val="21"/>
                <w:szCs w:val="21"/>
              </w:rPr>
              <w:t>≥99.5</w:t>
            </w:r>
          </w:p>
        </w:tc>
        <w:tc>
          <w:tcPr>
            <w:tcW w:w="2925" w:type="dxa"/>
            <w:tcBorders>
              <w:top w:val="single" w:sz="4" w:space="0" w:color="000000"/>
              <w:left w:val="single" w:sz="4" w:space="0" w:color="000000"/>
              <w:right w:val="single" w:sz="4" w:space="0" w:color="000000"/>
              <w:tl2br w:val="nil"/>
              <w:tr2bl w:val="nil"/>
            </w:tcBorders>
          </w:tcPr>
          <w:p>
            <w:pPr>
              <w:pStyle w:val="25"/>
              <w:adjustRightInd w:val="0"/>
              <w:snapToGrid w:val="0"/>
              <w:spacing w:before="147" w:line="240" w:lineRule="exact"/>
              <w:ind w:left="138" w:right="110"/>
              <w:jc w:val="both"/>
              <w:rPr>
                <w:rFonts w:ascii="仿宋_GB2312" w:eastAsia="仿宋_GB2312" w:hint="eastAsia"/>
                <w:sz w:val="21"/>
                <w:szCs w:val="21"/>
              </w:rPr>
            </w:pPr>
            <w:r>
              <w:rPr>
                <w:rFonts w:ascii="仿宋_GB2312" w:eastAsia="仿宋_GB2312" w:hint="eastAsia"/>
                <w:sz w:val="21"/>
                <w:szCs w:val="21"/>
              </w:rPr>
              <w:t>≤120（袋式）</w:t>
            </w:r>
          </w:p>
        </w:tc>
        <w:tc>
          <w:tcPr>
            <w:tcW w:w="3345" w:type="dxa"/>
            <w:tcBorders>
              <w:top w:val="single" w:sz="4" w:space="0" w:color="000000"/>
              <w:left w:val="single" w:sz="4" w:space="0" w:color="000000"/>
              <w:tl2br w:val="nil"/>
              <w:tr2bl w:val="nil"/>
            </w:tcBorders>
          </w:tcPr>
          <w:p>
            <w:pPr>
              <w:pStyle w:val="25"/>
              <w:adjustRightInd w:val="0"/>
              <w:snapToGrid w:val="0"/>
              <w:spacing w:before="1" w:line="240" w:lineRule="exact"/>
              <w:ind w:right="305"/>
              <w:jc w:val="both"/>
              <w:rPr>
                <w:rFonts w:ascii="仿宋_GB2312" w:eastAsia="仿宋_GB2312" w:hint="eastAsia"/>
                <w:sz w:val="21"/>
                <w:szCs w:val="21"/>
              </w:rPr>
            </w:pPr>
            <w:r>
              <w:rPr>
                <w:rFonts w:ascii="仿宋_GB2312" w:eastAsia="仿宋_GB2312" w:hint="eastAsia"/>
                <w:sz w:val="21"/>
                <w:szCs w:val="21"/>
              </w:rPr>
              <w:t>过滤风速0.7～1.2m/min</w:t>
            </w:r>
          </w:p>
        </w:tc>
      </w:tr>
    </w:tbl>
    <w:p>
      <w:pPr>
        <w:autoSpaceDE/>
        <w:autoSpaceDN/>
        <w:spacing w:line="360" w:lineRule="auto"/>
        <w:jc w:val="both"/>
        <w:rPr>
          <w:rFonts w:ascii="Times New Roman" w:eastAsia="仿宋_GB2312" w:cs="Times New Roman" w:hAnsi="Times New Roman"/>
          <w:kern w:val="2"/>
          <w:sz w:val="30"/>
          <w:szCs w:val="30"/>
          <w:lang w:bidi="ar-SA"/>
        </w:rPr>
      </w:pPr>
    </w:p>
    <w:p>
      <w:pPr>
        <w:pStyle w:val="3"/>
        <w:spacing w:before="0" w:after="0" w:line="360" w:lineRule="auto"/>
        <w:jc w:val="both"/>
        <w:rPr>
          <w:rFonts w:ascii="仿宋" w:eastAsia="仿宋" w:hint="eastAsia"/>
          <w:sz w:val="30"/>
          <w:szCs w:val="30"/>
        </w:rPr>
        <w:sectPr>
          <w:type w:val="nextColumn"/>
          <w:pgSz w:w="16840" w:h="11910" w:orient="landscape"/>
          <w:pgMar w:top="1418" w:right="1588" w:bottom="1418" w:left="1588" w:header="0" w:footer="692" w:gutter="0"/>
          <w:pgNumType/>
          <w:docGrid w:linePitch="312" w:charSpace="0"/>
        </w:sectPr>
      </w:pPr>
    </w:p>
    <w:p>
      <w:pPr>
        <w:pStyle w:val="2"/>
        <w:spacing w:before="0" w:after="0" w:line="360" w:lineRule="auto"/>
        <w:jc w:val="both"/>
        <w:rPr>
          <w:rFonts w:ascii="仿宋_GB2312" w:eastAsia="仿宋_GB2312" w:hint="eastAsia"/>
        </w:rPr>
      </w:pPr>
      <w:bookmarkStart w:id="66" w:name="_Toc89766402"/>
      <w:r>
        <w:rPr>
          <w:rFonts w:ascii="仿宋_GB2312" w:eastAsia="仿宋_GB2312" w:hint="eastAsia"/>
        </w:rPr>
        <w:t>4.2烟气制酸技术及主要技术指标</w:t>
      </w:r>
      <w:bookmarkEnd w:id="66"/>
    </w:p>
    <w:p>
      <w:pPr>
        <w:pStyle w:val="3"/>
        <w:spacing w:before="0" w:after="0" w:line="360" w:lineRule="auto"/>
        <w:jc w:val="both"/>
        <w:rPr>
          <w:rFonts w:ascii="仿宋_GB2312" w:eastAsia="仿宋_GB2312" w:hint="eastAsia"/>
          <w:sz w:val="30"/>
          <w:szCs w:val="30"/>
        </w:rPr>
      </w:pPr>
      <w:bookmarkStart w:id="67" w:name="_Toc89766403"/>
      <w:r>
        <w:rPr>
          <w:rFonts w:ascii="仿宋_GB2312" w:eastAsia="仿宋_GB2312" w:hint="eastAsia"/>
          <w:sz w:val="30"/>
          <w:szCs w:val="30"/>
        </w:rPr>
        <w:t>4.2.1烟气制酸技术</w:t>
      </w:r>
      <w:bookmarkEnd w:id="67"/>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（1）绝热蒸发稀酸冷却烟气净化技术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绝热蒸发稀酸冷却烟气净化技术是使用稀酸喷淋含SO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的烟气，利用绝热蒸发降温增湿及洗涤的作用使杂质从烟气中分离出来，达到除尘、除雾、吸收废气、调整烟气温度的目的。</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典型烟气净化流程：一级洗涤→烟气冷却→二级洗涤→一级除雾→二级除雾。该技术可提高循环酸浓度，减少废酸排放量，降低新水消耗。该技术适用于所有的铜冶炼制酸烟气的湿式净化。</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（2）低位高效SO</w:t>
      </w:r>
      <w:r>
        <w:rPr>
          <w:rFonts w:ascii="仿宋_GB2312" w:eastAsia="仿宋_GB2312" w:cs="Times New Roman" w:hint="eastAsia"/>
          <w:b/>
          <w:kern w:val="2"/>
          <w:sz w:val="30"/>
          <w:szCs w:val="30"/>
          <w:vertAlign w:val="subscript"/>
          <w:lang w:bidi="ar-SA"/>
        </w:rPr>
        <w:t>2</w:t>
      </w:r>
      <w:r>
        <w:rPr>
          <w:rFonts w:ascii="仿宋_GB2312" w:eastAsia="仿宋_GB2312" w:cs="Times New Roman" w:hint="eastAsia"/>
          <w:b/>
          <w:kern w:val="2"/>
          <w:sz w:val="30"/>
          <w:szCs w:val="30"/>
          <w:lang w:bidi="ar-SA"/>
        </w:rPr>
        <w:t>干燥和SO</w:t>
      </w:r>
      <w:r>
        <w:rPr>
          <w:rFonts w:ascii="仿宋_GB2312" w:eastAsia="仿宋_GB2312" w:cs="Times New Roman" w:hint="eastAsia"/>
          <w:b/>
          <w:kern w:val="2"/>
          <w:sz w:val="30"/>
          <w:szCs w:val="30"/>
          <w:vertAlign w:val="subscript"/>
          <w:lang w:bidi="ar-SA"/>
        </w:rPr>
        <w:t>3</w:t>
      </w:r>
      <w:r>
        <w:rPr>
          <w:rFonts w:ascii="仿宋_GB2312" w:eastAsia="仿宋_GB2312" w:cs="Times New Roman" w:hint="eastAsia"/>
          <w:b/>
          <w:kern w:val="2"/>
          <w:sz w:val="30"/>
          <w:szCs w:val="30"/>
          <w:lang w:bidi="ar-SA"/>
        </w:rPr>
        <w:t>吸收技术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低位高效SO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干燥和SO</w:t>
      </w:r>
      <w:r>
        <w:rPr>
          <w:rFonts w:ascii="仿宋_GB2312" w:eastAsia="仿宋_GB2312" w:cs="Times New Roman" w:hint="eastAsia"/>
          <w:kern w:val="2"/>
          <w:sz w:val="30"/>
          <w:szCs w:val="30"/>
          <w:vertAlign w:val="subscript"/>
          <w:lang w:bidi="ar-SA"/>
        </w:rPr>
        <w:t xml:space="preserve">3 </w:t>
      </w:r>
      <w:r>
        <w:rPr>
          <w:rFonts w:ascii="仿宋_GB2312" w:eastAsia="仿宋_GB2312" w:cs="Times New Roman" w:hint="eastAsia"/>
          <w:kern w:val="2"/>
          <w:sz w:val="30"/>
          <w:szCs w:val="30"/>
          <w:lang w:bidi="ar-SA"/>
        </w:rPr>
        <w:t>吸收技术是利用浓硫酸等干燥剂吸收SO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中的水蒸汽和SO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以净化和干燥制酸烟气。低位高效干吸工艺相对于传统工艺干燥塔和吸收塔操作气速高、填料高度低、喷淋密度大，减小了设备直径及高度，节省了设备投资。干燥塔、吸收塔、泵槽均低位配置，有利于降低泵的能耗。干燥塔采用丝网除沫器、吸收塔采用纤维除雾器，降低了尾气中的酸雾含量。</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该技术适用所有制酸烟气的干燥和SO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的吸收。硫酸尾气从吸收塔（或最终吸收塔）排出，尾气SO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浓度低于400mg/m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，经尾气处理后，硫酸雾浓度低于 40mg/m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（3）湿法硫酸技术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湿法硫酸技术是烟气经过湿式净化后，不经干燥直接进行催化氧化，SO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转化为SO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，进而水合生成硫酸（气态），然后在特制的冷凝器中被冷凝生成液态浓硫酸。</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该技术处理低浓度SO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烟气，与传统的烟气脱硫工艺相比，没有任何副产品和废物排出，硫资源利用率接近100%。</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该技术处理低浓度SO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烟气(1.75-3.5%)优势明显，SO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浓度低于1.75%时需要消耗额外的能量，经济性较差。</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（4）单接触+尾气脱硫技术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单接触技术是指SO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烟气只经一次转化和一次吸收制酸，SO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转化率相对较低，需另外配置尾气脱硫装置联合使用。</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该技术冶炼烟气中的SO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大部分以硫酸的形式回收，少量再通过烟气脱硫装置以其他化工产品回收，SO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转化率不低于 99%。该技术适用于SO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浓度在3.5～6%之间的烟气制取硫酸。</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（5）双接触技术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双接触技术是SO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烟气先进行一次转化，转化生成的SO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在吸收塔（中间吸收塔）被吸收生成硫酸，未转化的SO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返回转化器再进行二次转化，二次转化后的SO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在吸收塔（最终吸收塔）被吸收生成硫酸。通常采用四段转化，根据具体烟气条件和排放要求可选择五段转化。</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采用双接触技术，烟气中的SO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以硫酸的形式回收，SO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转化率不低于 99.5%。该技术适用于SO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浓度在5-14%之间的烟气制取硫酸。</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（6）预转化技术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预转化技术是指烟气在未进入正常转化之前，部分烟气先经预转化器转化，转化后烟气与其余的SO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烟气合并后进入主转化器。预转化生成的SO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进入主转化器后，起到抑制主转化器第一触媒层SO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转化率的作用，防止触媒层超温，避免损坏触媒和设备。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该技术可提高SO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总转化率，降低尾气污染物排放浓度及排放量。该技术适用于SO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浓度高于14%的烟气制取硫酸。</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（7）</w:t>
      </w: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b/>
          <w:kern w:val="2"/>
          <w:sz w:val="30"/>
          <w:szCs w:val="30"/>
          <w:lang w:bidi="ar-SA"/>
        </w:rPr>
        <w:t>再循环技术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再循环技术是将反应后的含SO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烟气部分循环到转化器一层入口，起到抑制转化器第一触媒层SO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转化率的作用，从而控制触媒层温度在允许范围内。</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转化率超过99.9%，可降低尾气污染物排放浓度和排放量。该技术适用于SO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浓度高于14%的烟气制取硫酸。</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（8）烟气制酸中温位、低温位余热回收技术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转化和SO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吸收均为放热反应，转化产生的热为中温位热，干吸产生的热为低温位热。转化实现系统自身热平衡外，余热可通过锅炉、省煤器或其他换热设备生产中低压蒸汽或热空气，供生产、采暖通风、卫生热水或余热发电使用。干吸低温位热以低压蒸汽或其他形式回收。</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采用余热回收技术后可使中温位、低温位热利用率由42%左右提高至 90%以上。该技术适用于铜冶炼烟气制酸工艺。</w:t>
      </w:r>
    </w:p>
    <w:p>
      <w:pPr>
        <w:pStyle w:val="3"/>
        <w:spacing w:before="0" w:after="0" w:line="360" w:lineRule="auto"/>
        <w:jc w:val="both"/>
        <w:rPr>
          <w:rFonts w:ascii="仿宋_GB2312" w:eastAsia="仿宋_GB2312" w:hint="eastAsia"/>
          <w:sz w:val="30"/>
          <w:szCs w:val="30"/>
        </w:rPr>
      </w:pPr>
      <w:bookmarkStart w:id="68" w:name="_Toc89766404"/>
      <w:r>
        <w:rPr>
          <w:rFonts w:ascii="仿宋_GB2312" w:eastAsia="仿宋_GB2312" w:hint="eastAsia"/>
          <w:sz w:val="30"/>
          <w:szCs w:val="30"/>
        </w:rPr>
        <w:t>4.2.2主要技术指标</w:t>
      </w:r>
      <w:bookmarkEnd w:id="68"/>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烟气制酸可行技术及主要技术指标见表10。</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表10  烟气制酸可行技术及主要技术指标</w:t>
      </w:r>
    </w:p>
    <w:tbl>
      <w:tblPr>
        <w:jc w:val="center"/>
        <w:tblW w:w="96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944"/>
        <w:gridCol w:w="1515"/>
        <w:gridCol w:w="3875"/>
        <w:gridCol w:w="2079"/>
        <w:gridCol w:w="1276"/>
      </w:tblGrid>
      <w:tr>
        <w:trPr>
          <w:trHeight w:val="437"/>
        </w:trPr>
        <w:tc>
          <w:tcPr>
            <w:tcW w:w="944" w:type="dxa"/>
            <w:tcBorders>
              <w:tl2br w:val="nil"/>
              <w:tr2bl w:val="nil"/>
            </w:tcBorders>
            <w:vAlign w:val="center"/>
          </w:tcPr>
          <w:p>
            <w:pPr>
              <w:pStyle w:val="25"/>
              <w:rPr>
                <w:rFonts w:ascii="仿宋_GB2312" w:eastAsia="仿宋_GB2312" w:hint="eastAsia"/>
                <w:sz w:val="21"/>
                <w:szCs w:val="21"/>
              </w:rPr>
            </w:pPr>
            <w:r>
              <w:rPr>
                <w:rFonts w:ascii="仿宋_GB2312" w:eastAsia="仿宋_GB2312" w:hint="eastAsia"/>
                <w:sz w:val="21"/>
                <w:szCs w:val="21"/>
              </w:rPr>
              <w:t>工段</w:t>
            </w:r>
          </w:p>
        </w:tc>
        <w:tc>
          <w:tcPr>
            <w:tcW w:w="1515" w:type="dxa"/>
            <w:tcBorders>
              <w:tl2br w:val="nil"/>
              <w:tr2bl w:val="nil"/>
            </w:tcBorders>
            <w:vAlign w:val="center"/>
          </w:tcPr>
          <w:p>
            <w:pPr>
              <w:pStyle w:val="25"/>
              <w:rPr>
                <w:rFonts w:ascii="仿宋_GB2312" w:eastAsia="仿宋_GB2312" w:hint="eastAsia"/>
                <w:sz w:val="21"/>
                <w:szCs w:val="21"/>
              </w:rPr>
            </w:pPr>
            <w:r>
              <w:rPr>
                <w:rFonts w:ascii="仿宋_GB2312" w:eastAsia="仿宋_GB2312" w:hint="eastAsia"/>
                <w:sz w:val="21"/>
                <w:szCs w:val="21"/>
              </w:rPr>
              <w:t>可行技术</w:t>
            </w:r>
          </w:p>
        </w:tc>
        <w:tc>
          <w:tcPr>
            <w:tcW w:w="3875" w:type="dxa"/>
            <w:tcBorders>
              <w:tl2br w:val="nil"/>
              <w:tr2bl w:val="nil"/>
            </w:tcBorders>
            <w:vAlign w:val="center"/>
          </w:tcPr>
          <w:p>
            <w:pPr>
              <w:pStyle w:val="25"/>
              <w:rPr>
                <w:rFonts w:ascii="仿宋_GB2312" w:eastAsia="仿宋_GB2312" w:hint="eastAsia"/>
                <w:sz w:val="21"/>
                <w:szCs w:val="21"/>
              </w:rPr>
            </w:pPr>
            <w:r>
              <w:rPr>
                <w:rFonts w:ascii="仿宋_GB2312" w:eastAsia="仿宋_GB2312" w:hint="eastAsia"/>
                <w:sz w:val="21"/>
                <w:szCs w:val="21"/>
              </w:rPr>
              <w:t>可行工艺参数</w:t>
            </w:r>
          </w:p>
        </w:tc>
        <w:tc>
          <w:tcPr>
            <w:tcW w:w="2079" w:type="dxa"/>
            <w:tcBorders>
              <w:tl2br w:val="nil"/>
              <w:tr2bl w:val="nil"/>
            </w:tcBorders>
            <w:vAlign w:val="center"/>
          </w:tcPr>
          <w:p>
            <w:pPr>
              <w:pStyle w:val="25"/>
              <w:rPr>
                <w:rFonts w:ascii="仿宋_GB2312" w:eastAsia="仿宋_GB2312" w:hint="eastAsia"/>
                <w:sz w:val="21"/>
                <w:szCs w:val="21"/>
              </w:rPr>
            </w:pPr>
            <w:r>
              <w:rPr>
                <w:rFonts w:ascii="仿宋_GB2312" w:eastAsia="仿宋_GB2312" w:hint="eastAsia"/>
                <w:sz w:val="21"/>
                <w:szCs w:val="21"/>
              </w:rPr>
              <w:t>污染物消减及排放</w:t>
            </w:r>
          </w:p>
        </w:tc>
        <w:tc>
          <w:tcPr>
            <w:tcW w:w="1276" w:type="dxa"/>
            <w:tcBorders>
              <w:tl2br w:val="nil"/>
              <w:tr2bl w:val="nil"/>
            </w:tcBorders>
            <w:vAlign w:val="center"/>
          </w:tcPr>
          <w:p>
            <w:pPr>
              <w:pStyle w:val="25"/>
              <w:rPr>
                <w:rFonts w:ascii="仿宋_GB2312" w:eastAsia="仿宋_GB2312" w:hint="eastAsia"/>
                <w:sz w:val="21"/>
                <w:szCs w:val="21"/>
              </w:rPr>
            </w:pPr>
            <w:r>
              <w:rPr>
                <w:rFonts w:ascii="仿宋_GB2312" w:eastAsia="仿宋_GB2312" w:hint="eastAsia"/>
                <w:sz w:val="21"/>
                <w:szCs w:val="21"/>
              </w:rPr>
              <w:t>技术适用性</w:t>
            </w:r>
          </w:p>
        </w:tc>
      </w:tr>
      <w:tr>
        <w:trPr>
          <w:trHeight w:val="405"/>
        </w:trPr>
        <w:tc>
          <w:tcPr>
            <w:tcW w:w="944"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烟气净化</w:t>
            </w: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绝热蒸发稀酸冷却烟气净化技术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4"/>
                <w:sz w:val="21"/>
                <w:szCs w:val="21"/>
              </w:rPr>
              <w:t xml:space="preserve">一级洗涤进口烟气温度 </w:t>
            </w:r>
            <w:r>
              <w:rPr>
                <w:rFonts w:ascii="仿宋_GB2312" w:eastAsia="仿宋_GB2312" w:hint="eastAsia"/>
                <w:spacing w:val="-3"/>
                <w:sz w:val="21"/>
                <w:szCs w:val="21"/>
              </w:rPr>
              <w:t xml:space="preserve">250～280℃ </w:t>
            </w:r>
            <w:r>
              <w:rPr>
                <w:rFonts w:ascii="仿宋_GB2312" w:eastAsia="仿宋_GB2312" w:hint="eastAsia"/>
                <w:spacing w:val="-4"/>
                <w:sz w:val="21"/>
                <w:szCs w:val="21"/>
              </w:rPr>
              <w:t>一级洗涤出口烟气温度</w:t>
            </w:r>
            <w:r>
              <w:rPr>
                <w:rFonts w:ascii="仿宋_GB2312" w:eastAsia="仿宋_GB2312" w:hint="eastAsia"/>
                <w:sz w:val="21"/>
                <w:szCs w:val="21"/>
              </w:rPr>
              <w:t xml:space="preserve">55～65℃ </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4"/>
                <w:sz w:val="21"/>
                <w:szCs w:val="21"/>
              </w:rPr>
              <w:t xml:space="preserve">电除雾器进口烟气温度 </w:t>
            </w:r>
            <w:r>
              <w:rPr>
                <w:rFonts w:ascii="仿宋_GB2312" w:eastAsia="仿宋_GB2312" w:hint="eastAsia"/>
                <w:sz w:val="21"/>
                <w:szCs w:val="21"/>
              </w:rPr>
              <w:t>52～42℃</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出电除雾器酸雾含量＜5</w:t>
            </w:r>
            <w:r>
              <w:rPr>
                <w:rFonts w:ascii="仿宋_GB2312" w:eastAsia="仿宋_GB2312" w:hint="eastAsia"/>
                <w:spacing w:val="-2"/>
                <w:sz w:val="21"/>
                <w:szCs w:val="21"/>
              </w:rPr>
              <w:t xml:space="preserve"> </w:t>
            </w:r>
            <w:r>
              <w:rPr>
                <w:rFonts w:ascii="仿宋_GB2312" w:eastAsia="仿宋_GB2312" w:hint="eastAsia"/>
                <w:sz w:val="21"/>
                <w:szCs w:val="21"/>
              </w:rPr>
              <w:t>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出电除雾器尘含量＜2 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出电除雾器砷、氯含量＜1 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出电除雾器氟含量＜0.5mg/m</w:t>
            </w:r>
            <w:r>
              <w:rPr>
                <w:rFonts w:ascii="仿宋_GB2312" w:eastAsia="仿宋_GB2312" w:hint="eastAsia"/>
                <w:sz w:val="21"/>
                <w:szCs w:val="21"/>
                <w:vertAlign w:val="superscript"/>
              </w:rPr>
              <w:t>3</w:t>
            </w: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3"/>
                <w:sz w:val="21"/>
                <w:szCs w:val="21"/>
              </w:rPr>
              <w:t>烟气净化外排压滤渣和废酸。采用绝热蒸发稀酸冷却烟气净化技术，提高了循环酸浓度，减少了废酸排放量，</w:t>
            </w:r>
            <w:r>
              <w:rPr>
                <w:rFonts w:ascii="仿宋_GB2312" w:eastAsia="仿宋_GB2312" w:hint="eastAsia"/>
                <w:sz w:val="21"/>
                <w:szCs w:val="21"/>
              </w:rPr>
              <w:t>降低了新水消耗</w:t>
            </w:r>
          </w:p>
        </w:tc>
        <w:tc>
          <w:tcPr>
            <w:tcW w:w="1276"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所有铜冶炼烟气的湿式净化</w:t>
            </w:r>
          </w:p>
        </w:tc>
      </w:tr>
      <w:tr>
        <w:trPr>
          <w:trHeight w:val="1566"/>
        </w:trPr>
        <w:tc>
          <w:tcPr>
            <w:tcW w:w="944"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干燥吸收</w:t>
            </w: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9"/>
                <w:position w:val="1"/>
                <w:sz w:val="21"/>
                <w:szCs w:val="21"/>
              </w:rPr>
              <w:t>低位高效</w:t>
            </w: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14"/>
                <w:position w:val="1"/>
                <w:sz w:val="21"/>
                <w:szCs w:val="21"/>
              </w:rPr>
              <w:t>干燥和</w:t>
            </w:r>
            <w:r>
              <w:rPr>
                <w:rFonts w:ascii="仿宋_GB2312" w:eastAsia="仿宋_GB2312" w:hint="eastAsia"/>
                <w:position w:val="1"/>
                <w:sz w:val="21"/>
                <w:szCs w:val="21"/>
              </w:rPr>
              <w:t>SO</w:t>
            </w:r>
            <w:r>
              <w:rPr>
                <w:rFonts w:ascii="仿宋_GB2312" w:eastAsia="仿宋_GB2312" w:hint="eastAsia"/>
                <w:sz w:val="21"/>
                <w:szCs w:val="21"/>
                <w:vertAlign w:val="subscript"/>
              </w:rPr>
              <w:t>3</w:t>
            </w:r>
            <w:r>
              <w:rPr>
                <w:rFonts w:ascii="仿宋_GB2312" w:eastAsia="仿宋_GB2312" w:hint="eastAsia"/>
                <w:spacing w:val="-16"/>
                <w:position w:val="1"/>
                <w:sz w:val="21"/>
                <w:szCs w:val="21"/>
              </w:rPr>
              <w:t>吸</w:t>
            </w:r>
            <w:r>
              <w:rPr>
                <w:rFonts w:ascii="仿宋_GB2312" w:eastAsia="仿宋_GB2312" w:hint="eastAsia"/>
                <w:sz w:val="21"/>
                <w:szCs w:val="21"/>
              </w:rPr>
              <w:t>收技术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出干燥塔烟气水分 ≤100 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干燥塔循环酸浓度 93～95%</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干燥塔出塔酸温&lt;65℃</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吸收塔循环酸浓度 98.2～98.8%</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吸收塔循环酸温度 45～75℃ 吸收塔进塔气温 130～180℃</w:t>
            </w: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尾气酸雾含量≤40mg/m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15"/>
                <w:position w:val="1"/>
                <w:sz w:val="21"/>
                <w:szCs w:val="21"/>
              </w:rPr>
              <w:t>尾气</w:t>
            </w: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position w:val="1"/>
                <w:sz w:val="21"/>
                <w:szCs w:val="21"/>
              </w:rPr>
              <w:t>含量</w:t>
            </w:r>
            <w:r>
              <w:rPr>
                <w:rFonts w:ascii="仿宋_GB2312" w:eastAsia="仿宋_GB2312" w:hint="eastAsia"/>
                <w:sz w:val="21"/>
                <w:szCs w:val="21"/>
              </w:rPr>
              <w:t>≤400mg/m</w:t>
            </w:r>
            <w:r>
              <w:rPr>
                <w:rFonts w:ascii="仿宋_GB2312" w:eastAsia="仿宋_GB2312" w:hint="eastAsia"/>
                <w:sz w:val="21"/>
                <w:szCs w:val="21"/>
                <w:vertAlign w:val="superscript"/>
              </w:rPr>
              <w:t>3</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3</w:t>
            </w:r>
            <w:r>
              <w:rPr>
                <w:rFonts w:ascii="仿宋_GB2312" w:eastAsia="仿宋_GB2312" w:hint="eastAsia"/>
                <w:spacing w:val="-4"/>
                <w:position w:val="1"/>
                <w:sz w:val="21"/>
                <w:szCs w:val="21"/>
              </w:rPr>
              <w:t>吸收效率</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≥99.99%</w:t>
            </w:r>
          </w:p>
        </w:tc>
        <w:tc>
          <w:tcPr>
            <w:tcW w:w="1276"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所有铜冶炼烟气</w:t>
            </w: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12"/>
                <w:position w:val="1"/>
                <w:sz w:val="21"/>
                <w:szCs w:val="21"/>
              </w:rPr>
              <w:t>干燥和</w:t>
            </w:r>
            <w:r>
              <w:rPr>
                <w:rFonts w:ascii="仿宋_GB2312" w:eastAsia="仿宋_GB2312" w:hint="eastAsia"/>
                <w:position w:val="1"/>
                <w:sz w:val="21"/>
                <w:szCs w:val="21"/>
              </w:rPr>
              <w:t>SO</w:t>
            </w:r>
            <w:r>
              <w:rPr>
                <w:rFonts w:ascii="仿宋_GB2312" w:eastAsia="仿宋_GB2312" w:hint="eastAsia"/>
                <w:position w:val="1"/>
                <w:sz w:val="21"/>
                <w:szCs w:val="21"/>
                <w:vertAlign w:val="subscript"/>
              </w:rPr>
              <w:t xml:space="preserve">3 </w:t>
            </w:r>
            <w:r>
              <w:rPr>
                <w:rFonts w:ascii="仿宋_GB2312" w:eastAsia="仿宋_GB2312" w:hint="eastAsia"/>
                <w:spacing w:val="-13"/>
                <w:position w:val="1"/>
                <w:sz w:val="21"/>
                <w:szCs w:val="21"/>
              </w:rPr>
              <w:t>吸</w:t>
            </w:r>
            <w:r>
              <w:rPr>
                <w:rFonts w:ascii="仿宋_GB2312" w:eastAsia="仿宋_GB2312" w:hint="eastAsia"/>
                <w:sz w:val="21"/>
                <w:szCs w:val="21"/>
              </w:rPr>
              <w:t>收</w:t>
            </w:r>
          </w:p>
        </w:tc>
      </w:tr>
      <w:tr>
        <w:trPr>
          <w:trHeight w:val="583"/>
        </w:trPr>
        <w:tc>
          <w:tcPr>
            <w:tcW w:w="944" w:type="dxa"/>
            <w:vMerge w:val="restart"/>
            <w:tcBorders>
              <w:tl2br w:val="nil"/>
              <w:tr2bl w:val="nil"/>
            </w:tcBorders>
          </w:tcPr>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转化</w:t>
            </w: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双接触技术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尾气可经脱硫装置处理</w:t>
            </w: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position w:val="1"/>
                <w:sz w:val="21"/>
                <w:szCs w:val="21"/>
              </w:rPr>
              <w:t>总转化率</w:t>
            </w: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≥99.5%</w:t>
            </w:r>
          </w:p>
        </w:tc>
        <w:tc>
          <w:tcPr>
            <w:tcW w:w="1276" w:type="dxa"/>
            <w:tcBorders>
              <w:tl2br w:val="nil"/>
              <w:tr2bl w:val="nil"/>
            </w:tcBorders>
          </w:tcPr>
          <w:p>
            <w:pPr>
              <w:pStyle w:val="25"/>
              <w:adjustRightInd w:val="0"/>
              <w:snapToGrid w:val="0"/>
              <w:spacing w:line="240" w:lineRule="exact"/>
              <w:jc w:val="left"/>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15"/>
                <w:position w:val="1"/>
                <w:sz w:val="21"/>
                <w:szCs w:val="21"/>
              </w:rPr>
              <w:t xml:space="preserve">浓度 </w:t>
            </w:r>
            <w:r>
              <w:rPr>
                <w:rFonts w:ascii="仿宋_GB2312" w:eastAsia="仿宋_GB2312" w:hint="eastAsia"/>
                <w:position w:val="1"/>
                <w:sz w:val="21"/>
                <w:szCs w:val="21"/>
              </w:rPr>
              <w:t>5%～14%</w:t>
            </w:r>
            <w:r>
              <w:rPr>
                <w:rFonts w:ascii="仿宋_GB2312" w:eastAsia="仿宋_GB2312" w:hint="eastAsia"/>
                <w:sz w:val="21"/>
                <w:szCs w:val="21"/>
              </w:rPr>
              <w:t>的烟气制取硫酸。</w:t>
            </w:r>
          </w:p>
        </w:tc>
      </w:tr>
      <w:tr>
        <w:trPr>
          <w:trHeight w:val="878"/>
        </w:trPr>
        <w:tc>
          <w:tcPr>
            <w:tcW w:w="944" w:type="dxa"/>
            <w:vMerge/>
            <w:tcBorders>
              <w:tl2br w:val="nil"/>
              <w:tr2bl w:val="nil"/>
            </w:tcBorders>
          </w:tcP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p>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预转化技术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配合双接触技术使用。根据平衡转化率</w:t>
            </w:r>
            <w:r>
              <w:rPr>
                <w:rFonts w:ascii="仿宋_GB2312" w:eastAsia="仿宋_GB2312" w:hint="eastAsia"/>
                <w:spacing w:val="-11"/>
                <w:position w:val="1"/>
                <w:sz w:val="21"/>
                <w:szCs w:val="21"/>
              </w:rPr>
              <w:t>确定操作条件，依据尾气</w:t>
            </w: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4"/>
                <w:position w:val="1"/>
                <w:sz w:val="21"/>
                <w:szCs w:val="21"/>
              </w:rPr>
              <w:t>排放浓度</w:t>
            </w:r>
            <w:r>
              <w:rPr>
                <w:rFonts w:ascii="仿宋_GB2312" w:eastAsia="仿宋_GB2312" w:hint="eastAsia"/>
                <w:spacing w:val="-5"/>
                <w:sz w:val="21"/>
                <w:szCs w:val="21"/>
              </w:rPr>
              <w:t>以及排放总量要求确定总转化率，可采</w:t>
            </w:r>
            <w:r>
              <w:rPr>
                <w:rFonts w:ascii="仿宋_GB2312" w:eastAsia="仿宋_GB2312" w:hint="eastAsia"/>
                <w:spacing w:val="-7"/>
                <w:sz w:val="21"/>
                <w:szCs w:val="21"/>
              </w:rPr>
              <w:t>用低温触媒，改变操作温度，确保最终</w:t>
            </w:r>
            <w:r>
              <w:rPr>
                <w:rFonts w:ascii="仿宋_GB2312" w:eastAsia="仿宋_GB2312" w:hint="eastAsia"/>
                <w:sz w:val="21"/>
                <w:szCs w:val="21"/>
              </w:rPr>
              <w:t>转化率</w:t>
            </w: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position w:val="1"/>
                <w:sz w:val="21"/>
                <w:szCs w:val="21"/>
              </w:rPr>
              <w:t>总转化率</w:t>
            </w:r>
            <w:r>
              <w:rPr>
                <w:rFonts w:ascii="仿宋_GB2312" w:eastAsia="仿宋_GB2312" w:hint="eastAsia"/>
                <w:sz w:val="21"/>
                <w:szCs w:val="21"/>
              </w:rPr>
              <w:t>≥99.85%</w:t>
            </w:r>
          </w:p>
        </w:tc>
        <w:tc>
          <w:tcPr>
            <w:tcW w:w="1276"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position w:val="1"/>
                <w:sz w:val="21"/>
                <w:szCs w:val="21"/>
              </w:rPr>
              <w:t>浓度＞14%的</w:t>
            </w:r>
            <w:r>
              <w:rPr>
                <w:rFonts w:ascii="仿宋_GB2312" w:eastAsia="仿宋_GB2312" w:hint="eastAsia"/>
                <w:sz w:val="21"/>
                <w:szCs w:val="21"/>
              </w:rPr>
              <w:t>烟气</w:t>
            </w:r>
          </w:p>
        </w:tc>
      </w:tr>
      <w:tr>
        <w:trPr>
          <w:trHeight w:val="320"/>
        </w:trPr>
        <w:tc>
          <w:tcPr>
            <w:tcW w:w="944" w:type="dxa"/>
            <w:vMerge/>
            <w:tcBorders>
              <w:tl2br w:val="nil"/>
              <w:tr2bl w:val="nil"/>
            </w:tcBorders>
          </w:tcP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3</w:t>
            </w:r>
            <w:r>
              <w:rPr>
                <w:rFonts w:ascii="仿宋_GB2312" w:eastAsia="仿宋_GB2312" w:hint="eastAsia"/>
                <w:position w:val="1"/>
                <w:sz w:val="21"/>
                <w:szCs w:val="21"/>
              </w:rPr>
              <w:t>再循环技术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5"/>
                <w:sz w:val="21"/>
                <w:szCs w:val="21"/>
              </w:rPr>
              <w:t>配合双接触技术使用。根据实际</w:t>
            </w: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5"/>
                <w:sz w:val="21"/>
                <w:szCs w:val="21"/>
              </w:rPr>
              <w:t>浓度和换热要求，确定SO</w:t>
            </w:r>
            <w:r>
              <w:rPr>
                <w:rFonts w:ascii="仿宋_GB2312" w:eastAsia="仿宋_GB2312" w:hint="eastAsia"/>
                <w:spacing w:val="-5"/>
                <w:sz w:val="21"/>
                <w:szCs w:val="21"/>
                <w:vertAlign w:val="subscript"/>
              </w:rPr>
              <w:t>3</w:t>
            </w:r>
            <w:r>
              <w:rPr>
                <w:rFonts w:ascii="仿宋_GB2312" w:eastAsia="仿宋_GB2312" w:hint="eastAsia"/>
                <w:spacing w:val="-5"/>
                <w:sz w:val="21"/>
                <w:szCs w:val="21"/>
              </w:rPr>
              <w:t>烟气循环量</w:t>
            </w: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pacing w:val="-5"/>
                <w:sz w:val="21"/>
                <w:szCs w:val="21"/>
              </w:rPr>
              <w:t>SO</w:t>
            </w:r>
            <w:r>
              <w:rPr>
                <w:rFonts w:ascii="仿宋_GB2312" w:eastAsia="仿宋_GB2312" w:hint="eastAsia"/>
                <w:spacing w:val="-5"/>
                <w:sz w:val="21"/>
                <w:szCs w:val="21"/>
                <w:vertAlign w:val="subscript"/>
              </w:rPr>
              <w:t>2</w:t>
            </w:r>
            <w:r>
              <w:rPr>
                <w:rFonts w:ascii="仿宋_GB2312" w:eastAsia="仿宋_GB2312" w:hint="eastAsia"/>
                <w:spacing w:val="-5"/>
                <w:sz w:val="21"/>
                <w:szCs w:val="21"/>
              </w:rPr>
              <w:t>总转化率≥99.9%</w:t>
            </w:r>
          </w:p>
        </w:tc>
        <w:tc>
          <w:tcPr>
            <w:tcW w:w="1276"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position w:val="1"/>
                <w:sz w:val="21"/>
                <w:szCs w:val="21"/>
              </w:rPr>
              <w:t>SO</w:t>
            </w:r>
            <w:r>
              <w:rPr>
                <w:rFonts w:ascii="仿宋_GB2312" w:eastAsia="仿宋_GB2312" w:hint="eastAsia"/>
                <w:sz w:val="21"/>
                <w:szCs w:val="21"/>
                <w:vertAlign w:val="subscript"/>
              </w:rPr>
              <w:t>2</w:t>
            </w:r>
            <w:r>
              <w:rPr>
                <w:rFonts w:ascii="仿宋_GB2312" w:eastAsia="仿宋_GB2312" w:hint="eastAsia"/>
                <w:spacing w:val="-5"/>
                <w:sz w:val="21"/>
                <w:szCs w:val="21"/>
              </w:rPr>
              <w:t>浓度＞14%的烟气</w:t>
            </w:r>
          </w:p>
        </w:tc>
      </w:tr>
      <w:tr>
        <w:trPr>
          <w:trHeight w:val="582"/>
        </w:trPr>
        <w:tc>
          <w:tcPr>
            <w:tcW w:w="944"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转化、吸收工段</w:t>
            </w:r>
          </w:p>
        </w:tc>
        <w:tc>
          <w:tcPr>
            <w:tcW w:w="151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中温位、低温位余热回收技术</w:t>
            </w:r>
          </w:p>
        </w:tc>
        <w:tc>
          <w:tcPr>
            <w:tcW w:w="3875"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p>
        </w:tc>
        <w:tc>
          <w:tcPr>
            <w:tcW w:w="2079"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余热利用率可提高到90%以上</w:t>
            </w:r>
          </w:p>
        </w:tc>
        <w:tc>
          <w:tcPr>
            <w:tcW w:w="1276" w:type="dxa"/>
            <w:tcBorders>
              <w:tl2br w:val="nil"/>
              <w:tr2bl w:val="nil"/>
            </w:tcBorders>
          </w:tcPr>
          <w:p>
            <w:pPr>
              <w:pStyle w:val="25"/>
              <w:adjustRightInd w:val="0"/>
              <w:snapToGrid w:val="0"/>
              <w:spacing w:line="240" w:lineRule="exact"/>
              <w:jc w:val="both"/>
              <w:rPr>
                <w:rFonts w:ascii="仿宋_GB2312" w:eastAsia="仿宋_GB2312" w:hint="eastAsia"/>
                <w:sz w:val="21"/>
                <w:szCs w:val="21"/>
              </w:rPr>
            </w:pPr>
            <w:r>
              <w:rPr>
                <w:rFonts w:ascii="仿宋_GB2312" w:eastAsia="仿宋_GB2312" w:hint="eastAsia"/>
                <w:sz w:val="21"/>
                <w:szCs w:val="21"/>
              </w:rPr>
              <w:t>冶炼烟气制酸系统</w:t>
            </w:r>
          </w:p>
        </w:tc>
      </w:tr>
    </w:tbl>
    <w:p>
      <w:pPr>
        <w:autoSpaceDE/>
        <w:autoSpaceDN/>
        <w:spacing w:line="360" w:lineRule="auto"/>
        <w:ind w:firstLineChars="200" w:firstLine="420"/>
        <w:jc w:val="both"/>
        <w:rPr>
          <w:rFonts w:ascii="仿宋_GB2312" w:eastAsia="仿宋_GB2312" w:cs="Times New Roman" w:hint="eastAsia"/>
          <w:kern w:val="2"/>
          <w:sz w:val="21"/>
          <w:szCs w:val="21"/>
          <w:lang w:bidi="ar-SA"/>
        </w:rPr>
      </w:pPr>
    </w:p>
    <w:p>
      <w:pPr>
        <w:pStyle w:val="2"/>
        <w:spacing w:before="0" w:after="0" w:line="360" w:lineRule="auto"/>
        <w:jc w:val="both"/>
        <w:rPr>
          <w:rFonts w:ascii="仿宋_GB2312" w:eastAsia="仿宋_GB2312" w:hint="eastAsia"/>
        </w:rPr>
      </w:pPr>
      <w:bookmarkStart w:id="69" w:name="_Toc89766405"/>
      <w:r>
        <w:rPr>
          <w:rFonts w:ascii="仿宋_GB2312" w:eastAsia="仿宋_GB2312" w:hint="eastAsia"/>
        </w:rPr>
        <w:t>4.3烟气脱硫技术及主要技术指标</w:t>
      </w:r>
      <w:bookmarkEnd w:id="69"/>
    </w:p>
    <w:p>
      <w:pPr>
        <w:pStyle w:val="3"/>
        <w:spacing w:before="0" w:after="0" w:line="360" w:lineRule="auto"/>
        <w:jc w:val="both"/>
        <w:rPr>
          <w:rFonts w:ascii="仿宋_GB2312" w:eastAsia="仿宋_GB2312" w:hint="eastAsia"/>
          <w:sz w:val="30"/>
          <w:szCs w:val="30"/>
        </w:rPr>
      </w:pPr>
      <w:bookmarkStart w:id="70" w:name="_Toc89766406"/>
      <w:r>
        <w:rPr>
          <w:rFonts w:ascii="仿宋_GB2312" w:eastAsia="仿宋_GB2312" w:hint="eastAsia"/>
          <w:sz w:val="30"/>
          <w:szCs w:val="30"/>
        </w:rPr>
        <w:t>4.3.1石灰/石灰石-石膏法脱硫技术</w:t>
      </w:r>
      <w:bookmarkEnd w:id="70"/>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石灰/石灰石-石膏法脱硫技术是用石灰或石灰石母液吸收烟气中的SO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，副产石膏的烟气脱硫技术。该技术适应性较强，在满足铜冶炼企业低浓度SO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治理的同时，可以部分去除烟气中的SO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、重金属离子、氟离子、氯离子等。</w:t>
      </w:r>
    </w:p>
    <w:p>
      <w:pPr>
        <w:autoSpaceDE/>
        <w:autoSpaceDN/>
        <w:adjustRightInd w:val="0"/>
        <w:snapToGrid w:val="0"/>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选择活性好且碳酸钙（CaCO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）含量大于90%的脱硫剂；石灰石粉的细度保证-250目占90%。当Ca/S摩尔比为1.02-1.05、循环浆液pH值为5.0-6.0时，脱硫效率应大于95%；脱硫石膏纯度应大于90%，脱硫系统阻力应小于2500Pa。原料消耗比在1.8-1.9吨/吨SO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。适用于铜冶炼干燥窑烟气、制酸尾气、环境集烟、阳极炉烟气脱硫。</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但该技术占地大、吸收剂运输量较大、运输成本较高、副产物脱硫石膏处置困难，不适用于脱硫剂资源短缺、场地有限的冶炼企业。</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石灰石/石灰-石膏法适用于SO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浓度小于 5000mg/m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xml:space="preserve"> 的冶炼烟气治理。当烟气SO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含量为1000-3500mg/m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xml:space="preserve"> 时，SO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排放浓度应低于200mg/m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，脱硫效率大于95%。</w:t>
      </w:r>
    </w:p>
    <w:p>
      <w:pPr>
        <w:pStyle w:val="3"/>
        <w:spacing w:before="0" w:after="0" w:line="360" w:lineRule="auto"/>
        <w:jc w:val="both"/>
        <w:rPr>
          <w:rFonts w:ascii="仿宋_GB2312" w:eastAsia="仿宋_GB2312" w:hint="eastAsia"/>
          <w:sz w:val="30"/>
          <w:szCs w:val="30"/>
        </w:rPr>
      </w:pPr>
      <w:bookmarkStart w:id="71" w:name="_Toc89766407"/>
      <w:r>
        <w:rPr>
          <w:rFonts w:ascii="仿宋_GB2312" w:eastAsia="仿宋_GB2312" w:hint="eastAsia"/>
          <w:sz w:val="30"/>
          <w:szCs w:val="30"/>
        </w:rPr>
        <w:t>4.3.2钠碱法脱硫技术</w:t>
      </w:r>
      <w:bookmarkEnd w:id="71"/>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钠碱法脱硫技术是采用Na</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CO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 xml:space="preserve"> 或NaOH 作为吸收剂，吸收烟气中SO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，得到副产物Na</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4</w:t>
      </w:r>
      <w:r>
        <w:rPr>
          <w:rFonts w:ascii="仿宋_GB2312" w:eastAsia="仿宋_GB2312" w:cs="Times New Roman" w:hint="eastAsia"/>
          <w:kern w:val="2"/>
          <w:sz w:val="30"/>
          <w:szCs w:val="30"/>
          <w:lang w:bidi="ar-SA"/>
        </w:rPr>
        <w:t>、NaSO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混合物，原料消耗比在1.2-1.66吨/吨SO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。该技术工艺流程简洁，占地面积小，脱硫效率高，运行效果稳定，吸收剂消耗量少，但运行成本较高。副产物有一定的回收价值，作为产品出售必须符合相关规定。适用于处理较高浓度SO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废气。适用于铜冶炼企业干燥窑烟气、制酸尾气、环境集烟、阳极炉烟气脱硫。适用于NaOH或Na</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CO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来源较充足的地区。</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脱硫效率可高于95%。适用范围广，碱的来源限制小，便于输送、储存，损耗低，投资省，但运营成本较高。另外由于其吸收效果好，杂质易影响副产品品质。</w:t>
      </w:r>
    </w:p>
    <w:p>
      <w:pPr>
        <w:pStyle w:val="3"/>
        <w:spacing w:before="0" w:after="0" w:line="360" w:lineRule="auto"/>
        <w:jc w:val="both"/>
        <w:rPr>
          <w:rFonts w:ascii="仿宋_GB2312" w:eastAsia="仿宋_GB2312" w:hint="eastAsia"/>
          <w:sz w:val="30"/>
          <w:szCs w:val="30"/>
        </w:rPr>
      </w:pPr>
      <w:bookmarkStart w:id="72" w:name="_Toc89766408"/>
      <w:r>
        <w:rPr>
          <w:rFonts w:ascii="仿宋_GB2312" w:eastAsia="仿宋_GB2312" w:hint="eastAsia"/>
          <w:sz w:val="30"/>
          <w:szCs w:val="30"/>
        </w:rPr>
        <w:t>4.3.3金属氧化物吸收脱硫技术</w:t>
      </w:r>
      <w:bookmarkEnd w:id="72"/>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金属氧化物吸收脱硫技术利用部分金属氧化物如MgO、ZnO等对SO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具有较好吸收能力的原理，将氧化物制成浆液洗涤气体，对含SO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废气进行吸收处理。通常，此技术可以有效地同冶金工艺相结合，处理低浓度的SO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废气。国内已有</w:t>
      </w:r>
      <w:r>
        <w:rPr>
          <w:rFonts w:ascii="仿宋_GB2312" w:eastAsia="仿宋_GB2312" w:cs="Times New Roman" w:hint="eastAsia"/>
          <w:kern w:val="2"/>
          <w:sz w:val="30"/>
          <w:szCs w:val="30"/>
          <w:lang w:bidi="ar-SA"/>
        </w:rPr>
        <w:fldChar w:fldCharType="begin"/>
      </w:r>
      <w:r>
        <w:instrText>HYPERLINK "http://www.zclw.net/"</w:instrText>
      </w:r>
      <w:r>
        <w:rPr>
          <w:rFonts w:ascii="仿宋_GB2312" w:eastAsia="仿宋_GB2312" w:cs="Times New Roman" w:hint="eastAsia"/>
          <w:kern w:val="2"/>
          <w:sz w:val="30"/>
          <w:szCs w:val="30"/>
          <w:lang w:bidi="ar-SA"/>
        </w:rPr>
        <w:fldChar w:fldCharType="separate"/>
      </w:r>
      <w:r>
        <w:rPr>
          <w:rFonts w:ascii="仿宋_GB2312" w:eastAsia="仿宋_GB2312" w:cs="Times New Roman" w:hint="eastAsia"/>
          <w:kern w:val="2"/>
          <w:sz w:val="30"/>
          <w:szCs w:val="30"/>
          <w:lang w:bidi="ar-SA"/>
        </w:rPr>
        <w:t>工</w:t>
      </w:r>
      <w:r>
        <w:rPr>
          <w:rFonts w:ascii="仿宋_GB2312" w:eastAsia="仿宋_GB2312" w:cs="Times New Roman" w:hint="eastAsia"/>
          <w:kern w:val="2"/>
          <w:sz w:val="30"/>
          <w:szCs w:val="30"/>
          <w:lang w:bidi="ar-SA"/>
        </w:rPr>
        <w:fldChar w:fldCharType="end"/>
      </w:r>
      <w:r>
        <w:rPr>
          <w:rFonts w:ascii="仿宋_GB2312" w:eastAsia="仿宋_GB2312" w:cs="Times New Roman" w:hint="eastAsia"/>
          <w:kern w:val="2"/>
          <w:sz w:val="30"/>
          <w:szCs w:val="30"/>
          <w:lang w:bidi="ar-SA"/>
        </w:rPr>
        <w:t>业装置的有ZnO法、MgO法和氧化锰法。原料消耗比在1.02-1.03吨/吨SO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。适用于铜冶炼制酸尾气、环境集烟、阳极炉烟气脱硫。</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tabs>
          <w:tab w:val="left" w:pos="964"/>
        </w:tabs>
        <w:spacing w:before="139" w:line="365" w:lineRule="auto"/>
        <w:ind w:right="239"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脱硫效率大于90%，且运行成本较低，脱硫副产物可与冶炼工艺相结合。氧化镁法脱硫效率较高，一次性投资运行费用低，吸收剂用量少。可处理废气适用范围较广，脱硫效率较高，运行稳定可靠。该技术适用于金属氧化物易得或金属氧化物为副产物的冶炼厂烟气脱硫。</w:t>
      </w:r>
    </w:p>
    <w:p>
      <w:pPr>
        <w:pStyle w:val="3"/>
        <w:spacing w:before="0" w:after="0" w:line="360" w:lineRule="auto"/>
        <w:jc w:val="both"/>
        <w:rPr>
          <w:rFonts w:ascii="仿宋_GB2312" w:eastAsia="仿宋_GB2312" w:hint="eastAsia"/>
          <w:sz w:val="30"/>
          <w:szCs w:val="30"/>
        </w:rPr>
      </w:pPr>
      <w:bookmarkStart w:id="73" w:name="_Toc89766409"/>
      <w:r>
        <w:rPr>
          <w:rFonts w:ascii="仿宋_GB2312" w:eastAsia="仿宋_GB2312" w:hint="eastAsia"/>
          <w:sz w:val="30"/>
          <w:szCs w:val="30"/>
        </w:rPr>
        <w:t>4.3.4有机溶液循环吸收脱硫技术</w:t>
      </w:r>
      <w:bookmarkEnd w:id="73"/>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有机溶液循环吸收脱硫技术是采用以离子液体或有机胺类为主，添加少量活化剂、抗氧化剂和缓蚀剂组成的水溶液吸收剂，吸收尾气中SO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。该吸收剂对SO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气体具有良好的吸收和解析能力，在低温下吸收SO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，高温下将吸收剂中SO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解析出来，从而脱除和回收烟气中SO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，该技术可得到纯度为 99%以上的SO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气体送制酸工艺。</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该技术适用于厂内低压蒸汽易得，烟气SO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浓度较高、波动较大，副产物SO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可回收利用的冶炼企业。该技术不需要运输大量的吸收剂，流程简洁，自动化程度高，副产高浓度SO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。但该技术一次性投资大，再生蒸汽能耗较高，运行维护成本低。</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副产SO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纯度不小于99%。吸收剂年损失率不大于10%，低压蒸汽（0.4 -0.6Mpa）消耗不大于25t蒸气/吨SO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。系统阻力不大于2000Pa。</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hint="eastAsia"/>
          <w:position w:val="2"/>
          <w:sz w:val="30"/>
          <w:szCs w:val="30"/>
        </w:rPr>
        <w:t>当烟气中</w:t>
      </w: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2</w:t>
      </w:r>
      <w:r>
        <w:rPr>
          <w:rFonts w:ascii="仿宋_GB2312" w:eastAsia="仿宋_GB2312" w:hint="eastAsia"/>
          <w:position w:val="2"/>
          <w:sz w:val="30"/>
          <w:szCs w:val="30"/>
        </w:rPr>
        <w:t>含量为5000mg/m</w:t>
      </w:r>
      <w:r>
        <w:rPr>
          <w:rFonts w:ascii="仿宋_GB2312" w:eastAsia="仿宋_GB2312" w:hint="eastAsia"/>
          <w:position w:val="2"/>
          <w:sz w:val="30"/>
          <w:szCs w:val="30"/>
          <w:vertAlign w:val="superscript"/>
        </w:rPr>
        <w:t>3</w:t>
      </w:r>
      <w:r>
        <w:rPr>
          <w:rFonts w:ascii="仿宋_GB2312" w:eastAsia="仿宋_GB2312" w:hint="eastAsia"/>
          <w:position w:val="2"/>
          <w:sz w:val="30"/>
          <w:szCs w:val="30"/>
        </w:rPr>
        <w:t>以下时，</w:t>
      </w: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2</w:t>
      </w:r>
      <w:r>
        <w:rPr>
          <w:rFonts w:ascii="仿宋_GB2312" w:eastAsia="仿宋_GB2312" w:hint="eastAsia"/>
          <w:position w:val="2"/>
          <w:sz w:val="30"/>
          <w:szCs w:val="30"/>
        </w:rPr>
        <w:t>排放浓度应在200mg/m</w:t>
      </w:r>
      <w:r>
        <w:rPr>
          <w:rFonts w:ascii="仿宋_GB2312" w:eastAsia="仿宋_GB2312" w:hint="eastAsia"/>
          <w:position w:val="2"/>
          <w:sz w:val="30"/>
          <w:szCs w:val="30"/>
          <w:vertAlign w:val="superscript"/>
        </w:rPr>
        <w:t>3</w:t>
      </w:r>
      <w:r>
        <w:rPr>
          <w:rFonts w:ascii="仿宋_GB2312" w:eastAsia="仿宋_GB2312" w:hint="eastAsia"/>
          <w:position w:val="2"/>
          <w:sz w:val="30"/>
          <w:szCs w:val="30"/>
        </w:rPr>
        <w:t xml:space="preserve"> 以下，脱硫效率大于95%。</w:t>
      </w:r>
    </w:p>
    <w:p>
      <w:pPr>
        <w:pStyle w:val="3"/>
        <w:spacing w:before="0" w:after="0" w:line="360" w:lineRule="auto"/>
        <w:jc w:val="both"/>
        <w:rPr>
          <w:rFonts w:ascii="仿宋_GB2312" w:eastAsia="仿宋_GB2312" w:hint="eastAsia"/>
          <w:sz w:val="30"/>
          <w:szCs w:val="30"/>
        </w:rPr>
      </w:pPr>
      <w:bookmarkStart w:id="74" w:name="_Toc89766410"/>
      <w:r>
        <w:rPr>
          <w:rFonts w:ascii="仿宋_GB2312" w:eastAsia="仿宋_GB2312" w:hint="eastAsia"/>
          <w:sz w:val="30"/>
          <w:szCs w:val="30"/>
        </w:rPr>
        <w:t>4.3.5活性焦吸附法脱硫技术</w:t>
      </w:r>
      <w:bookmarkEnd w:id="74"/>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活性焦吸附脱硫技术是活性焦通过物理吸附和化学吸附作用吸附SO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。兼具脱硝、去除重金属离子等功能，活性焦再生过程可实现SO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资源化，二次污染小。</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该技术脱硫效率大于95%，具有工艺流程简单，且兼具脱尘、脱硝、除汞等功能，活性焦廉价易得，再生过程中副反应少。适合处理较低浓度SO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烟气，由于在低气速（0.3～1.2m/s）下运行，因而吸附体积较大。化学再生和物理循环过程中部分活性焦会粉化，需要定期补充。适用于铜冶炼干燥窑烟气、制酸尾气、环境集烟、阳极炉烟气脱硫。</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脱硫效率可高于95%。该技术适用于厂内蒸汽供应充足，场地宽裕，副产物SO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可回收利用的冶炼企业。</w:t>
      </w:r>
    </w:p>
    <w:p>
      <w:pPr>
        <w:pStyle w:val="3"/>
        <w:spacing w:before="0" w:after="0" w:line="360" w:lineRule="auto"/>
        <w:jc w:val="both"/>
        <w:rPr>
          <w:rFonts w:ascii="仿宋_GB2312" w:eastAsia="仿宋_GB2312" w:hint="eastAsia"/>
          <w:sz w:val="30"/>
          <w:szCs w:val="30"/>
        </w:rPr>
      </w:pPr>
      <w:r>
        <w:rPr>
          <w:rFonts w:ascii="仿宋_GB2312" w:eastAsia="仿宋_GB2312" w:hint="eastAsia"/>
          <w:sz w:val="30"/>
          <w:szCs w:val="30"/>
        </w:rPr>
        <w:t>4.3.6双氧水脱硫技术</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（1）工艺参数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采用27.5%双氧水（过氧化氢溶液）经稀释到8.5%左右的安全浓度后进行塔内脱硫。过氧化氢在酸性溶液中将二氧化硫氧化，生成硫酸。</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含SO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尾气进入脱硫塔，在脱硫系统正常运行时，尾气由脱硫塔的尾气入口进入，在脱硫塔内与脱硫液逆流接触，气液两相发生快速传质反应，尾气中SO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被充分吸收，再往上经过脱硫塔上部的丝网除雾器，截留烟气中的微小液滴后经塔顶直排烟囱排放。在生产控制上，采取连续添加精确计量的吸收剂、连续补水、连续排稀酸等稳定操作的控制技术，保持副产稀硫酸稳定在</w:t>
      </w:r>
      <w:r>
        <w:rPr>
          <w:rFonts w:ascii="Times New Roman" w:eastAsia="仿宋_GB2312" w:cs="Times New Roman" w:hAnsi="Times New Roman"/>
          <w:kern w:val="2"/>
          <w:sz w:val="30"/>
          <w:szCs w:val="30"/>
          <w:lang w:bidi="ar-SA"/>
        </w:rPr>
        <w:t>20%~30%。</w:t>
      </w:r>
      <w:r>
        <w:rPr>
          <w:rFonts w:ascii="仿宋_GB2312" w:eastAsia="仿宋_GB2312" w:cs="Times New Roman" w:hint="eastAsia"/>
          <w:kern w:val="2"/>
          <w:sz w:val="30"/>
          <w:szCs w:val="30"/>
          <w:lang w:bidi="ar-SA"/>
        </w:rPr>
        <w:t>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排放限值小于20mg/m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（2）处理效率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脱硫效率可高于95%。硫酸可以和水以任一比例混溶，不会造成过饱和结晶，造成结垢堵塞问题，采用双氧水法脱硫工艺提高系统稳定、可靠，投资及运行费用低。同时稀硫酸可直接用于制酸系统干吸段使用，也可作为化工原料出售。</w:t>
      </w:r>
    </w:p>
    <w:p>
      <w:pPr>
        <w:pStyle w:val="3"/>
        <w:spacing w:before="0" w:after="0" w:line="360" w:lineRule="auto"/>
        <w:jc w:val="both"/>
        <w:rPr>
          <w:rFonts w:ascii="仿宋_GB2312" w:eastAsia="仿宋_GB2312" w:hint="eastAsia"/>
          <w:sz w:val="30"/>
          <w:szCs w:val="30"/>
        </w:rPr>
      </w:pPr>
      <w:bookmarkStart w:id="75" w:name="_Toc89766411"/>
      <w:r>
        <w:rPr>
          <w:rFonts w:ascii="仿宋_GB2312" w:eastAsia="仿宋_GB2312" w:hint="eastAsia"/>
          <w:sz w:val="30"/>
          <w:szCs w:val="30"/>
        </w:rPr>
        <w:t>4.3.7其他废气治理技术</w:t>
      </w:r>
      <w:bookmarkEnd w:id="75"/>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（1）填料吸收塔</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填料吸收塔废气吸收技术是利用酸的溶解特性，使含酸气体充分与水接触，溶于水中，得以净化。当进塔酸雾浓度低于 600mg/m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时，净化效率可达80-99%。</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该技术设备构造简单，运行管理方便。</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硫酸雾、盐酸雾以及其他水溶性气体的吸收处理。吸收液有水和碱液两种，视被吸收有害物质的成分确定。采用空塔喷淋时可作为废气处理的预处理工序。当入塔初始浓度超过上述数据时需采用过滤网式净化回收装置作为初级处理，也可采用串联多级吸收方式，确保排风达标。</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（2）湍冲洗涤塔</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动力波湍冲废气吸收技术是利用吸收液与废气相互碰撞、扩散，在固定区域内形成一段稳定的湍冲区，气液之间达到充分的传质、传热，酸性废气与碱性吸收液在湍冲区进行中和反应，脱除酸性废气。</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净化效率大于99%，设备具有占地面积小，运行维护费用低，易安装等特点。排气量可在50-100%间变化，而不降低吸收效率。洗涤循环液浓度可比传统流程的循环液浓度高，而不影响动力波湍冲洗涤塔的正常运行。</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填料吸收塔、湍冲洗涤塔适合处理的废气浓度、净化效果等见表11。该技术适用于 Cl</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、NOx 等废气的吸收处理。</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表11  填料吸收塔、湍冲洗涤塔技术性能参数</w:t>
      </w:r>
    </w:p>
    <w:tbl>
      <w:tblPr>
        <w:jc w:val="left"/>
        <w:tblInd w:w="233" w:type="dxa"/>
        <w:tblW w:w="81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2717"/>
        <w:gridCol w:w="2717"/>
        <w:gridCol w:w="2717"/>
      </w:tblGrid>
      <w:tr>
        <w:trPr>
          <w:trHeight w:val="292"/>
        </w:trPr>
        <w:tc>
          <w:tcPr>
            <w:tcW w:w="2717" w:type="dxa"/>
            <w:tcBorders>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废气性质</w:t>
            </w:r>
          </w:p>
        </w:tc>
        <w:tc>
          <w:tcPr>
            <w:tcW w:w="2717" w:type="dxa"/>
            <w:tcBorders>
              <w:left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初始浓度</w:t>
            </w:r>
          </w:p>
        </w:tc>
        <w:tc>
          <w:tcPr>
            <w:tcW w:w="2717" w:type="dxa"/>
            <w:tcBorders>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净化效果（%）</w:t>
            </w:r>
          </w:p>
        </w:tc>
      </w:tr>
      <w:tr>
        <w:trPr>
          <w:trHeight w:val="292"/>
        </w:trPr>
        <w:tc>
          <w:tcPr>
            <w:tcW w:w="2717"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HCl</w:t>
            </w:r>
          </w:p>
        </w:tc>
        <w:tc>
          <w:tcPr>
            <w:tcW w:w="2717" w:type="dxa"/>
            <w:tcBorders>
              <w:top w:val="single" w:sz="6" w:space="0" w:color="000000"/>
              <w:left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≤600 mg/m</w:t>
            </w:r>
            <w:r>
              <w:rPr>
                <w:rFonts w:ascii="仿宋_GB2312" w:eastAsia="仿宋_GB2312" w:cs="Times New Roman" w:hint="eastAsia"/>
                <w:kern w:val="2"/>
                <w:sz w:val="21"/>
                <w:szCs w:val="21"/>
                <w:vertAlign w:val="superscript"/>
                <w:lang w:bidi="ar-SA"/>
              </w:rPr>
              <w:t>3</w:t>
            </w:r>
          </w:p>
        </w:tc>
        <w:tc>
          <w:tcPr>
            <w:tcW w:w="271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95～99</w:t>
            </w:r>
          </w:p>
        </w:tc>
      </w:tr>
      <w:tr>
        <w:trPr>
          <w:trHeight w:val="290"/>
        </w:trPr>
        <w:tc>
          <w:tcPr>
            <w:tcW w:w="2717"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SO</w:t>
            </w:r>
            <w:r>
              <w:rPr>
                <w:rFonts w:ascii="仿宋_GB2312" w:eastAsia="仿宋_GB2312" w:cs="Times New Roman" w:hint="eastAsia"/>
                <w:kern w:val="2"/>
                <w:sz w:val="21"/>
                <w:szCs w:val="21"/>
                <w:vertAlign w:val="subscript"/>
                <w:lang w:bidi="ar-SA"/>
              </w:rPr>
              <w:t>4</w:t>
            </w:r>
          </w:p>
        </w:tc>
        <w:tc>
          <w:tcPr>
            <w:tcW w:w="2717" w:type="dxa"/>
            <w:tcBorders>
              <w:top w:val="single" w:sz="6" w:space="0" w:color="000000"/>
              <w:left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≤600 mg/m</w:t>
            </w:r>
            <w:r>
              <w:rPr>
                <w:rFonts w:ascii="仿宋_GB2312" w:eastAsia="仿宋_GB2312" w:cs="Times New Roman" w:hint="eastAsia"/>
                <w:kern w:val="2"/>
                <w:sz w:val="21"/>
                <w:szCs w:val="21"/>
                <w:vertAlign w:val="superscript"/>
                <w:lang w:bidi="ar-SA"/>
              </w:rPr>
              <w:t>3</w:t>
            </w:r>
          </w:p>
        </w:tc>
        <w:tc>
          <w:tcPr>
            <w:tcW w:w="271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85～90</w:t>
            </w:r>
          </w:p>
        </w:tc>
      </w:tr>
      <w:tr>
        <w:trPr>
          <w:trHeight w:val="292"/>
        </w:trPr>
        <w:tc>
          <w:tcPr>
            <w:tcW w:w="2717"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NO</w:t>
            </w:r>
            <w:r>
              <w:rPr>
                <w:rFonts w:ascii="仿宋_GB2312" w:eastAsia="仿宋_GB2312" w:cs="Times New Roman" w:hint="eastAsia"/>
                <w:kern w:val="2"/>
                <w:sz w:val="21"/>
                <w:szCs w:val="21"/>
                <w:vertAlign w:val="subscript"/>
                <w:lang w:bidi="ar-SA"/>
              </w:rPr>
              <w:t>X</w:t>
            </w:r>
          </w:p>
        </w:tc>
        <w:tc>
          <w:tcPr>
            <w:tcW w:w="2717" w:type="dxa"/>
            <w:tcBorders>
              <w:top w:val="single" w:sz="6" w:space="0" w:color="000000"/>
              <w:left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&lt;3000 mg/m</w:t>
            </w:r>
            <w:r>
              <w:rPr>
                <w:rFonts w:ascii="仿宋_GB2312" w:eastAsia="仿宋_GB2312" w:cs="Times New Roman" w:hint="eastAsia"/>
                <w:kern w:val="2"/>
                <w:sz w:val="21"/>
                <w:szCs w:val="21"/>
                <w:vertAlign w:val="superscript"/>
                <w:lang w:bidi="ar-SA"/>
              </w:rPr>
              <w:t>3</w:t>
            </w:r>
          </w:p>
        </w:tc>
        <w:tc>
          <w:tcPr>
            <w:tcW w:w="271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80～90</w:t>
            </w:r>
          </w:p>
        </w:tc>
      </w:tr>
      <w:tr>
        <w:trPr>
          <w:trHeight w:val="292"/>
        </w:trPr>
        <w:tc>
          <w:tcPr>
            <w:tcW w:w="2717" w:type="dxa"/>
            <w:tcBorders>
              <w:top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Cl</w:t>
            </w:r>
            <w:r>
              <w:rPr>
                <w:rFonts w:ascii="仿宋_GB2312" w:eastAsia="仿宋_GB2312" w:cs="Times New Roman" w:hint="eastAsia"/>
                <w:kern w:val="2"/>
                <w:sz w:val="21"/>
                <w:szCs w:val="21"/>
                <w:vertAlign w:val="subscript"/>
                <w:lang w:bidi="ar-SA"/>
              </w:rPr>
              <w:t>2</w:t>
            </w:r>
          </w:p>
        </w:tc>
        <w:tc>
          <w:tcPr>
            <w:tcW w:w="2717" w:type="dxa"/>
            <w:tcBorders>
              <w:top w:val="single" w:sz="6" w:space="0" w:color="000000"/>
              <w:left w:val="single" w:sz="6" w:space="0" w:color="000000"/>
              <w:bottom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&lt;3000 mg/m</w:t>
            </w:r>
            <w:r>
              <w:rPr>
                <w:rFonts w:ascii="仿宋_GB2312" w:eastAsia="仿宋_GB2312" w:cs="Times New Roman" w:hint="eastAsia"/>
                <w:kern w:val="2"/>
                <w:sz w:val="21"/>
                <w:szCs w:val="21"/>
                <w:vertAlign w:val="superscript"/>
                <w:lang w:bidi="ar-SA"/>
              </w:rPr>
              <w:t>3</w:t>
            </w:r>
          </w:p>
        </w:tc>
        <w:tc>
          <w:tcPr>
            <w:tcW w:w="2717" w:type="dxa"/>
            <w:tcBorders>
              <w:top w:val="single" w:sz="6" w:space="0" w:color="000000"/>
              <w:left w:val="single" w:sz="6" w:space="0" w:color="000000"/>
              <w:bottom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80～90</w:t>
            </w:r>
          </w:p>
        </w:tc>
      </w:tr>
      <w:tr>
        <w:trPr>
          <w:trHeight w:val="442"/>
        </w:trPr>
        <w:tc>
          <w:tcPr>
            <w:tcW w:w="2717" w:type="dxa"/>
            <w:tcBorders>
              <w:top w:val="single" w:sz="6" w:space="0" w:color="000000"/>
              <w:righ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吸收中和液</w:t>
            </w:r>
          </w:p>
        </w:tc>
        <w:tc>
          <w:tcPr>
            <w:tcW w:w="5434" w:type="dxa"/>
            <w:gridSpan w:val="2"/>
            <w:tcBorders>
              <w:top w:val="single" w:sz="6" w:space="0" w:color="000000"/>
              <w:left w:val="single" w:sz="6" w:space="0" w:color="000000"/>
              <w:tl2br w:val="nil"/>
              <w:tr2bl w:val="nil"/>
            </w:tcBorders>
          </w:tcPr>
          <w:p>
            <w:pPr>
              <w:autoSpaceDE/>
              <w:autoSpaceDN/>
              <w:spacing w:line="360" w:lineRule="auto"/>
              <w:ind w:firstLineChars="200" w:firstLine="420"/>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2～6%NaOH 溶液或水</w:t>
            </w:r>
          </w:p>
        </w:tc>
      </w:tr>
    </w:tbl>
    <w:p>
      <w:pPr>
        <w:pStyle w:val="2"/>
        <w:spacing w:before="0" w:after="0" w:line="360" w:lineRule="auto"/>
        <w:jc w:val="both"/>
        <w:rPr>
          <w:rFonts w:ascii="仿宋_GB2312" w:eastAsia="仿宋_GB2312" w:hint="eastAsia"/>
        </w:rPr>
      </w:pPr>
      <w:bookmarkStart w:id="76" w:name="_Toc89766412"/>
      <w:r>
        <w:rPr>
          <w:rFonts w:ascii="仿宋_GB2312" w:eastAsia="仿宋_GB2312" w:hint="eastAsia"/>
        </w:rPr>
        <w:t>4.4废水处理技术及主要技术指标</w:t>
      </w:r>
      <w:bookmarkEnd w:id="76"/>
    </w:p>
    <w:p>
      <w:pPr>
        <w:pStyle w:val="3"/>
        <w:spacing w:before="0" w:after="0" w:line="360" w:lineRule="auto"/>
        <w:jc w:val="both"/>
        <w:rPr>
          <w:rFonts w:ascii="仿宋_GB2312" w:eastAsia="仿宋_GB2312" w:hint="eastAsia"/>
          <w:sz w:val="30"/>
          <w:szCs w:val="30"/>
        </w:rPr>
      </w:pPr>
      <w:bookmarkStart w:id="77" w:name="_Toc89766413"/>
      <w:r>
        <w:rPr>
          <w:rFonts w:ascii="仿宋_GB2312" w:eastAsia="仿宋_GB2312" w:hint="eastAsia"/>
          <w:sz w:val="30"/>
          <w:szCs w:val="30"/>
        </w:rPr>
        <w:t>4.4.1废水的收集和分质分流</w:t>
      </w:r>
      <w:bookmarkEnd w:id="77"/>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（1）废水的收集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车间内应落实防腐、防渗、防混措施，实施干湿区分离，地面设置有效的坡度和废水收集渠收集废水。</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废水收集应采取明管、明管套明沟或架空敷设。废水收集管道应布设整齐，并按废水类别进行涂色与标识，且应有足够的检修空间。废水管道应满足防腐、防渗漏、防堵塞的要求。排水系统，特别是建（构）筑物进出水管应有防腐蚀、防沉降、防折断措施。</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（2）废水分质分流</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铜冶炼企业应规范废水收集系统，实行雨污分流、清污分流、污水分质分流。</w:t>
      </w:r>
    </w:p>
    <w:p>
      <w:pPr>
        <w:pStyle w:val="25"/>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制酸系统产生的酸性废水中含酸、Zn</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、Cu</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、Pb</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、Cd</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、Ni</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、As</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、Co</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、F</w:t>
      </w:r>
      <w:r>
        <w:rPr>
          <w:rFonts w:ascii="仿宋_GB2312" w:eastAsia="仿宋_GB2312" w:cs="Times New Roman" w:hint="eastAsia"/>
          <w:kern w:val="2"/>
          <w:sz w:val="30"/>
          <w:szCs w:val="30"/>
          <w:vertAlign w:val="superscript"/>
          <w:lang w:bidi="ar-SA"/>
        </w:rPr>
        <w:t>+</w:t>
      </w:r>
      <w:r>
        <w:rPr>
          <w:rFonts w:ascii="仿宋_GB2312" w:eastAsia="仿宋_GB2312" w:cs="Times New Roman" w:hint="eastAsia"/>
          <w:kern w:val="2"/>
          <w:sz w:val="30"/>
          <w:szCs w:val="30"/>
          <w:lang w:bidi="ar-SA"/>
        </w:rPr>
        <w:t>、Hg</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一类污染物废水必须单独收集，并将一类污染物单独预处理至车间排放口限值后再排入污水处理站与其他废水混合处理。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电解系统产生的含酸、碱废水电解工段水环式真空泵产生酸性废水pH 1-2。该股废水不含重金属，收集后可排入污水处理站处理。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湿式除尘循环系统水处理后产生含NaOH的碱性废水pH约12-14。该股废水不含重金属，可经中和处理后排污污水处理站处理。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冷却系统产生含盐废水，包括冶金炉水套冷却水排污水、余热锅炉及化学水处理车间排污水、金属铸锭或产品熔铸冷却排水，此类废水含盐类污染物，单独收集后回用于渣缓冷淋水或用于冲渣。</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初期雨水收集系统厂区可能受酸、尘污染区域的初期雨水、地面冲洗水均应收集，进入初期雨水池，并排入污水处理站或者初期雨水处理站处理后回用于渣缓冷淋水或用于冲渣。</w:t>
      </w:r>
    </w:p>
    <w:p>
      <w:pPr>
        <w:pStyle w:val="25"/>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集中废水处理站应设置综合调节池，各调节池有效停留时间不少于8h，并应设搅拌系统均化水质水量。</w:t>
      </w:r>
    </w:p>
    <w:p>
      <w:pPr>
        <w:pStyle w:val="3"/>
        <w:spacing w:before="0" w:after="0" w:line="360" w:lineRule="auto"/>
        <w:jc w:val="both"/>
        <w:rPr>
          <w:rFonts w:ascii="仿宋_GB2312" w:eastAsia="仿宋_GB2312" w:hint="eastAsia"/>
          <w:sz w:val="30"/>
          <w:szCs w:val="30"/>
        </w:rPr>
      </w:pPr>
      <w:bookmarkStart w:id="78" w:name="_Toc89766414"/>
      <w:r>
        <w:rPr>
          <w:rFonts w:ascii="仿宋_GB2312" w:eastAsia="仿宋_GB2312" w:hint="eastAsia"/>
          <w:sz w:val="30"/>
          <w:szCs w:val="30"/>
        </w:rPr>
        <w:t>4.4.2水的循环利用</w:t>
      </w:r>
      <w:bookmarkEnd w:id="78"/>
    </w:p>
    <w:p>
      <w:pPr>
        <w:pStyle w:val="25"/>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提高工业用水重复利用率。铜冶炼厂一般设置闪速炉循环水系统、浇铸机循环水系统、硫酸车间循环水系统、余热发电循环水系统、动力车间循环水系统、电解车间循环水系统和净液车间循环水系统。各系统的冷却方式主要采用机械通风冷却循环供水方式，需满足《铜冶炼行业规范条件》要求的铜冶炼企业水循环利用率必须达到98%以上，吨铜新水消耗应在16吨以下。</w:t>
      </w:r>
    </w:p>
    <w:p>
      <w:pPr>
        <w:pStyle w:val="25"/>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提高中水回用率。经废水处理站处理达标的废水回用于对水质要求不高的渣选矿、炉渣缓冷，中水回用率需达到50%以上。</w:t>
      </w:r>
    </w:p>
    <w:p>
      <w:pPr>
        <w:pStyle w:val="3"/>
        <w:spacing w:before="0" w:after="0" w:line="360" w:lineRule="auto"/>
        <w:jc w:val="both"/>
        <w:rPr>
          <w:rFonts w:ascii="仿宋_GB2312" w:eastAsia="仿宋_GB2312" w:hint="eastAsia"/>
          <w:sz w:val="30"/>
          <w:szCs w:val="30"/>
        </w:rPr>
      </w:pPr>
      <w:bookmarkStart w:id="79" w:name="_Toc89766415"/>
      <w:r>
        <w:rPr>
          <w:rFonts w:ascii="仿宋_GB2312" w:eastAsia="仿宋_GB2312" w:hint="eastAsia"/>
          <w:sz w:val="30"/>
          <w:szCs w:val="30"/>
        </w:rPr>
        <w:t>4.4.3污酸处理技术</w:t>
      </w:r>
      <w:bookmarkEnd w:id="79"/>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（1）硫化法+石灰石/石灰中和法污酸处理技术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硫化法+石灰石/石灰中和法污酸处理技术是向污酸中投加硫化剂，使污酸中的重金属离子与硫反应生成难溶的金属硫化物沉淀去除。硫化反应后向废水中投加石灰石或石灰，中和硫酸，生成硫酸钙沉淀（CaSO</w:t>
      </w:r>
      <w:r>
        <w:rPr>
          <w:rFonts w:ascii="仿宋_GB2312" w:eastAsia="仿宋_GB2312" w:cs="Times New Roman" w:hint="eastAsia"/>
          <w:kern w:val="2"/>
          <w:sz w:val="30"/>
          <w:szCs w:val="30"/>
          <w:vertAlign w:val="subscript"/>
          <w:lang w:bidi="ar-SA"/>
        </w:rPr>
        <w:t>4</w:t>
      </w:r>
      <w:r>
        <w:rPr>
          <w:rFonts w:ascii="仿宋_GB2312" w:eastAsia="仿宋_GB2312" w:cs="Times New Roman" w:hint="eastAsia"/>
          <w:kern w:val="2"/>
          <w:sz w:val="30"/>
          <w:szCs w:val="30"/>
          <w:lang w:bidi="ar-SA"/>
        </w:rPr>
        <w:t>·2H</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O）去除。出水与其他废水合并后进污水处理站做进一步处理。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硫化物法+石灰中和法处理污酸工艺流程见图3。</w:t>
      </w:r>
      <w:r>
        <w:rPr>
          <w:rFonts w:ascii="仿宋_GB2312" w:eastAsia="仿宋_GB2312" w:cs="Times New Roman" w:hint="eastAsia"/>
          <w:kern w:val="2"/>
          <w:sz w:val="21"/>
          <w:lang w:bidi="ar-SA"/>
        </w:rPr>
        <w:br w:type="page"/>
      </w:r>
    </w:p>
    <w:p>
      <w:pPr>
        <w:pStyle w:val="22"/>
        <w:spacing w:before="30"/>
        <w:ind w:right="731"/>
        <w:jc w:val="both"/>
        <w:rPr>
          <w:rFonts w:ascii="黑体" w:eastAsia="黑体" w:hint="eastAsia"/>
          <w:sz w:val="24"/>
          <w:szCs w:val="24"/>
        </w:rPr>
      </w:pPr>
      <w:r>
        <mc:AlternateContent>
          <mc:Choice Requires="wps">
            <w:drawing>
              <wp:anchor distT="0" distB="0" distL="114296" distR="114296" simplePos="0" relativeHeight="50" behindDoc="0" locked="0" layoutInCell="0" hidden="0" allowOverlap="1">
                <wp:simplePos x="0" y="0"/>
                <wp:positionH relativeFrom="page">
                  <wp:posOffset>5196760</wp:posOffset>
                </wp:positionH>
                <wp:positionV relativeFrom="page">
                  <wp:posOffset>2394548</wp:posOffset>
                </wp:positionV>
                <wp:extent cx="954405" cy="5492115"/>
                <wp:effectExtent l="0" t="0" r="0" b="0"/>
                <wp:wrapSquare wrapText="bothSides"/>
                <wp:docPr id="10" name="_x0000_s1034"/>
                <wp:cNvGraphicFramePr>
                  <a:graphicFrameLocks noChangeAspect="0"/>
                </wp:cNvGraphicFramePr>
                <a:graphic>
                  <a:graphicData uri="http://schemas.microsoft.com/office/word/2010/wordprocessingShape">
                    <wps:wsp>
                      <wps:cNvSpPr/>
                      <wps:spPr>
                        <a:xfrm rot="0">
                          <a:off x="0" y="0"/>
                          <a:ext cx="954405" cy="5492115"/>
                        </a:xfrm>
                        <a:prstGeom prst="rect"/>
                        <a:solidFill>
                          <a:srgbClr val="FFFFFF">
                            <a:alpha val="80000"/>
                          </a:srgbClr>
                        </a:solidFill>
                        <a:ln w="12700" cmpd="sng" cap="flat">
                          <a:solidFill>
                            <a:srgbClr val="FFFFFF"/>
                          </a:solidFill>
                          <a:prstDash val="solid"/>
                          <a:miter/>
                        </a:ln>
                      </wps:spPr>
                      <wps:txbx id="11">
                        <w:txbxContent>
                          <w:p>
                            <w:pPr>
                              <w:jc w:val="center"/>
                              <w:rPr>
                                <w:rFonts w:ascii="Cambria" w:cs="Times New Roman" w:hAnsi="Cambria"/>
                                <w:b/>
                                <w:bCs/>
                                <w:sz w:val="28"/>
                                <w:szCs w:val="28"/>
                                <w:lang w:bidi="ar-SA"/>
                              </w:rPr>
                            </w:pPr>
                            <w:r>
                              <w:rPr>
                                <w:rFonts w:ascii="黑体" w:eastAsia="黑体" w:hint="eastAsia"/>
                                <w:sz w:val="28"/>
                                <w:szCs w:val="28"/>
                              </w:rPr>
                              <w:t>图</w:t>
                            </w:r>
                            <w:r>
                              <w:rPr>
                                <w:rFonts w:ascii="Times New Roman" w:eastAsia="Times New Roman" w:hAnsi="Times New Roman"/>
                                <w:sz w:val="28"/>
                                <w:szCs w:val="28"/>
                              </w:rPr>
                              <w:t>3</w:t>
                            </w:r>
                            <w:r>
                              <w:rPr>
                                <w:rFonts w:ascii="Times New Roman" w:hAnsi="Times New Roman" w:hint="eastAsia"/>
                                <w:sz w:val="28"/>
                                <w:szCs w:val="28"/>
                              </w:rPr>
                              <w:t xml:space="preserve">  </w:t>
                            </w:r>
                            <w:r>
                              <w:rPr>
                                <w:rFonts w:ascii="Times New Roman" w:eastAsia="Times New Roman" w:hAnsi="Times New Roman"/>
                                <w:sz w:val="28"/>
                                <w:szCs w:val="28"/>
                              </w:rPr>
                              <w:t xml:space="preserve"> </w:t>
                            </w:r>
                            <w:r>
                              <w:rPr>
                                <w:rFonts w:ascii="黑体" w:eastAsia="黑体" w:hint="eastAsia"/>
                                <w:sz w:val="28"/>
                                <w:szCs w:val="28"/>
                              </w:rPr>
                              <w:t>硫化法</w:t>
                            </w:r>
                            <w:r>
                              <w:rPr>
                                <w:rFonts w:ascii="Times New Roman" w:eastAsia="Times New Roman" w:hAnsi="Times New Roman"/>
                                <w:sz w:val="28"/>
                                <w:szCs w:val="28"/>
                              </w:rPr>
                              <w:t>+</w:t>
                            </w:r>
                            <w:r>
                              <w:rPr>
                                <w:rFonts w:ascii="黑体" w:eastAsia="黑体" w:hint="eastAsia"/>
                                <w:sz w:val="28"/>
                                <w:szCs w:val="28"/>
                              </w:rPr>
                              <w:t>石灰石</w:t>
                            </w:r>
                            <w:r>
                              <w:rPr>
                                <w:rFonts w:ascii="Times New Roman" w:eastAsia="Times New Roman" w:hAnsi="Times New Roman"/>
                                <w:sz w:val="28"/>
                                <w:szCs w:val="28"/>
                              </w:rPr>
                              <w:t>/</w:t>
                            </w:r>
                            <w:r>
                              <w:rPr>
                                <w:rFonts w:ascii="黑体" w:eastAsia="黑体" w:hint="eastAsia"/>
                                <w:sz w:val="28"/>
                                <w:szCs w:val="28"/>
                              </w:rPr>
                              <w:t>石灰中和法污酸处理工艺流程图</w:t>
                            </w:r>
                          </w:p>
                        </w:txbxContent>
                      </wps:txbx>
                      <wps:bodyPr vert="vert270" wrap="square" lIns="457200" tIns="91440" rIns="91440" bIns="91440" anchor="t" anchorCtr="0" upright="1">
                        <a:spAutoFit/>
                      </wps:bodyPr>
                    </wps:wsp>
                  </a:graphicData>
                </a:graphic>
              </wp:anchor>
            </w:drawing>
          </mc:Choice>
          <mc:Fallback>
            <w:pict>
              <v:rect type="#_x0000_t1" id="_x0000_s1034 12" o:spid="_x0000_s12" fillcolor="#FFFFFF" stroked="t" strokeweight="1.0pt" o:allowincell="f" style="position:absolute;margin-left:409.19376pt;margin-top:188.54712pt;width:75.15001pt;height:432.44998pt;z-index:50;mso-position-horizontal:absolute;mso-position-horizontal-relative:page;mso-position-vertical:absolute;mso-position-vertical-relative:page;mso-wrap-distance-left:8.999685pt;mso-wrap-distance-right:8.999685pt;mso-wrap-style:square;">
                <v:fill opacity="52428f"/>
                <v:stroke color="#FFFFFF"/>
                <v:textbox id="867" inset="12.7mm,2.54mm,2.54mm,2.54mm" o:insetmode="custom" style="layout-flow:vertical;mso-layout-flow-alt:bottom-to-top;v-text-anchor:top;mso-fit-shape-to-text:t;">
                  <w:txbxContent>
                    <w:p>
                      <w:pPr>
                        <w:jc w:val="center"/>
                        <w:rPr>
                          <w:rFonts w:ascii="Cambria" w:cs="Times New Roman" w:hAnsi="Cambria"/>
                          <w:b/>
                          <w:bCs/>
                          <w:sz w:val="28"/>
                          <w:szCs w:val="28"/>
                          <w:lang w:bidi="ar-SA"/>
                        </w:rPr>
                      </w:pPr>
                      <w:r>
                        <w:rPr>
                          <w:rFonts w:ascii="黑体" w:eastAsia="黑体" w:hint="eastAsia"/>
                          <w:sz w:val="28"/>
                          <w:szCs w:val="28"/>
                        </w:rPr>
                        <w:t>图</w:t>
                      </w:r>
                      <w:r>
                        <w:rPr>
                          <w:rFonts w:ascii="Times New Roman" w:eastAsia="Times New Roman" w:hAnsi="Times New Roman"/>
                          <w:sz w:val="28"/>
                          <w:szCs w:val="28"/>
                        </w:rPr>
                        <w:t>3</w:t>
                      </w:r>
                      <w:r>
                        <w:rPr>
                          <w:rFonts w:ascii="Times New Roman" w:hAnsi="Times New Roman" w:hint="eastAsia"/>
                          <w:sz w:val="28"/>
                          <w:szCs w:val="28"/>
                        </w:rPr>
                        <w:t xml:space="preserve">  </w:t>
                      </w:r>
                      <w:r>
                        <w:rPr>
                          <w:rFonts w:ascii="Times New Roman" w:eastAsia="Times New Roman" w:hAnsi="Times New Roman"/>
                          <w:sz w:val="28"/>
                          <w:szCs w:val="28"/>
                        </w:rPr>
                        <w:t xml:space="preserve"> </w:t>
                      </w:r>
                      <w:r>
                        <w:rPr>
                          <w:rFonts w:ascii="黑体" w:eastAsia="黑体" w:hint="eastAsia"/>
                          <w:sz w:val="28"/>
                          <w:szCs w:val="28"/>
                        </w:rPr>
                        <w:t>硫化法</w:t>
                      </w:r>
                      <w:r>
                        <w:rPr>
                          <w:rFonts w:ascii="Times New Roman" w:eastAsia="Times New Roman" w:hAnsi="Times New Roman"/>
                          <w:sz w:val="28"/>
                          <w:szCs w:val="28"/>
                        </w:rPr>
                        <w:t>+</w:t>
                      </w:r>
                      <w:r>
                        <w:rPr>
                          <w:rFonts w:ascii="黑体" w:eastAsia="黑体" w:hint="eastAsia"/>
                          <w:sz w:val="28"/>
                          <w:szCs w:val="28"/>
                        </w:rPr>
                        <w:t>石灰石</w:t>
                      </w:r>
                      <w:r>
                        <w:rPr>
                          <w:rFonts w:ascii="Times New Roman" w:eastAsia="Times New Roman" w:hAnsi="Times New Roman"/>
                          <w:sz w:val="28"/>
                          <w:szCs w:val="28"/>
                        </w:rPr>
                        <w:t>/</w:t>
                      </w:r>
                      <w:r>
                        <w:rPr>
                          <w:rFonts w:ascii="黑体" w:eastAsia="黑体" w:hint="eastAsia"/>
                          <w:sz w:val="28"/>
                          <w:szCs w:val="28"/>
                        </w:rPr>
                        <w:t>石灰中和法污酸处理工艺流程图</w:t>
                      </w:r>
                    </w:p>
                  </w:txbxContent>
                </v:textbox>
                <w10:wrap type="square"/>
              </v:rect>
            </w:pict>
          </mc:Fallback>
        </mc:AlternateContent>
      </w:r>
      <w:r>
        <w:rPr>
          <w:rFonts w:ascii="黑体" w:eastAsia="黑体"/>
          <w:sz w:val="24"/>
          <w:szCs w:val="24"/>
        </w:rPr>
        <w:drawing>
          <wp:inline distT="0" distB="0" distL="68578" distR="68578">
            <wp:extent cx="3422649" cy="7853681"/>
            <wp:effectExtent l="0" t="0" r="0" b="0"/>
            <wp:docPr id="13" name="图片"/>
            <wp:cNvGraphicFramePr>
              <a:graphicFrameLocks noChangeAspect="1"/>
            </wp:cNvGraphicFramePr>
            <a:graphic>
              <a:graphicData uri="http://schemas.openxmlformats.org/drawingml/2006/picture">
                <pic:pic>
                  <pic:nvPicPr>
                    <pic:cNvPr id="15" name="图片 15"/>
                    <pic:cNvPicPr/>
                  </pic:nvPicPr>
                  <pic:blipFill>
                    <a:blip r:embed="rId10"/>
                    <a:stretch>
                      <a:fillRect/>
                    </a:stretch>
                  </pic:blipFill>
                  <pic:spPr>
                    <a:xfrm rot="0">
                      <a:off x="0" y="0"/>
                      <a:ext cx="3422649" cy="7853681"/>
                    </a:xfrm>
                    <a:prstGeom prst="rect"/>
                    <a:noFill/>
                    <a:ln w="9525" cmpd="sng" cap="flat">
                      <a:noFill/>
                      <a:prstDash val="solid"/>
                      <a:miter/>
                    </a:ln>
                  </pic:spPr>
                </pic:pic>
              </a:graphicData>
            </a:graphic>
          </wp:inline>
        </w:drawing>
      </w:r>
    </w:p>
    <w:p>
      <w:pPr>
        <w:pStyle w:val="22"/>
        <w:spacing w:before="30"/>
        <w:ind w:right="731"/>
        <w:jc w:val="both"/>
        <w:rPr>
          <w:rFonts w:ascii="黑体" w:eastAsia="黑体" w:hint="eastAsia"/>
          <w:sz w:val="24"/>
          <w:szCs w:val="24"/>
        </w:rPr>
      </w:pP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常用的硫化剂有Na</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S、NaHS、FeS等。去除率Cu:96～98%、As:96～98%。</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该技术主要去除镉、砷、锑、铜、锌、汞、银、镍等，可用于含砷、铜离子浓度较高的废水。具有渣量少、易脱水、沉渣金属品位高的特点，有利于有价金属的回收。</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该技术适用于铜冶炼过程中污酸的处理。</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（2）石灰+铁盐法污酸处理技术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铁盐法是向污酸中加入石灰乳进行中和反应，经固液分离、污泥脱水后产生石膏。进一步向废水中加入双氧水、液碱及铁盐，发生氧化沉砷反应，经固液分离、污泥脱水后产生砷渣。出水与其他废水合并后送污水处理站进一步处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石灰+铁盐法处理污酸工艺流程见图4。</w:t>
      </w:r>
    </w:p>
    <w:p>
      <w:pPr>
        <w:autoSpaceDE/>
        <w:autoSpaceDN/>
        <w:spacing w:line="360" w:lineRule="auto"/>
        <w:ind w:firstLineChars="100" w:firstLine="220"/>
        <w:jc w:val="both"/>
        <w:rPr>
          <w:rFonts w:ascii="Times New Roman" w:eastAsia="仿宋_GB2312" w:cs="Times New Roman" w:hAnsi="Times New Roman"/>
          <w:kern w:val="2"/>
          <w:sz w:val="30"/>
          <w:szCs w:val="30"/>
          <w:lang w:bidi="ar-SA"/>
        </w:rPr>
      </w:pPr>
      <w:r>
        <mc:AlternateContent>
          <mc:Choice Requires="wps">
            <w:drawing>
              <wp:anchor distT="0" distB="0" distL="114296" distR="114296" simplePos="0" relativeHeight="51" behindDoc="0" locked="0" layoutInCell="0" hidden="0" allowOverlap="1">
                <wp:simplePos x="0" y="0"/>
                <wp:positionH relativeFrom="page">
                  <wp:posOffset>4594790</wp:posOffset>
                </wp:positionH>
                <wp:positionV relativeFrom="page">
                  <wp:posOffset>2966039</wp:posOffset>
                </wp:positionV>
                <wp:extent cx="1046480" cy="4211954"/>
                <wp:effectExtent l="0" t="0" r="0" b="0"/>
                <wp:wrapSquare wrapText="bothSides"/>
                <wp:docPr id="16" name="_x0000_s1037"/>
                <wp:cNvGraphicFramePr>
                  <a:graphicFrameLocks noChangeAspect="0"/>
                </wp:cNvGraphicFramePr>
                <a:graphic>
                  <a:graphicData uri="http://schemas.microsoft.com/office/word/2010/wordprocessingShape">
                    <wps:wsp>
                      <wps:cNvSpPr/>
                      <wps:spPr>
                        <a:xfrm rot="0">
                          <a:off x="0" y="0"/>
                          <a:ext cx="1046480" cy="4211954"/>
                        </a:xfrm>
                        <a:prstGeom prst="rect"/>
                        <a:solidFill>
                          <a:srgbClr val="FFFFFF">
                            <a:alpha val="80000"/>
                          </a:srgbClr>
                        </a:solidFill>
                        <a:ln w="12700" cmpd="sng" cap="flat">
                          <a:solidFill>
                            <a:srgbClr val="FFFFFF"/>
                          </a:solidFill>
                          <a:prstDash val="solid"/>
                          <a:miter/>
                        </a:ln>
                      </wps:spPr>
                      <wps:txbx id="17">
                        <w:txbxContent>
                          <w:p>
                            <w:pPr>
                              <w:rPr>
                                <w:rFonts w:ascii="Cambria" w:cs="Times New Roman" w:hAnsi="Cambria"/>
                                <w:b/>
                                <w:bCs/>
                                <w:sz w:val="28"/>
                                <w:szCs w:val="28"/>
                                <w:lang w:bidi="ar-SA"/>
                              </w:rPr>
                            </w:pPr>
                            <w:r>
                              <w:rPr>
                                <w:rFonts w:ascii="黑体" w:eastAsia="黑体" w:hint="eastAsia"/>
                                <w:sz w:val="28"/>
                                <w:szCs w:val="28"/>
                              </w:rPr>
                              <w:t>图4  石灰+铁盐法污酸处理工艺流程图</w:t>
                            </w:r>
                          </w:p>
                        </w:txbxContent>
                      </wps:txbx>
                      <wps:bodyPr vert="vert270" wrap="square" lIns="457200" tIns="91440" rIns="91440" bIns="91440" anchor="t" anchorCtr="0" upright="1">
                        <a:noAutofit/>
                      </wps:bodyPr>
                    </wps:wsp>
                  </a:graphicData>
                </a:graphic>
              </wp:anchor>
            </w:drawing>
          </mc:Choice>
          <mc:Fallback>
            <w:pict>
              <v:rect type="#_x0000_t1" id="_x0000_s1037 18" o:spid="_x0000_s18" fillcolor="#FFFFFF" stroked="t" strokeweight="1.0pt" o:allowincell="f" style="position:absolute;margin-left:361.7945pt;margin-top:233.54643pt;width:82.40003pt;height:331.64996pt;z-index:51;mso-position-horizontal:absolute;mso-position-horizontal-relative:page;mso-position-vertical:absolute;mso-position-vertical-relative:page;mso-wrap-distance-left:8.999685pt;mso-wrap-distance-right:8.999685pt;mso-wrap-style:square;">
                <v:fill opacity="52428f"/>
                <v:stroke color="#FFFFFF"/>
                <v:textbox id="868" inset="12.7mm,2.54mm,2.54mm,2.54mm" o:insetmode="custom" style="layout-flow:vertical;mso-layout-flow-alt:bottom-to-top;v-text-anchor:top;">
                  <w:txbxContent>
                    <w:p>
                      <w:pPr>
                        <w:rPr>
                          <w:rFonts w:ascii="Cambria" w:cs="Times New Roman" w:hAnsi="Cambria"/>
                          <w:b/>
                          <w:bCs/>
                          <w:sz w:val="28"/>
                          <w:szCs w:val="28"/>
                          <w:lang w:bidi="ar-SA"/>
                        </w:rPr>
                      </w:pPr>
                      <w:r>
                        <w:rPr>
                          <w:rFonts w:ascii="黑体" w:eastAsia="黑体" w:hint="eastAsia"/>
                          <w:sz w:val="28"/>
                          <w:szCs w:val="28"/>
                        </w:rPr>
                        <w:t>图4  石灰+铁盐法污酸处理工艺流程图</w:t>
                      </w:r>
                    </w:p>
                  </w:txbxContent>
                </v:textbox>
                <w10:wrap type="square"/>
              </v:rect>
            </w:pict>
          </mc:Fallback>
        </mc:AlternateContent>
      </w:r>
      <w:r>
        <w:rPr>
          <w:rFonts w:ascii="Times New Roman" w:eastAsia="仿宋_GB2312" w:cs="Times New Roman" w:hAnsi="Times New Roman"/>
          <w:kern w:val="2"/>
          <w:sz w:val="30"/>
          <w:szCs w:val="30"/>
          <w:lang w:bidi="ar-SA"/>
        </w:rPr>
        <w:drawing>
          <wp:inline distT="0" distB="0" distL="68578" distR="68578">
            <wp:extent cx="1655445" cy="7498080"/>
            <wp:effectExtent l="0" t="0" r="0" b="0"/>
            <wp:docPr id="19" name="图片"/>
            <wp:cNvGraphicFramePr>
              <a:graphicFrameLocks noChangeAspect="1"/>
            </wp:cNvGraphicFramePr>
            <a:graphic>
              <a:graphicData uri="http://schemas.openxmlformats.org/drawingml/2006/picture">
                <pic:pic>
                  <pic:nvPicPr>
                    <pic:cNvPr id="21" name="图片 21"/>
                    <pic:cNvPicPr/>
                  </pic:nvPicPr>
                  <pic:blipFill>
                    <a:blip r:embed="rId11"/>
                    <a:stretch>
                      <a:fillRect/>
                    </a:stretch>
                  </pic:blipFill>
                  <pic:spPr>
                    <a:xfrm rot="0">
                      <a:off x="0" y="0"/>
                      <a:ext cx="1655445" cy="7498080"/>
                    </a:xfrm>
                    <a:prstGeom prst="rect"/>
                    <a:noFill/>
                    <a:ln w="9525" cmpd="sng" cap="flat">
                      <a:noFill/>
                      <a:prstDash val="solid"/>
                      <a:miter/>
                    </a:ln>
                  </pic:spPr>
                </pic:pic>
              </a:graphicData>
            </a:graphic>
          </wp:inline>
        </w:drawing>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该技术脱砷率大于 98%，降低了含砷较高的渣的产量，有利于砷的集中综合回收。该技术适用于铜冶炼含砷离子浓度较高废水的处理。</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（3）技术参数</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污酸处理可行技术及主要技术指标见表 1</w:t>
      </w:r>
      <w:r>
        <w:rPr>
          <w:rFonts w:ascii="Times New Roman" w:eastAsia="仿宋_GB2312" w:cs="Times New Roman" w:hAnsi="Times New Roman" w:hint="eastAsia"/>
          <w:kern w:val="2"/>
          <w:sz w:val="30"/>
          <w:szCs w:val="30"/>
          <w:lang w:bidi="ar-SA"/>
        </w:rPr>
        <w:t>2</w:t>
      </w:r>
      <w:r>
        <w:rPr>
          <w:rFonts w:ascii="Times New Roman" w:eastAsia="仿宋_GB2312" w:cs="Times New Roman" w:hAnsi="Times New Roman"/>
          <w:kern w:val="2"/>
          <w:sz w:val="30"/>
          <w:szCs w:val="30"/>
          <w:lang w:bidi="ar-SA"/>
        </w:rPr>
        <w:t>。</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表12  污酸处理可行技术及主要技术指标</w:t>
      </w:r>
    </w:p>
    <w:tbl>
      <w:tblPr>
        <w:jc w:val="left"/>
        <w:tblInd w:w="123" w:type="dxa"/>
        <w:tblW w:w="88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1305"/>
        <w:gridCol w:w="1760"/>
        <w:gridCol w:w="1980"/>
        <w:gridCol w:w="2530"/>
        <w:gridCol w:w="1320"/>
      </w:tblGrid>
      <w:tr>
        <w:trPr>
          <w:trHeight w:val="477"/>
        </w:trPr>
        <w:tc>
          <w:tcPr>
            <w:tcW w:w="1305" w:type="dxa"/>
            <w:tcBorders>
              <w:tl2br w:val="nil"/>
              <w:tr2bl w:val="nil"/>
            </w:tcBorders>
            <w:vAlign w:val="center"/>
          </w:tcPr>
          <w:p>
            <w:pPr>
              <w:pStyle w:val="25"/>
              <w:spacing w:line="300" w:lineRule="exact"/>
              <w:ind w:left="98" w:right="79"/>
              <w:jc w:val="both"/>
              <w:rPr>
                <w:rFonts w:ascii="仿宋_GB2312" w:eastAsia="仿宋_GB2312" w:hint="eastAsia"/>
                <w:sz w:val="21"/>
                <w:szCs w:val="21"/>
              </w:rPr>
            </w:pPr>
            <w:r>
              <w:rPr>
                <w:rFonts w:ascii="仿宋_GB2312" w:eastAsia="仿宋_GB2312" w:hint="eastAsia"/>
                <w:sz w:val="21"/>
                <w:szCs w:val="21"/>
              </w:rPr>
              <w:t>可行技术</w:t>
            </w:r>
          </w:p>
        </w:tc>
        <w:tc>
          <w:tcPr>
            <w:tcW w:w="1760" w:type="dxa"/>
            <w:tcBorders>
              <w:tl2br w:val="nil"/>
              <w:tr2bl w:val="nil"/>
            </w:tcBorders>
            <w:vAlign w:val="center"/>
          </w:tcPr>
          <w:p>
            <w:pPr>
              <w:pStyle w:val="25"/>
              <w:spacing w:line="300" w:lineRule="exact"/>
              <w:ind w:left="46" w:right="18"/>
              <w:jc w:val="both"/>
              <w:rPr>
                <w:rFonts w:ascii="仿宋_GB2312" w:eastAsia="仿宋_GB2312" w:hint="eastAsia"/>
                <w:sz w:val="21"/>
                <w:szCs w:val="21"/>
              </w:rPr>
            </w:pPr>
            <w:r>
              <w:rPr>
                <w:rFonts w:ascii="仿宋_GB2312" w:eastAsia="仿宋_GB2312" w:hint="eastAsia"/>
                <w:sz w:val="21"/>
                <w:szCs w:val="21"/>
              </w:rPr>
              <w:t>可行工艺参数</w:t>
            </w:r>
          </w:p>
        </w:tc>
        <w:tc>
          <w:tcPr>
            <w:tcW w:w="1980" w:type="dxa"/>
            <w:tcBorders>
              <w:tl2br w:val="nil"/>
              <w:tr2bl w:val="nil"/>
            </w:tcBorders>
            <w:vAlign w:val="center"/>
          </w:tcPr>
          <w:p>
            <w:pPr>
              <w:pStyle w:val="25"/>
              <w:spacing w:line="300" w:lineRule="exact"/>
              <w:ind w:left="48" w:right="18"/>
              <w:jc w:val="both"/>
              <w:rPr>
                <w:rFonts w:ascii="仿宋_GB2312" w:eastAsia="仿宋_GB2312" w:hint="eastAsia"/>
                <w:sz w:val="21"/>
                <w:szCs w:val="21"/>
              </w:rPr>
            </w:pPr>
            <w:r>
              <w:rPr>
                <w:rFonts w:ascii="仿宋_GB2312" w:eastAsia="仿宋_GB2312" w:hint="eastAsia"/>
                <w:sz w:val="21"/>
                <w:szCs w:val="21"/>
              </w:rPr>
              <w:t>污染物消减及排放</w:t>
            </w:r>
          </w:p>
        </w:tc>
        <w:tc>
          <w:tcPr>
            <w:tcW w:w="2530" w:type="dxa"/>
            <w:tcBorders>
              <w:tl2br w:val="nil"/>
              <w:tr2bl w:val="nil"/>
            </w:tcBorders>
            <w:vAlign w:val="center"/>
          </w:tcPr>
          <w:p>
            <w:pPr>
              <w:pStyle w:val="25"/>
              <w:spacing w:line="300" w:lineRule="exact"/>
              <w:ind w:left="47" w:right="18"/>
              <w:jc w:val="both"/>
              <w:rPr>
                <w:rFonts w:ascii="仿宋_GB2312" w:eastAsia="仿宋_GB2312" w:hint="eastAsia"/>
                <w:sz w:val="21"/>
                <w:szCs w:val="21"/>
              </w:rPr>
            </w:pPr>
            <w:r>
              <w:rPr>
                <w:rFonts w:ascii="仿宋_GB2312" w:eastAsia="仿宋_GB2312" w:hint="eastAsia"/>
                <w:sz w:val="21"/>
                <w:szCs w:val="21"/>
              </w:rPr>
              <w:t>二次污染及防治措施</w:t>
            </w:r>
          </w:p>
        </w:tc>
        <w:tc>
          <w:tcPr>
            <w:tcW w:w="1320" w:type="dxa"/>
            <w:tcBorders>
              <w:tl2br w:val="nil"/>
              <w:tr2bl w:val="nil"/>
            </w:tcBorders>
            <w:vAlign w:val="center"/>
          </w:tcPr>
          <w:p>
            <w:pPr>
              <w:pStyle w:val="25"/>
              <w:spacing w:line="300" w:lineRule="exact"/>
              <w:jc w:val="both"/>
              <w:rPr>
                <w:rFonts w:ascii="仿宋_GB2312" w:eastAsia="仿宋_GB2312" w:hint="eastAsia"/>
                <w:sz w:val="21"/>
                <w:szCs w:val="21"/>
              </w:rPr>
            </w:pPr>
            <w:r>
              <w:rPr>
                <w:rFonts w:ascii="仿宋_GB2312" w:eastAsia="仿宋_GB2312" w:hint="eastAsia"/>
                <w:sz w:val="21"/>
                <w:szCs w:val="21"/>
              </w:rPr>
              <w:t>技术适用性</w:t>
            </w:r>
          </w:p>
        </w:tc>
      </w:tr>
      <w:tr>
        <w:trPr>
          <w:trHeight w:val="2629"/>
        </w:trPr>
        <w:tc>
          <w:tcPr>
            <w:tcW w:w="1305" w:type="dxa"/>
            <w:tcBorders>
              <w:tl2br w:val="nil"/>
              <w:tr2bl w:val="nil"/>
            </w:tcBorders>
            <w:vAlign w:val="center"/>
          </w:tcPr>
          <w:p>
            <w:pPr>
              <w:pStyle w:val="25"/>
              <w:spacing w:line="300" w:lineRule="exact"/>
              <w:ind w:right="112"/>
              <w:jc w:val="both"/>
              <w:rPr>
                <w:rFonts w:ascii="仿宋_GB2312" w:eastAsia="仿宋_GB2312" w:hint="eastAsia"/>
                <w:sz w:val="21"/>
                <w:szCs w:val="21"/>
              </w:rPr>
            </w:pPr>
            <w:r>
              <w:rPr>
                <w:rFonts w:ascii="仿宋_GB2312" w:eastAsia="仿宋_GB2312" w:hint="eastAsia"/>
                <w:sz w:val="21"/>
                <w:szCs w:val="21"/>
              </w:rPr>
              <w:t>硫化法+石灰石/石灰中和法</w:t>
            </w:r>
          </w:p>
        </w:tc>
        <w:tc>
          <w:tcPr>
            <w:tcW w:w="1760" w:type="dxa"/>
            <w:tcBorders>
              <w:tl2br w:val="nil"/>
              <w:tr2bl w:val="nil"/>
            </w:tcBorders>
            <w:vAlign w:val="center"/>
          </w:tcPr>
          <w:p>
            <w:pPr>
              <w:pStyle w:val="25"/>
              <w:spacing w:line="300" w:lineRule="exact"/>
              <w:ind w:right="83"/>
              <w:jc w:val="both"/>
              <w:rPr>
                <w:rFonts w:ascii="仿宋_GB2312" w:eastAsia="仿宋_GB2312" w:hint="eastAsia"/>
                <w:sz w:val="21"/>
                <w:szCs w:val="21"/>
              </w:rPr>
            </w:pPr>
            <w:r>
              <w:rPr>
                <w:rFonts w:ascii="仿宋_GB2312" w:eastAsia="仿宋_GB2312" w:hint="eastAsia"/>
                <w:spacing w:val="-8"/>
                <w:sz w:val="21"/>
                <w:szCs w:val="21"/>
              </w:rPr>
              <w:t>硫化反应槽</w:t>
            </w:r>
            <w:r>
              <w:rPr>
                <w:rFonts w:ascii="仿宋_GB2312" w:eastAsia="仿宋_GB2312" w:hint="eastAsia"/>
                <w:sz w:val="21"/>
                <w:szCs w:val="21"/>
              </w:rPr>
              <w:t>pH值控</w:t>
            </w:r>
            <w:r>
              <w:rPr>
                <w:rFonts w:ascii="仿宋_GB2312" w:eastAsia="仿宋_GB2312" w:hint="eastAsia"/>
                <w:spacing w:val="-8"/>
                <w:sz w:val="21"/>
                <w:szCs w:val="21"/>
              </w:rPr>
              <w:t>制范围小于</w:t>
            </w:r>
            <w:r>
              <w:rPr>
                <w:rFonts w:ascii="仿宋_GB2312" w:eastAsia="仿宋_GB2312" w:hint="eastAsia"/>
                <w:sz w:val="21"/>
                <w:szCs w:val="21"/>
              </w:rPr>
              <w:t>2，中和</w:t>
            </w:r>
            <w:r>
              <w:rPr>
                <w:rFonts w:ascii="仿宋_GB2312" w:eastAsia="仿宋_GB2312" w:hint="eastAsia"/>
                <w:spacing w:val="24"/>
                <w:sz w:val="21"/>
                <w:szCs w:val="21"/>
              </w:rPr>
              <w:t>槽</w:t>
            </w:r>
            <w:r>
              <w:rPr>
                <w:rFonts w:ascii="仿宋_GB2312" w:eastAsia="仿宋_GB2312" w:hint="eastAsia"/>
                <w:sz w:val="21"/>
                <w:szCs w:val="21"/>
              </w:rPr>
              <w:t>pH</w:t>
            </w:r>
            <w:r>
              <w:rPr>
                <w:rFonts w:ascii="仿宋_GB2312" w:eastAsia="仿宋_GB2312" w:hint="eastAsia"/>
                <w:spacing w:val="4"/>
                <w:sz w:val="21"/>
                <w:szCs w:val="21"/>
              </w:rPr>
              <w:t>值控制范围</w:t>
            </w:r>
            <w:r>
              <w:rPr>
                <w:rFonts w:ascii="仿宋_GB2312" w:eastAsia="仿宋_GB2312" w:hint="eastAsia"/>
                <w:spacing w:val="-6"/>
                <w:sz w:val="21"/>
                <w:szCs w:val="21"/>
              </w:rPr>
              <w:t>2</w:t>
            </w:r>
            <w:r>
              <w:rPr>
                <w:rFonts w:ascii="仿宋_GB2312" w:eastAsia="仿宋_GB2312" w:hint="eastAsia"/>
                <w:sz w:val="21"/>
                <w:szCs w:val="21"/>
              </w:rPr>
              <w:t>～</w:t>
            </w:r>
            <w:r>
              <w:rPr>
                <w:rFonts w:ascii="仿宋_GB2312" w:eastAsia="仿宋_GB2312" w:hint="eastAsia"/>
                <w:spacing w:val="-6"/>
                <w:sz w:val="21"/>
                <w:szCs w:val="21"/>
              </w:rPr>
              <w:t>3</w:t>
            </w:r>
          </w:p>
        </w:tc>
        <w:tc>
          <w:tcPr>
            <w:tcW w:w="1980" w:type="dxa"/>
            <w:tcBorders>
              <w:tl2br w:val="nil"/>
              <w:tr2bl w:val="nil"/>
            </w:tcBorders>
            <w:vAlign w:val="center"/>
          </w:tcPr>
          <w:p>
            <w:pPr>
              <w:pStyle w:val="25"/>
              <w:spacing w:line="300" w:lineRule="exact"/>
              <w:ind w:right="-15"/>
              <w:jc w:val="both"/>
              <w:rPr>
                <w:rFonts w:ascii="仿宋_GB2312" w:eastAsia="仿宋_GB2312" w:hint="eastAsia"/>
                <w:spacing w:val="14"/>
                <w:sz w:val="21"/>
                <w:szCs w:val="21"/>
              </w:rPr>
            </w:pPr>
            <w:r>
              <w:rPr>
                <w:rFonts w:ascii="仿宋_GB2312" w:eastAsia="仿宋_GB2312" w:hint="eastAsia"/>
                <w:spacing w:val="14"/>
                <w:sz w:val="21"/>
                <w:szCs w:val="21"/>
              </w:rPr>
              <w:t>去除率</w:t>
            </w:r>
          </w:p>
          <w:p>
            <w:pPr>
              <w:pStyle w:val="25"/>
              <w:spacing w:line="300" w:lineRule="exact"/>
              <w:ind w:right="-15"/>
              <w:jc w:val="both"/>
              <w:rPr>
                <w:rFonts w:ascii="仿宋_GB2312" w:eastAsia="仿宋_GB2312" w:hint="eastAsia"/>
                <w:sz w:val="21"/>
                <w:szCs w:val="21"/>
              </w:rPr>
            </w:pPr>
            <w:r>
              <w:rPr>
                <w:rFonts w:ascii="仿宋_GB2312" w:eastAsia="仿宋_GB2312" w:hint="eastAsia"/>
                <w:spacing w:val="-3"/>
                <w:sz w:val="21"/>
                <w:szCs w:val="21"/>
              </w:rPr>
              <w:t>Cu：96</w:t>
            </w:r>
            <w:r>
              <w:rPr>
                <w:rFonts w:ascii="仿宋_GB2312" w:eastAsia="仿宋_GB2312" w:hint="eastAsia"/>
                <w:sz w:val="21"/>
                <w:szCs w:val="21"/>
              </w:rPr>
              <w:t>～</w:t>
            </w:r>
            <w:r>
              <w:rPr>
                <w:rFonts w:ascii="仿宋_GB2312" w:eastAsia="仿宋_GB2312" w:hint="eastAsia"/>
                <w:spacing w:val="-3"/>
                <w:sz w:val="21"/>
                <w:szCs w:val="21"/>
              </w:rPr>
              <w:t>98%</w:t>
            </w:r>
            <w:r>
              <w:rPr>
                <w:rFonts w:ascii="仿宋_GB2312" w:eastAsia="仿宋_GB2312" w:hint="eastAsia"/>
                <w:sz w:val="21"/>
                <w:szCs w:val="21"/>
              </w:rPr>
              <w:t>、As：96～98%</w:t>
            </w:r>
          </w:p>
        </w:tc>
        <w:tc>
          <w:tcPr>
            <w:tcW w:w="2530" w:type="dxa"/>
            <w:tcBorders>
              <w:tl2br w:val="nil"/>
              <w:tr2bl w:val="nil"/>
            </w:tcBorders>
            <w:vAlign w:val="center"/>
          </w:tcPr>
          <w:p>
            <w:pPr>
              <w:pStyle w:val="25"/>
              <w:spacing w:line="300" w:lineRule="exact"/>
              <w:ind w:left="117" w:right="83" w:hanging="3"/>
              <w:jc w:val="left"/>
              <w:rPr>
                <w:rFonts w:ascii="仿宋_GB2312" w:eastAsia="仿宋_GB2312" w:hint="eastAsia"/>
                <w:sz w:val="21"/>
                <w:szCs w:val="21"/>
              </w:rPr>
            </w:pPr>
            <w:r>
              <w:rPr>
                <w:rFonts w:ascii="仿宋_GB2312" w:eastAsia="仿宋_GB2312" w:hint="eastAsia"/>
                <w:spacing w:val="-8"/>
                <w:position w:val="1"/>
                <w:sz w:val="21"/>
                <w:szCs w:val="21"/>
              </w:rPr>
              <w:t>主</w:t>
            </w:r>
            <w:r>
              <w:rPr>
                <w:rFonts w:ascii="仿宋_GB2312" w:eastAsia="仿宋_GB2312" w:hint="eastAsia"/>
                <w:sz w:val="21"/>
                <w:szCs w:val="21"/>
              </w:rPr>
              <w:t>硫化渣主要成分为</w:t>
            </w:r>
            <w:r>
              <w:rPr>
                <w:rFonts w:ascii="仿宋_GB2312" w:eastAsia="仿宋_GB2312" w:hint="eastAsia"/>
                <w:spacing w:val="-1"/>
                <w:position w:val="1"/>
                <w:sz w:val="21"/>
                <w:szCs w:val="21"/>
              </w:rPr>
              <w:t>C</w:t>
            </w:r>
            <w:r>
              <w:rPr>
                <w:rFonts w:ascii="仿宋_GB2312" w:eastAsia="仿宋_GB2312" w:hint="eastAsia"/>
                <w:spacing w:val="1"/>
                <w:position w:val="1"/>
                <w:sz w:val="21"/>
                <w:szCs w:val="21"/>
              </w:rPr>
              <w:t>u</w:t>
            </w:r>
            <w:r>
              <w:rPr>
                <w:rFonts w:ascii="仿宋_GB2312" w:eastAsia="仿宋_GB2312" w:hint="eastAsia"/>
                <w:position w:val="1"/>
                <w:sz w:val="21"/>
                <w:szCs w:val="21"/>
              </w:rPr>
              <w:t>S</w:t>
            </w:r>
            <w:r>
              <w:rPr>
                <w:rFonts w:ascii="仿宋_GB2312" w:eastAsia="仿宋_GB2312" w:hint="eastAsia"/>
                <w:spacing w:val="-2"/>
                <w:position w:val="1"/>
                <w:sz w:val="21"/>
                <w:szCs w:val="21"/>
              </w:rPr>
              <w:t xml:space="preserve"> </w:t>
            </w:r>
            <w:r>
              <w:rPr>
                <w:rFonts w:ascii="仿宋_GB2312" w:eastAsia="仿宋_GB2312" w:hint="eastAsia"/>
                <w:spacing w:val="-23"/>
                <w:position w:val="1"/>
                <w:sz w:val="21"/>
                <w:szCs w:val="21"/>
              </w:rPr>
              <w:t xml:space="preserve">和 </w:t>
            </w:r>
            <w:r>
              <w:rPr>
                <w:rFonts w:ascii="仿宋_GB2312" w:eastAsia="仿宋_GB2312" w:hint="eastAsia"/>
                <w:spacing w:val="-1"/>
                <w:position w:val="1"/>
                <w:sz w:val="21"/>
                <w:szCs w:val="21"/>
              </w:rPr>
              <w:t>As</w:t>
            </w:r>
            <w:r>
              <w:rPr>
                <w:rFonts w:ascii="仿宋_GB2312" w:eastAsia="仿宋_GB2312" w:hint="eastAsia"/>
                <w:spacing w:val="2"/>
                <w:w w:val="104"/>
                <w:sz w:val="21"/>
                <w:szCs w:val="21"/>
                <w:vertAlign w:val="subscript"/>
              </w:rPr>
              <w:t>2</w:t>
            </w:r>
            <w:r>
              <w:rPr>
                <w:rFonts w:ascii="仿宋_GB2312" w:eastAsia="仿宋_GB2312" w:hint="eastAsia"/>
                <w:spacing w:val="-2"/>
                <w:position w:val="1"/>
                <w:sz w:val="21"/>
                <w:szCs w:val="21"/>
              </w:rPr>
              <w:t>S</w:t>
            </w:r>
            <w:r>
              <w:rPr>
                <w:rFonts w:ascii="仿宋_GB2312" w:eastAsia="仿宋_GB2312" w:hint="eastAsia"/>
                <w:w w:val="104"/>
                <w:sz w:val="21"/>
                <w:szCs w:val="21"/>
                <w:vertAlign w:val="subscript"/>
              </w:rPr>
              <w:t>3</w:t>
            </w:r>
            <w:r>
              <w:rPr>
                <w:rFonts w:ascii="仿宋_GB2312" w:eastAsia="仿宋_GB2312" w:hint="eastAsia"/>
                <w:spacing w:val="-18"/>
                <w:position w:val="1"/>
                <w:sz w:val="21"/>
                <w:szCs w:val="21"/>
              </w:rPr>
              <w:t>，属危险</w:t>
            </w:r>
            <w:r>
              <w:rPr>
                <w:rFonts w:ascii="仿宋_GB2312" w:eastAsia="仿宋_GB2312" w:hint="eastAsia"/>
                <w:spacing w:val="-12"/>
                <w:sz w:val="21"/>
                <w:szCs w:val="21"/>
              </w:rPr>
              <w:t>废物，可用于回收砷、</w:t>
            </w:r>
            <w:r>
              <w:rPr>
                <w:rFonts w:ascii="仿宋_GB2312" w:eastAsia="仿宋_GB2312" w:hint="eastAsia"/>
                <w:sz w:val="21"/>
                <w:szCs w:val="21"/>
              </w:rPr>
              <w:t>铜等重金属。石膏渣</w:t>
            </w:r>
            <w:r>
              <w:rPr>
                <w:rFonts w:ascii="仿宋_GB2312" w:eastAsia="仿宋_GB2312" w:hint="eastAsia"/>
                <w:spacing w:val="-8"/>
                <w:position w:val="1"/>
                <w:sz w:val="21"/>
                <w:szCs w:val="21"/>
              </w:rPr>
              <w:t>要成分为</w:t>
            </w:r>
            <w:r>
              <w:rPr>
                <w:rFonts w:ascii="仿宋_GB2312" w:eastAsia="仿宋_GB2312" w:hint="eastAsia"/>
                <w:position w:val="1"/>
                <w:sz w:val="21"/>
                <w:szCs w:val="21"/>
              </w:rPr>
              <w:t>CaSO</w:t>
            </w:r>
            <w:r>
              <w:rPr>
                <w:rFonts w:ascii="仿宋_GB2312" w:eastAsia="仿宋_GB2312" w:hint="eastAsia"/>
                <w:sz w:val="21"/>
                <w:szCs w:val="21"/>
                <w:vertAlign w:val="subscript"/>
              </w:rPr>
              <w:t>4</w:t>
            </w:r>
            <w:r>
              <w:rPr>
                <w:rFonts w:ascii="仿宋_GB2312" w:eastAsia="仿宋_GB2312" w:hint="eastAsia"/>
                <w:position w:val="1"/>
                <w:sz w:val="21"/>
                <w:szCs w:val="21"/>
              </w:rPr>
              <w:t>，</w:t>
            </w:r>
            <w:r>
              <w:rPr>
                <w:rFonts w:ascii="仿宋_GB2312" w:eastAsia="仿宋_GB2312" w:hint="eastAsia"/>
                <w:sz w:val="21"/>
                <w:szCs w:val="21"/>
              </w:rPr>
              <w:t>可作为生产水泥的添加剂。硫化反应槽和硫化浓密机溢出的</w:t>
            </w:r>
            <w:r>
              <w:rPr>
                <w:rFonts w:ascii="仿宋_GB2312" w:eastAsia="仿宋_GB2312" w:hint="eastAsia"/>
                <w:position w:val="1"/>
                <w:sz w:val="21"/>
                <w:szCs w:val="21"/>
              </w:rPr>
              <w:t>H</w:t>
            </w:r>
            <w:r>
              <w:rPr>
                <w:rFonts w:ascii="仿宋_GB2312" w:eastAsia="仿宋_GB2312" w:hint="eastAsia"/>
                <w:sz w:val="21"/>
                <w:szCs w:val="21"/>
                <w:vertAlign w:val="subscript"/>
              </w:rPr>
              <w:t>2</w:t>
            </w:r>
            <w:r>
              <w:rPr>
                <w:rFonts w:ascii="仿宋_GB2312" w:eastAsia="仿宋_GB2312" w:hint="eastAsia"/>
                <w:position w:val="1"/>
                <w:sz w:val="21"/>
                <w:szCs w:val="21"/>
              </w:rPr>
              <w:t>S气体需采用NaOH(Na</w:t>
            </w:r>
            <w:r>
              <w:rPr>
                <w:rFonts w:ascii="仿宋_GB2312" w:eastAsia="仿宋_GB2312" w:hint="eastAsia"/>
                <w:sz w:val="21"/>
                <w:szCs w:val="21"/>
                <w:vertAlign w:val="subscript"/>
              </w:rPr>
              <w:t>2</w:t>
            </w:r>
            <w:r>
              <w:rPr>
                <w:rFonts w:ascii="仿宋_GB2312" w:eastAsia="仿宋_GB2312" w:hint="eastAsia"/>
                <w:position w:val="1"/>
                <w:sz w:val="21"/>
                <w:szCs w:val="21"/>
              </w:rPr>
              <w:t>S)溶液喷</w:t>
            </w:r>
            <w:r>
              <w:rPr>
                <w:rFonts w:ascii="仿宋_GB2312" w:eastAsia="仿宋_GB2312" w:hint="eastAsia"/>
                <w:sz w:val="21"/>
                <w:szCs w:val="21"/>
              </w:rPr>
              <w:t>淋吸收</w:t>
            </w:r>
            <w:r>
              <w:rPr>
                <w:rFonts w:ascii="仿宋_GB2312" w:eastAsia="仿宋_GB2312" w:hint="eastAsia"/>
                <w:spacing w:val="22"/>
                <w:sz w:val="21"/>
                <w:szCs w:val="21"/>
              </w:rPr>
              <w:t>,</w:t>
            </w:r>
            <w:r>
              <w:rPr>
                <w:rFonts w:ascii="仿宋_GB2312" w:eastAsia="仿宋_GB2312" w:hint="eastAsia"/>
                <w:sz w:val="21"/>
                <w:szCs w:val="21"/>
              </w:rPr>
              <w:t>生成的</w:t>
            </w:r>
            <w:r>
              <w:rPr>
                <w:rFonts w:ascii="仿宋_GB2312" w:eastAsia="仿宋_GB2312" w:hint="eastAsia"/>
                <w:spacing w:val="-1"/>
                <w:position w:val="1"/>
                <w:sz w:val="21"/>
                <w:szCs w:val="21"/>
              </w:rPr>
              <w:t>Na</w:t>
            </w:r>
            <w:r>
              <w:rPr>
                <w:rFonts w:ascii="仿宋_GB2312" w:eastAsia="仿宋_GB2312" w:hint="eastAsia"/>
                <w:spacing w:val="-1"/>
                <w:sz w:val="21"/>
                <w:szCs w:val="21"/>
                <w:vertAlign w:val="subscript"/>
              </w:rPr>
              <w:t>2</w:t>
            </w:r>
            <w:r>
              <w:rPr>
                <w:rFonts w:ascii="仿宋_GB2312" w:eastAsia="仿宋_GB2312" w:hint="eastAsia"/>
                <w:spacing w:val="-1"/>
                <w:position w:val="1"/>
                <w:sz w:val="21"/>
                <w:szCs w:val="21"/>
              </w:rPr>
              <w:t>S(NaHS)</w:t>
            </w:r>
            <w:r>
              <w:rPr>
                <w:rFonts w:ascii="仿宋_GB2312" w:eastAsia="仿宋_GB2312" w:hint="eastAsia"/>
                <w:spacing w:val="-4"/>
                <w:position w:val="1"/>
                <w:sz w:val="21"/>
                <w:szCs w:val="21"/>
              </w:rPr>
              <w:t>溶液用作</w:t>
            </w:r>
            <w:r>
              <w:rPr>
                <w:rFonts w:ascii="仿宋_GB2312" w:eastAsia="仿宋_GB2312" w:hint="eastAsia"/>
                <w:sz w:val="21"/>
                <w:szCs w:val="21"/>
              </w:rPr>
              <w:t>硫化法处理废水的药剂</w:t>
            </w:r>
          </w:p>
        </w:tc>
        <w:tc>
          <w:tcPr>
            <w:tcW w:w="1320" w:type="dxa"/>
            <w:tcBorders>
              <w:tl2br w:val="nil"/>
              <w:tr2bl w:val="nil"/>
            </w:tcBorders>
            <w:vAlign w:val="center"/>
          </w:tcPr>
          <w:p>
            <w:pPr>
              <w:pStyle w:val="25"/>
              <w:spacing w:line="300" w:lineRule="exact"/>
              <w:jc w:val="both"/>
              <w:rPr>
                <w:rFonts w:ascii="仿宋_GB2312" w:eastAsia="仿宋_GB2312" w:hint="eastAsia"/>
                <w:sz w:val="21"/>
                <w:szCs w:val="21"/>
              </w:rPr>
            </w:pPr>
          </w:p>
          <w:p>
            <w:pPr>
              <w:pStyle w:val="25"/>
              <w:spacing w:line="300" w:lineRule="exact"/>
              <w:ind w:right="91"/>
              <w:jc w:val="both"/>
              <w:rPr>
                <w:rFonts w:ascii="仿宋_GB2312" w:eastAsia="仿宋_GB2312" w:hint="eastAsia"/>
                <w:sz w:val="21"/>
                <w:szCs w:val="21"/>
              </w:rPr>
            </w:pPr>
            <w:r>
              <w:rPr>
                <w:rFonts w:ascii="仿宋_GB2312" w:eastAsia="仿宋_GB2312" w:hint="eastAsia"/>
                <w:sz w:val="21"/>
                <w:szCs w:val="21"/>
              </w:rPr>
              <w:t>该技术建设投资高，运行成本高</w:t>
            </w:r>
          </w:p>
        </w:tc>
      </w:tr>
      <w:tr>
        <w:trPr>
          <w:trHeight w:val="875"/>
        </w:trPr>
        <w:tc>
          <w:tcPr>
            <w:tcW w:w="1305" w:type="dxa"/>
            <w:tcBorders>
              <w:tl2br w:val="nil"/>
              <w:tr2bl w:val="nil"/>
            </w:tcBorders>
            <w:vAlign w:val="center"/>
          </w:tcPr>
          <w:p>
            <w:pPr>
              <w:pStyle w:val="25"/>
              <w:spacing w:line="300" w:lineRule="exact"/>
              <w:ind w:right="79"/>
              <w:jc w:val="both"/>
              <w:rPr>
                <w:rFonts w:ascii="仿宋_GB2312" w:eastAsia="仿宋_GB2312" w:hint="eastAsia"/>
                <w:sz w:val="21"/>
                <w:szCs w:val="21"/>
              </w:rPr>
            </w:pPr>
            <w:r>
              <w:rPr>
                <w:rFonts w:ascii="仿宋_GB2312" w:eastAsia="仿宋_GB2312" w:hint="eastAsia"/>
                <w:sz w:val="21"/>
                <w:szCs w:val="21"/>
              </w:rPr>
              <w:t>石灰+铁盐法</w:t>
            </w:r>
          </w:p>
        </w:tc>
        <w:tc>
          <w:tcPr>
            <w:tcW w:w="1760" w:type="dxa"/>
            <w:tcBorders>
              <w:tl2br w:val="nil"/>
              <w:tr2bl w:val="nil"/>
            </w:tcBorders>
            <w:vAlign w:val="center"/>
          </w:tcPr>
          <w:p>
            <w:pPr>
              <w:pStyle w:val="25"/>
              <w:spacing w:line="300" w:lineRule="exact"/>
              <w:ind w:left="115" w:firstLine="38"/>
              <w:jc w:val="both"/>
              <w:rPr>
                <w:rFonts w:ascii="仿宋_GB2312" w:eastAsia="仿宋_GB2312" w:hint="eastAsia"/>
                <w:sz w:val="21"/>
                <w:szCs w:val="21"/>
              </w:rPr>
            </w:pPr>
            <w:r>
              <w:rPr>
                <w:rFonts w:ascii="仿宋_GB2312" w:eastAsia="仿宋_GB2312" w:hint="eastAsia"/>
                <w:sz w:val="21"/>
                <w:szCs w:val="21"/>
              </w:rPr>
              <w:t>一段石膏生产阶段pH值2～3，二段氧化沉砷阶段pH值3～5</w:t>
            </w:r>
          </w:p>
        </w:tc>
        <w:tc>
          <w:tcPr>
            <w:tcW w:w="1980" w:type="dxa"/>
            <w:tcBorders>
              <w:tl2br w:val="nil"/>
              <w:tr2bl w:val="nil"/>
            </w:tcBorders>
            <w:vAlign w:val="center"/>
          </w:tcPr>
          <w:p>
            <w:pPr>
              <w:pStyle w:val="25"/>
              <w:spacing w:line="300" w:lineRule="exact"/>
              <w:ind w:left="45" w:right="18"/>
              <w:jc w:val="both"/>
              <w:rPr>
                <w:rFonts w:ascii="仿宋_GB2312" w:eastAsia="仿宋_GB2312" w:hint="eastAsia"/>
                <w:sz w:val="21"/>
                <w:szCs w:val="21"/>
              </w:rPr>
            </w:pPr>
            <w:r>
              <w:rPr>
                <w:rFonts w:ascii="仿宋_GB2312" w:eastAsia="仿宋_GB2312" w:hint="eastAsia"/>
                <w:sz w:val="21"/>
                <w:szCs w:val="21"/>
              </w:rPr>
              <w:t>脱砷率达到98%以上</w:t>
            </w:r>
          </w:p>
        </w:tc>
        <w:tc>
          <w:tcPr>
            <w:tcW w:w="2530" w:type="dxa"/>
            <w:tcBorders>
              <w:tl2br w:val="nil"/>
              <w:tr2bl w:val="nil"/>
            </w:tcBorders>
            <w:vAlign w:val="center"/>
          </w:tcPr>
          <w:p>
            <w:pPr>
              <w:pStyle w:val="25"/>
              <w:spacing w:line="300" w:lineRule="exact"/>
              <w:ind w:left="129"/>
              <w:jc w:val="left"/>
              <w:rPr>
                <w:rFonts w:ascii="仿宋_GB2312" w:eastAsia="仿宋_GB2312" w:hint="eastAsia"/>
                <w:sz w:val="21"/>
                <w:szCs w:val="21"/>
              </w:rPr>
            </w:pPr>
            <w:r>
              <w:rPr>
                <w:rFonts w:ascii="仿宋_GB2312" w:eastAsia="仿宋_GB2312" w:hint="eastAsia"/>
                <w:sz w:val="21"/>
                <w:szCs w:val="21"/>
              </w:rPr>
              <w:t>砷渣中砷的含量较高，可用于回收砷。</w:t>
            </w:r>
            <w:r>
              <w:rPr>
                <w:rFonts w:ascii="仿宋_GB2312" w:eastAsia="仿宋_GB2312" w:hint="eastAsia"/>
                <w:spacing w:val="-2"/>
                <w:sz w:val="21"/>
                <w:szCs w:val="21"/>
              </w:rPr>
              <w:t>石膏渣主要成分为硫酸钙，可作为生产水</w:t>
            </w:r>
            <w:r>
              <w:rPr>
                <w:rFonts w:ascii="仿宋_GB2312" w:eastAsia="仿宋_GB2312" w:hint="eastAsia"/>
                <w:sz w:val="21"/>
                <w:szCs w:val="21"/>
              </w:rPr>
              <w:t>泥的添加剂</w:t>
            </w:r>
          </w:p>
        </w:tc>
        <w:tc>
          <w:tcPr>
            <w:tcW w:w="1320" w:type="dxa"/>
            <w:tcBorders>
              <w:tl2br w:val="nil"/>
              <w:tr2bl w:val="nil"/>
            </w:tcBorders>
            <w:vAlign w:val="center"/>
          </w:tcPr>
          <w:p>
            <w:pPr>
              <w:pStyle w:val="25"/>
              <w:spacing w:line="300" w:lineRule="exact"/>
              <w:ind w:right="91"/>
              <w:jc w:val="both"/>
              <w:rPr>
                <w:rFonts w:ascii="仿宋_GB2312" w:eastAsia="仿宋_GB2312" w:hint="eastAsia"/>
                <w:sz w:val="21"/>
                <w:szCs w:val="21"/>
              </w:rPr>
            </w:pPr>
            <w:r>
              <w:rPr>
                <w:rFonts w:ascii="仿宋_GB2312" w:eastAsia="仿宋_GB2312" w:hint="eastAsia"/>
                <w:sz w:val="21"/>
                <w:szCs w:val="21"/>
              </w:rPr>
              <w:t>建设投资适中，运行成本较高</w:t>
            </w:r>
          </w:p>
        </w:tc>
      </w:tr>
    </w:tbl>
    <w:p>
      <w:pPr>
        <w:pStyle w:val="3"/>
        <w:spacing w:before="0" w:after="0" w:line="360" w:lineRule="auto"/>
        <w:jc w:val="both"/>
        <w:rPr>
          <w:rFonts w:ascii="仿宋_GB2312" w:eastAsia="仿宋_GB2312" w:hint="eastAsia"/>
          <w:sz w:val="30"/>
          <w:szCs w:val="30"/>
        </w:rPr>
      </w:pPr>
      <w:bookmarkStart w:id="80" w:name="_Toc89766416"/>
      <w:r>
        <w:rPr>
          <w:rFonts w:ascii="仿宋_GB2312" w:eastAsia="仿宋_GB2312" w:hint="eastAsia"/>
          <w:sz w:val="30"/>
          <w:szCs w:val="30"/>
        </w:rPr>
        <w:t>4.4.4酸性废水治理技术</w:t>
      </w:r>
      <w:bookmarkEnd w:id="80"/>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（1）石灰中和法</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石灰中和法是向重金属废水中投加石灰乳(Ca(OH)</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使重金属离子与氢氧根反应，生成难溶的金属氢氧化物沉淀、分离。对于含有多种重金属离子的废水，可以采用一次中和沉淀，也可以采用分段中和沉淀的方法。一次中和沉淀是一次投加碱，提高pH值，使各种金属离子共同沉淀。分段中和是根据不同金属氢氧化物在不同pH值下沉淀的特性，分段投加碱，控制不同的pH值，使各种重金属分别沉淀，有利于分别回收不同金属。</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该技术流程短、处理效果好、操作管理简单、处理成本低廉、便于回收有价金属的特点。各种金属离子的去除率分别可达：Cu 98-99%、As 98-99%、F 80-99%、其他重金属离子 98-99%。</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该技术适用于含铁、铜、锌、铅、镉、钴、砷废水的处理，该技术不适用于汞的脱除。</w:t>
      </w:r>
    </w:p>
    <w:p>
      <w:pPr>
        <w:autoSpaceDE/>
        <w:autoSpaceDN/>
        <w:spacing w:line="360" w:lineRule="auto"/>
        <w:ind w:firstLineChars="200" w:firstLine="600"/>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（2）石灰-铁盐（铝盐）法</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石灰-铁盐法是向废水中加石灰乳(Ca(OH)</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)，并投加铁盐，如废水中含有氟时，需投加铝盐。将pH调整至9-11，去除污水中的As、F、Cu、Fe等。铁盐通常采用硫酸亚铁、三氯化铁和铁盐，铝盐通常采用硫酸铝、氯化铝。</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石灰-铁盐（铝盐）法处理废水工艺流程见图5。</w:t>
      </w:r>
    </w:p>
    <w:p>
      <w:pPr>
        <w:jc w:val="both"/>
        <w:rPr>
          <w:rFonts w:ascii="仿宋_GB2312" w:eastAsia="仿宋_GB2312" w:hint="eastAsia"/>
          <w:sz w:val="24"/>
          <w:szCs w:val="24"/>
        </w:rPr>
      </w:pPr>
      <w:r>
        <w:rPr>
          <w:rFonts w:ascii="仿宋_GB2312" w:eastAsia="仿宋_GB2312" w:hint="eastAsia"/>
          <w:sz w:val="24"/>
          <w:szCs w:val="24"/>
        </w:rPr>
        <w:br w:type="page"/>
      </w:r>
    </w:p>
    <w:p>
      <w:pPr>
        <w:pStyle w:val="22"/>
        <w:spacing w:before="9"/>
        <w:rPr>
          <w:rFonts w:ascii="黑体" w:hAnsi="黑体"/>
          <w:sz w:val="16"/>
        </w:rPr>
      </w:pPr>
    </w:p>
    <w:p>
      <w:pPr>
        <w:pStyle w:val="22"/>
        <w:spacing w:before="9"/>
        <w:rPr>
          <w:rFonts w:ascii="黑体" w:hAnsi="黑体"/>
          <w:sz w:val="16"/>
        </w:rPr>
      </w:pPr>
      <w:r>
        <mc:AlternateContent>
          <mc:Choice Requires="wps">
            <w:drawing>
              <wp:anchor distT="0" distB="0" distL="114296" distR="114296" simplePos="0" relativeHeight="52" behindDoc="0" locked="0" layoutInCell="0" hidden="0" allowOverlap="1">
                <wp:simplePos x="0" y="0"/>
                <wp:positionH relativeFrom="page">
                  <wp:posOffset>4312854</wp:posOffset>
                </wp:positionH>
                <wp:positionV relativeFrom="page">
                  <wp:posOffset>2706297</wp:posOffset>
                </wp:positionV>
                <wp:extent cx="952500" cy="4677409"/>
                <wp:effectExtent l="0" t="0" r="0" b="0"/>
                <wp:wrapSquare wrapText="bothSides"/>
                <wp:docPr id="22" name="_x0000_s1039"/>
                <wp:cNvGraphicFramePr>
                  <a:graphicFrameLocks noChangeAspect="0"/>
                </wp:cNvGraphicFramePr>
                <a:graphic>
                  <a:graphicData uri="http://schemas.microsoft.com/office/word/2010/wordprocessingShape">
                    <wps:wsp>
                      <wps:cNvSpPr/>
                      <wps:spPr>
                        <a:xfrm rot="0">
                          <a:off x="0" y="0"/>
                          <a:ext cx="952500" cy="4677409"/>
                        </a:xfrm>
                        <a:prstGeom prst="rect"/>
                        <a:solidFill>
                          <a:srgbClr val="FFFFFF">
                            <a:alpha val="80000"/>
                          </a:srgbClr>
                        </a:solidFill>
                        <a:ln w="12700" cmpd="sng" cap="flat">
                          <a:solidFill>
                            <a:srgbClr val="FFFFFF"/>
                          </a:solidFill>
                          <a:prstDash val="solid"/>
                          <a:miter/>
                        </a:ln>
                      </wps:spPr>
                      <wps:txbx id="23">
                        <w:txbxContent>
                          <w:p>
                            <w:pPr>
                              <w:rPr>
                                <w:rFonts w:ascii="Cambria" w:cs="Times New Roman" w:hAnsi="Cambria"/>
                                <w:b/>
                                <w:bCs/>
                                <w:sz w:val="36"/>
                                <w:szCs w:val="36"/>
                                <w:lang w:bidi="ar-SA"/>
                              </w:rPr>
                            </w:pPr>
                            <w:r>
                              <w:rPr>
                                <w:rFonts w:ascii="黑体" w:eastAsia="黑体" w:hint="eastAsia"/>
                                <w:sz w:val="28"/>
                                <w:szCs w:val="28"/>
                              </w:rPr>
                              <w:t>图5  石灰-铁盐（铝盐）法废水处理工艺流程图</w:t>
                            </w:r>
                          </w:p>
                        </w:txbxContent>
                      </wps:txbx>
                      <wps:bodyPr vert="vert270" wrap="square" lIns="457200" tIns="91440" rIns="91440" bIns="91440" anchor="t" anchorCtr="0" upright="1">
                        <a:spAutoFit/>
                      </wps:bodyPr>
                    </wps:wsp>
                  </a:graphicData>
                </a:graphic>
              </wp:anchor>
            </w:drawing>
          </mc:Choice>
          <mc:Fallback>
            <w:pict>
              <v:rect type="#_x0000_t1" id="_x0000_s1039 24" o:spid="_x0000_s24" fillcolor="#FFFFFF" stroked="t" strokeweight="1.0pt" o:allowincell="f" style="position:absolute;margin-left:339.59482pt;margin-top:213.09425pt;width:75.0pt;height:368.29996pt;z-index:52;mso-position-horizontal:absolute;mso-position-horizontal-relative:page;mso-position-vertical:absolute;mso-position-vertical-relative:page;mso-wrap-distance-left:8.999685pt;mso-wrap-distance-right:8.999685pt;mso-wrap-style:square;">
                <v:fill opacity="52428f"/>
                <v:stroke color="#FFFFFF"/>
                <v:textbox id="869" inset="12.7mm,2.54mm,2.54mm,2.54mm" o:insetmode="custom" style="layout-flow:vertical;mso-layout-flow-alt:bottom-to-top;v-text-anchor:top;mso-fit-shape-to-text:t;">
                  <w:txbxContent>
                    <w:p>
                      <w:pPr>
                        <w:rPr>
                          <w:rFonts w:ascii="Cambria" w:cs="Times New Roman" w:hAnsi="Cambria"/>
                          <w:b/>
                          <w:bCs/>
                          <w:sz w:val="36"/>
                          <w:szCs w:val="36"/>
                          <w:lang w:bidi="ar-SA"/>
                        </w:rPr>
                      </w:pPr>
                      <w:r>
                        <w:rPr>
                          <w:rFonts w:ascii="黑体" w:eastAsia="黑体" w:hint="eastAsia"/>
                          <w:sz w:val="28"/>
                          <w:szCs w:val="28"/>
                        </w:rPr>
                        <w:t>图5  石灰-铁盐（铝盐）法废水处理工艺流程图</w:t>
                      </w:r>
                    </w:p>
                  </w:txbxContent>
                </v:textbox>
                <w10:wrap type="square"/>
              </v:rect>
            </w:pict>
          </mc:Fallback>
        </mc:AlternateContent>
      </w:r>
      <w:r>
        <w:rPr>
          <w:rFonts w:ascii="黑体" w:hAnsi="黑体"/>
          <w:sz w:val="16"/>
        </w:rPr>
        <w:drawing>
          <wp:inline distT="0" distB="0" distL="68578" distR="68578">
            <wp:extent cx="1550035" cy="7445375"/>
            <wp:effectExtent l="0" t="0" r="0" b="0"/>
            <wp:docPr id="25" name="图片"/>
            <wp:cNvGraphicFramePr>
              <a:graphicFrameLocks noChangeAspect="1"/>
            </wp:cNvGraphicFramePr>
            <a:graphic>
              <a:graphicData uri="http://schemas.openxmlformats.org/drawingml/2006/picture">
                <pic:pic>
                  <pic:nvPicPr>
                    <pic:cNvPr id="27" name="图片 27"/>
                    <pic:cNvPicPr/>
                  </pic:nvPicPr>
                  <pic:blipFill>
                    <a:blip r:embed="rId12"/>
                    <a:stretch>
                      <a:fillRect/>
                    </a:stretch>
                  </pic:blipFill>
                  <pic:spPr>
                    <a:xfrm rot="0">
                      <a:off x="0" y="0"/>
                      <a:ext cx="1550035" cy="7445375"/>
                    </a:xfrm>
                    <a:prstGeom prst="rect"/>
                    <a:noFill/>
                    <a:ln w="9525" cmpd="sng" cap="flat">
                      <a:noFill/>
                      <a:prstDash val="solid"/>
                      <a:miter/>
                    </a:ln>
                  </pic:spPr>
                </pic:pic>
              </a:graphicData>
            </a:graphic>
          </wp:inline>
        </w:drawing>
      </w:r>
    </w:p>
    <w:p>
      <w:pPr>
        <w:pStyle w:val="22"/>
        <w:spacing w:before="9"/>
        <w:rPr>
          <w:rFonts w:ascii="黑体" w:hAnsi="黑体"/>
          <w:sz w:val="16"/>
        </w:rPr>
      </w:pPr>
    </w:p>
    <w:p>
      <w:pPr>
        <w:widowControl/>
        <w:autoSpaceDE/>
        <w:autoSpaceDN/>
        <w:ind w:firstLineChars="50" w:firstLine="150"/>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br w:type="page"/>
        <w:t xml:space="preserve">   该技术除砷效果好，工艺流程简单，设备少，操作方便，可去除钒、锰、铁、钴、镍、铜、锌、镉、锡、汞、铅、铋等，可以使除汞之外的所有重金属离子共沉；但砷渣过滤困难。各种金属离子去除率分别为：Cu 98-99%、As98-99%、F 80-99%、其他重金属离子98-99%。该技术适用于含砷、含氟废水的处理。</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（3）技术参数</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酸性废水处理可行技术及主要技术指标见表13。</w:t>
      </w:r>
    </w:p>
    <w:p>
      <w:pPr>
        <w:pStyle w:val="22"/>
        <w:spacing w:before="116"/>
        <w:ind w:left="615" w:right="731"/>
        <w:jc w:val="center"/>
        <w:rPr>
          <w:rFonts w:ascii="仿宋_GB2312" w:eastAsia="仿宋_GB2312" w:hint="eastAsia"/>
          <w:b/>
          <w:sz w:val="28"/>
          <w:szCs w:val="28"/>
        </w:rPr>
      </w:pPr>
      <w:r>
        <w:rPr>
          <w:rFonts w:ascii="仿宋_GB2312" w:eastAsia="仿宋_GB2312" w:hint="eastAsia"/>
          <w:b/>
          <w:sz w:val="28"/>
          <w:szCs w:val="28"/>
        </w:rPr>
        <w:t>表13  酸性废水处理可行技术及主要技术指标</w:t>
      </w:r>
    </w:p>
    <w:tbl>
      <w:tblPr>
        <w:jc w:val="left"/>
        <w:tblInd w:w="15" w:type="dxa"/>
        <w:tblW w:w="9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1134"/>
        <w:gridCol w:w="2974"/>
        <w:gridCol w:w="2222"/>
        <w:gridCol w:w="1418"/>
        <w:gridCol w:w="1417"/>
      </w:tblGrid>
      <w:tr>
        <w:trPr>
          <w:trHeight w:val="291"/>
        </w:trPr>
        <w:tc>
          <w:tcPr>
            <w:tcW w:w="1134" w:type="dxa"/>
            <w:tcBorders>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可行技术</w:t>
            </w:r>
          </w:p>
        </w:tc>
        <w:tc>
          <w:tcPr>
            <w:tcW w:w="2974" w:type="dxa"/>
            <w:tcBorders>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可行工艺参数</w:t>
            </w:r>
          </w:p>
        </w:tc>
        <w:tc>
          <w:tcPr>
            <w:tcW w:w="2222" w:type="dxa"/>
            <w:tcBorders>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污染物消减及排放</w:t>
            </w:r>
          </w:p>
        </w:tc>
        <w:tc>
          <w:tcPr>
            <w:tcW w:w="1418" w:type="dxa"/>
            <w:tcBorders>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二次污染及防治措施</w:t>
            </w:r>
          </w:p>
        </w:tc>
        <w:tc>
          <w:tcPr>
            <w:tcW w:w="1417" w:type="dxa"/>
            <w:tcBorders>
              <w:left w:val="single" w:sz="6" w:space="0" w:color="000000"/>
              <w:bottom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技术适用性</w:t>
            </w:r>
          </w:p>
        </w:tc>
      </w:tr>
      <w:tr>
        <w:trPr>
          <w:trHeight w:val="2051"/>
        </w:trPr>
        <w:tc>
          <w:tcPr>
            <w:tcW w:w="1134" w:type="dxa"/>
            <w:tcBorders>
              <w:top w:val="nil"/>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石灰中和法处理污水</w:t>
            </w:r>
          </w:p>
        </w:tc>
        <w:tc>
          <w:tcPr>
            <w:tcW w:w="2974" w:type="dxa"/>
            <w:tcBorders>
              <w:top w:val="nil"/>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处理单一重金属离子污水要求的pH值Cd</w:t>
            </w:r>
            <w:r>
              <w:rPr>
                <w:rFonts w:ascii="仿宋_GB2312" w:eastAsia="仿宋_GB2312" w:hint="eastAsia"/>
                <w:sz w:val="21"/>
                <w:szCs w:val="21"/>
                <w:vertAlign w:val="superscript"/>
              </w:rPr>
              <w:t>2+</w:t>
            </w:r>
            <w:r>
              <w:rPr>
                <w:rFonts w:ascii="仿宋_GB2312" w:eastAsia="仿宋_GB2312" w:hint="eastAsia"/>
                <w:sz w:val="21"/>
                <w:szCs w:val="21"/>
              </w:rPr>
              <w:t>：pH 11-12 Co</w:t>
            </w:r>
            <w:r>
              <w:rPr>
                <w:rFonts w:ascii="仿宋_GB2312" w:eastAsia="仿宋_GB2312" w:hint="eastAsia"/>
                <w:sz w:val="21"/>
                <w:szCs w:val="21"/>
                <w:vertAlign w:val="superscript"/>
              </w:rPr>
              <w:t>2+</w:t>
            </w:r>
            <w:r>
              <w:rPr>
                <w:rFonts w:ascii="仿宋_GB2312" w:eastAsia="仿宋_GB2312" w:hint="eastAsia"/>
                <w:sz w:val="21"/>
                <w:szCs w:val="21"/>
              </w:rPr>
              <w:t>：pH 9-12 Cr</w:t>
            </w:r>
            <w:r>
              <w:rPr>
                <w:rFonts w:ascii="仿宋_GB2312" w:eastAsia="仿宋_GB2312" w:hint="eastAsia"/>
                <w:sz w:val="21"/>
                <w:szCs w:val="21"/>
                <w:vertAlign w:val="superscript"/>
              </w:rPr>
              <w:t>3+</w:t>
            </w:r>
            <w:r>
              <w:rPr>
                <w:rFonts w:ascii="仿宋_GB2312" w:eastAsia="仿宋_GB2312" w:hint="eastAsia"/>
                <w:sz w:val="21"/>
                <w:szCs w:val="21"/>
              </w:rPr>
              <w:t>：pH7-8.5 Cu</w:t>
            </w:r>
            <w:r>
              <w:rPr>
                <w:rFonts w:ascii="仿宋_GB2312" w:eastAsia="仿宋_GB2312" w:hint="eastAsia"/>
                <w:sz w:val="21"/>
                <w:szCs w:val="21"/>
                <w:vertAlign w:val="superscript"/>
              </w:rPr>
              <w:t>2+</w:t>
            </w:r>
            <w:r>
              <w:rPr>
                <w:rFonts w:ascii="仿宋_GB2312" w:eastAsia="仿宋_GB2312" w:hint="eastAsia"/>
                <w:sz w:val="21"/>
                <w:szCs w:val="21"/>
              </w:rPr>
              <w:t>：pH7-12 Fe</w:t>
            </w:r>
            <w:r>
              <w:rPr>
                <w:rFonts w:ascii="仿宋_GB2312" w:eastAsia="仿宋_GB2312" w:hint="eastAsia"/>
                <w:sz w:val="21"/>
                <w:szCs w:val="21"/>
                <w:vertAlign w:val="superscript"/>
              </w:rPr>
              <w:t>2+</w:t>
            </w:r>
            <w:r>
              <w:rPr>
                <w:rFonts w:ascii="仿宋_GB2312" w:eastAsia="仿宋_GB2312" w:hint="eastAsia"/>
                <w:sz w:val="21"/>
                <w:szCs w:val="21"/>
              </w:rPr>
              <w:t>：pH9-13 Fe</w:t>
            </w:r>
            <w:r>
              <w:rPr>
                <w:rFonts w:ascii="仿宋_GB2312" w:eastAsia="仿宋_GB2312" w:hint="eastAsia"/>
                <w:sz w:val="21"/>
                <w:szCs w:val="21"/>
                <w:vertAlign w:val="superscript"/>
              </w:rPr>
              <w:t>3+</w:t>
            </w:r>
            <w:r>
              <w:rPr>
                <w:rFonts w:ascii="仿宋_GB2312" w:eastAsia="仿宋_GB2312" w:hint="eastAsia"/>
                <w:sz w:val="21"/>
                <w:szCs w:val="21"/>
              </w:rPr>
              <w:t>：pH≮4</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Zn</w:t>
            </w:r>
            <w:r>
              <w:rPr>
                <w:rFonts w:ascii="仿宋_GB2312" w:eastAsia="仿宋_GB2312" w:hint="eastAsia"/>
                <w:sz w:val="21"/>
                <w:szCs w:val="21"/>
                <w:vertAlign w:val="superscript"/>
              </w:rPr>
              <w:t>2+</w:t>
            </w:r>
            <w:r>
              <w:rPr>
                <w:rFonts w:ascii="仿宋_GB2312" w:eastAsia="仿宋_GB2312" w:hint="eastAsia"/>
                <w:sz w:val="21"/>
                <w:szCs w:val="21"/>
              </w:rPr>
              <w:t>：pH9-10</w:t>
            </w:r>
          </w:p>
        </w:tc>
        <w:tc>
          <w:tcPr>
            <w:tcW w:w="2222" w:type="dxa"/>
            <w:tcBorders>
              <w:top w:val="nil"/>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去除率</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 xml:space="preserve">Cu </w:t>
            </w:r>
            <w:r>
              <w:rPr>
                <w:rFonts w:ascii="仿宋_GB2312" w:eastAsia="仿宋_GB2312" w:hint="eastAsia"/>
                <w:spacing w:val="-7"/>
                <w:sz w:val="21"/>
                <w:szCs w:val="21"/>
              </w:rPr>
              <w:t>：98～99%</w:t>
            </w:r>
            <w:r>
              <w:rPr>
                <w:rFonts w:ascii="仿宋_GB2312" w:eastAsia="仿宋_GB2312" w:hint="eastAsia"/>
                <w:spacing w:val="-41"/>
                <w:sz w:val="21"/>
                <w:szCs w:val="21"/>
              </w:rPr>
              <w:t>、</w:t>
            </w:r>
            <w:r>
              <w:rPr>
                <w:rFonts w:ascii="仿宋_GB2312" w:eastAsia="仿宋_GB2312" w:hint="eastAsia"/>
                <w:sz w:val="21"/>
                <w:szCs w:val="21"/>
              </w:rPr>
              <w:t>As</w:t>
            </w:r>
            <w:r>
              <w:rPr>
                <w:rFonts w:ascii="仿宋_GB2312" w:eastAsia="仿宋_GB2312" w:hint="eastAsia"/>
                <w:spacing w:val="1"/>
                <w:sz w:val="21"/>
                <w:szCs w:val="21"/>
              </w:rPr>
              <w:t xml:space="preserve"> </w:t>
            </w:r>
            <w:r>
              <w:rPr>
                <w:rFonts w:ascii="仿宋_GB2312" w:eastAsia="仿宋_GB2312" w:hint="eastAsia"/>
                <w:sz w:val="21"/>
                <w:szCs w:val="21"/>
              </w:rPr>
              <w:t>：98～99%、</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F ：80～99%、</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其他金属离子： 98～99%</w:t>
            </w:r>
          </w:p>
        </w:tc>
        <w:tc>
          <w:tcPr>
            <w:tcW w:w="1418" w:type="dxa"/>
            <w:tcBorders>
              <w:top w:val="nil"/>
              <w:left w:val="single" w:sz="6" w:space="0" w:color="000000"/>
              <w:bottom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中和渣的属性需经过鉴别，并根据其性质和类别确定处理处置方式</w:t>
            </w:r>
          </w:p>
        </w:tc>
        <w:tc>
          <w:tcPr>
            <w:tcW w:w="1417" w:type="dxa"/>
            <w:tcBorders>
              <w:top w:val="nil"/>
              <w:left w:val="single" w:sz="6" w:space="0" w:color="000000"/>
              <w:bottom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适用于铜冶炼厂酸性废水及污酸处理后水的处理</w:t>
            </w:r>
          </w:p>
        </w:tc>
      </w:tr>
      <w:tr>
        <w:trPr>
          <w:trHeight w:val="561"/>
        </w:trPr>
        <w:tc>
          <w:tcPr>
            <w:tcW w:w="1134" w:type="dxa"/>
            <w:tcBorders>
              <w:top w:val="nil"/>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石灰-铁盐（铝盐）法处理污水</w:t>
            </w:r>
          </w:p>
        </w:tc>
        <w:tc>
          <w:tcPr>
            <w:tcW w:w="2974" w:type="dxa"/>
            <w:tcBorders>
              <w:top w:val="nil"/>
              <w:left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中和反应 pH 值控制范围9～11</w:t>
            </w:r>
          </w:p>
        </w:tc>
        <w:tc>
          <w:tcPr>
            <w:tcW w:w="2222" w:type="dxa"/>
            <w:tcBorders>
              <w:top w:val="nil"/>
              <w:left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去除率</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 xml:space="preserve">Cu </w:t>
            </w:r>
            <w:r>
              <w:rPr>
                <w:rFonts w:ascii="仿宋_GB2312" w:eastAsia="仿宋_GB2312" w:hint="eastAsia"/>
                <w:spacing w:val="-7"/>
                <w:sz w:val="21"/>
                <w:szCs w:val="21"/>
              </w:rPr>
              <w:t>：98～99%</w:t>
            </w:r>
            <w:r>
              <w:rPr>
                <w:rFonts w:ascii="仿宋_GB2312" w:eastAsia="仿宋_GB2312" w:hint="eastAsia"/>
                <w:spacing w:val="-41"/>
                <w:sz w:val="21"/>
                <w:szCs w:val="21"/>
              </w:rPr>
              <w:t>、</w:t>
            </w:r>
            <w:r>
              <w:rPr>
                <w:rFonts w:ascii="仿宋_GB2312" w:eastAsia="仿宋_GB2312" w:hint="eastAsia"/>
                <w:sz w:val="21"/>
                <w:szCs w:val="21"/>
              </w:rPr>
              <w:t>As</w:t>
            </w:r>
            <w:r>
              <w:rPr>
                <w:rFonts w:ascii="仿宋_GB2312" w:eastAsia="仿宋_GB2312" w:hint="eastAsia"/>
                <w:spacing w:val="1"/>
                <w:sz w:val="21"/>
                <w:szCs w:val="21"/>
              </w:rPr>
              <w:t xml:space="preserve"> </w:t>
            </w:r>
            <w:r>
              <w:rPr>
                <w:rFonts w:ascii="仿宋_GB2312" w:eastAsia="仿宋_GB2312" w:hint="eastAsia"/>
                <w:sz w:val="21"/>
                <w:szCs w:val="21"/>
              </w:rPr>
              <w:t>：98～99%、</w:t>
            </w:r>
          </w:p>
          <w:p>
            <w:pPr>
              <w:pStyle w:val="25"/>
              <w:spacing w:line="264" w:lineRule="auto"/>
              <w:jc w:val="both"/>
              <w:rPr>
                <w:rFonts w:ascii="仿宋_GB2312" w:eastAsia="仿宋_GB2312" w:hint="eastAsia"/>
                <w:sz w:val="21"/>
                <w:szCs w:val="21"/>
              </w:rPr>
            </w:pPr>
            <w:r>
              <w:rPr>
                <w:rFonts w:ascii="仿宋_GB2312" w:eastAsia="仿宋_GB2312" w:hint="eastAsia"/>
                <w:sz w:val="21"/>
                <w:szCs w:val="21"/>
              </w:rPr>
              <w:t>F ：80～99% 、其他金属离子：98～99%</w:t>
            </w:r>
          </w:p>
        </w:tc>
        <w:tc>
          <w:tcPr>
            <w:tcW w:w="1418" w:type="dxa"/>
            <w:tcBorders>
              <w:top w:val="nil"/>
              <w:left w:val="single" w:sz="6" w:space="0" w:color="000000"/>
              <w:righ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中和渣的属性需经过鉴别，并根据其性质和类别确定处理处置方式</w:t>
            </w:r>
          </w:p>
        </w:tc>
        <w:tc>
          <w:tcPr>
            <w:tcW w:w="1417" w:type="dxa"/>
            <w:tcBorders>
              <w:top w:val="nil"/>
              <w:left w:val="single" w:sz="6" w:space="0" w:color="000000"/>
              <w:tl2br w:val="nil"/>
              <w:tr2bl w:val="nil"/>
            </w:tcBorders>
            <w:vAlign w:val="center"/>
          </w:tcPr>
          <w:p>
            <w:pPr>
              <w:pStyle w:val="25"/>
              <w:spacing w:line="264" w:lineRule="auto"/>
              <w:jc w:val="both"/>
              <w:rPr>
                <w:rFonts w:ascii="仿宋_GB2312" w:eastAsia="仿宋_GB2312" w:hint="eastAsia"/>
                <w:sz w:val="21"/>
                <w:szCs w:val="21"/>
              </w:rPr>
            </w:pPr>
            <w:r>
              <w:rPr>
                <w:rFonts w:ascii="仿宋_GB2312" w:eastAsia="仿宋_GB2312" w:hint="eastAsia"/>
                <w:sz w:val="21"/>
                <w:szCs w:val="21"/>
              </w:rPr>
              <w:t>适用于铜冶炼厂酸性废水及污酸处理后水的处理</w:t>
            </w:r>
          </w:p>
        </w:tc>
      </w:tr>
    </w:tbl>
    <w:p>
      <w:pPr>
        <w:pStyle w:val="3"/>
        <w:spacing w:before="0" w:after="0" w:line="360" w:lineRule="auto"/>
        <w:jc w:val="both"/>
        <w:rPr>
          <w:rFonts w:ascii="仿宋_GB2312" w:eastAsia="仿宋_GB2312" w:hint="eastAsia"/>
          <w:sz w:val="30"/>
          <w:szCs w:val="30"/>
        </w:rPr>
      </w:pPr>
      <w:bookmarkStart w:id="81" w:name="_Toc89766417"/>
      <w:r>
        <w:rPr>
          <w:rFonts w:ascii="仿宋_GB2312" w:eastAsia="仿宋_GB2312" w:hint="eastAsia"/>
          <w:sz w:val="30"/>
          <w:szCs w:val="30"/>
        </w:rPr>
        <w:t>4.4.5废水处理技术</w:t>
      </w:r>
      <w:bookmarkEnd w:id="81"/>
    </w:p>
    <w:p>
      <w:pPr>
        <w:autoSpaceDE/>
        <w:autoSpaceDN/>
        <w:spacing w:line="48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4.4.5.1净化+膜法废水深度处理技术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净化+膜法废水深度处理技术是为提高水的重复利用率，对一般生产废水进行深度处理，使处理后水质达到工业循环水的标准，回用于循环水系统的补充水。除盐产生的浓盐水回用于冲渣等，不外排。</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膜分离技术是利用高压泵在浓溶液侧施加高于自然渗透压的操作压力，逆转水分子自然渗透的方向，迫使浓溶液中的水分子部分通过半透膜成为稀溶液侧净化水的过程。其工艺过程包括盘式过滤或精密过滤、微滤或超滤、反渗透等。</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反渗透系统产生的淡水回用于生产线，浓水可独立处理后排放，也可将浓水排入废水调节池进一步处理。该技术工艺流程短，减少占地面积。全过程均属物理法，不发生相变。</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废水深度处理工艺流程见图 6。</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该技术脱盐率达到75%，出水悬浮物浓度（SS）低于5mg/L。</w:t>
      </w:r>
    </w:p>
    <w:p>
      <w:pPr>
        <w:autoSpaceDE/>
        <w:autoSpaceDN/>
        <w:spacing w:line="48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该技术适用于铜冶炼企业污水处理站废水的深度处理。</w:t>
      </w:r>
    </w:p>
    <w:p>
      <w:pPr>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br w:type="page"/>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500" w:firstLine="1100"/>
        <w:jc w:val="both"/>
        <w:rPr>
          <w:rFonts w:ascii="Times New Roman" w:eastAsia="仿宋_GB2312" w:cs="Times New Roman" w:hAnsi="Times New Roman"/>
          <w:kern w:val="2"/>
          <w:sz w:val="30"/>
          <w:szCs w:val="30"/>
          <w:lang w:bidi="ar-SA"/>
        </w:rPr>
      </w:pPr>
      <w:r>
        <mc:AlternateContent>
          <mc:Choice Requires="wps">
            <w:drawing>
              <wp:anchor distT="0" distB="0" distL="114296" distR="114296" simplePos="0" relativeHeight="53" behindDoc="0" locked="0" layoutInCell="0" hidden="0" allowOverlap="1">
                <wp:simplePos x="0" y="0"/>
                <wp:positionH relativeFrom="page">
                  <wp:posOffset>4510971</wp:posOffset>
                </wp:positionH>
                <wp:positionV relativeFrom="page">
                  <wp:posOffset>2348162</wp:posOffset>
                </wp:positionV>
                <wp:extent cx="952499" cy="4982209"/>
                <wp:effectExtent l="0" t="0" r="0" b="0"/>
                <wp:wrapSquare wrapText="bothSides"/>
                <wp:docPr id="28" name="_x0000_s1041"/>
                <wp:cNvGraphicFramePr>
                  <a:graphicFrameLocks noChangeAspect="0"/>
                </wp:cNvGraphicFramePr>
                <a:graphic>
                  <a:graphicData uri="http://schemas.microsoft.com/office/word/2010/wordprocessingShape">
                    <wps:wsp>
                      <wps:cNvSpPr/>
                      <wps:spPr>
                        <a:xfrm rot="0">
                          <a:off x="0" y="0"/>
                          <a:ext cx="952499" cy="4982209"/>
                        </a:xfrm>
                        <a:prstGeom prst="rect"/>
                        <a:solidFill>
                          <a:srgbClr val="FFFFFF">
                            <a:alpha val="80000"/>
                          </a:srgbClr>
                        </a:solidFill>
                        <a:ln w="12700" cmpd="sng" cap="flat">
                          <a:solidFill>
                            <a:srgbClr val="FFFFFF"/>
                          </a:solidFill>
                          <a:prstDash val="solid"/>
                          <a:miter/>
                        </a:ln>
                      </wps:spPr>
                      <wps:txbx id="29">
                        <w:txbxContent>
                          <w:p>
                            <w:pPr>
                              <w:rPr>
                                <w:rFonts w:ascii="Cambria" w:cs="Times New Roman" w:hAnsi="Cambria"/>
                                <w:b/>
                                <w:bCs/>
                                <w:sz w:val="36"/>
                                <w:szCs w:val="36"/>
                                <w:lang w:bidi="ar-SA"/>
                              </w:rPr>
                            </w:pPr>
                            <w:r>
                              <w:rPr>
                                <w:rFonts w:ascii="黑体" w:eastAsia="黑体" w:hint="eastAsia"/>
                                <w:sz w:val="28"/>
                                <w:szCs w:val="28"/>
                              </w:rPr>
                              <w:t>图 6 废水深度处理工艺流程图</w:t>
                            </w:r>
                          </w:p>
                        </w:txbxContent>
                      </wps:txbx>
                      <wps:bodyPr vert="vert270" wrap="square" lIns="457200" tIns="91440" rIns="91440" bIns="91440" anchor="t" anchorCtr="0" upright="1">
                        <a:spAutoFit/>
                      </wps:bodyPr>
                    </wps:wsp>
                  </a:graphicData>
                </a:graphic>
              </wp:anchor>
            </w:drawing>
          </mc:Choice>
          <mc:Fallback>
            <w:pict>
              <v:rect type="#_x0000_t1" id="_x0000_s1041 30" o:spid="_x0000_s30" fillcolor="#FFFFFF" stroked="t" strokeweight="1.0pt" o:allowincell="f" style="position:absolute;margin-left:355.19458pt;margin-top:184.89468pt;width:74.999954pt;height:392.29996pt;z-index:53;mso-position-horizontal:absolute;mso-position-horizontal-relative:page;mso-position-vertical:absolute;mso-position-vertical-relative:page;mso-wrap-distance-left:8.999685pt;mso-wrap-distance-right:8.999685pt;mso-wrap-style:square;">
                <v:fill opacity="52428f"/>
                <v:stroke color="#FFFFFF"/>
                <v:textbox id="870" inset="12.7mm,2.54mm,2.54mm,2.54mm" o:insetmode="custom" style="layout-flow:vertical;mso-layout-flow-alt:bottom-to-top;v-text-anchor:top;mso-fit-shape-to-text:t;">
                  <w:txbxContent>
                    <w:p>
                      <w:pPr>
                        <w:rPr>
                          <w:rFonts w:ascii="Cambria" w:cs="Times New Roman" w:hAnsi="Cambria"/>
                          <w:b/>
                          <w:bCs/>
                          <w:sz w:val="36"/>
                          <w:szCs w:val="36"/>
                          <w:lang w:bidi="ar-SA"/>
                        </w:rPr>
                      </w:pPr>
                      <w:r>
                        <w:rPr>
                          <w:rFonts w:ascii="黑体" w:eastAsia="黑体" w:hint="eastAsia"/>
                          <w:sz w:val="28"/>
                          <w:szCs w:val="28"/>
                        </w:rPr>
                        <w:t>图 6 废水深度处理工艺流程图</w:t>
                      </w:r>
                    </w:p>
                  </w:txbxContent>
                </v:textbox>
                <w10:wrap type="square"/>
              </v:rect>
            </w:pict>
          </mc:Fallback>
        </mc:AlternateContent>
      </w:r>
      <w:r>
        <w:rPr>
          <w:rFonts w:ascii="Times New Roman" w:eastAsia="仿宋_GB2312" w:cs="Times New Roman" w:hAnsi="Times New Roman"/>
          <w:kern w:val="2"/>
          <w:sz w:val="30"/>
          <w:szCs w:val="30"/>
          <w:lang w:bidi="ar-SA"/>
        </w:rPr>
        <w:drawing>
          <wp:inline distT="0" distB="0" distL="68578" distR="68578">
            <wp:extent cx="2020568" cy="7833360"/>
            <wp:effectExtent l="0" t="0" r="0" b="0"/>
            <wp:docPr id="31" name="图片"/>
            <wp:cNvGraphicFramePr>
              <a:graphicFrameLocks noChangeAspect="1"/>
            </wp:cNvGraphicFramePr>
            <a:graphic>
              <a:graphicData uri="http://schemas.openxmlformats.org/drawingml/2006/picture">
                <pic:pic>
                  <pic:nvPicPr>
                    <pic:cNvPr id="33" name="图片 33"/>
                    <pic:cNvPicPr/>
                  </pic:nvPicPr>
                  <pic:blipFill>
                    <a:blip r:embed="rId13"/>
                    <a:stretch>
                      <a:fillRect/>
                    </a:stretch>
                  </pic:blipFill>
                  <pic:spPr>
                    <a:xfrm rot="0">
                      <a:off x="0" y="0"/>
                      <a:ext cx="2020568" cy="7833360"/>
                    </a:xfrm>
                    <a:prstGeom prst="rect"/>
                    <a:noFill/>
                    <a:ln w="9525" cmpd="sng" cap="flat">
                      <a:noFill/>
                      <a:prstDash val="solid"/>
                      <a:miter/>
                    </a:ln>
                  </pic:spPr>
                </pic:pic>
              </a:graphicData>
            </a:graphic>
          </wp:inline>
        </w:drawing>
      </w:r>
      <w:r>
        <w:rPr>
          <w:rFonts w:ascii="Times New Roman" w:eastAsia="仿宋_GB2312" w:cs="Times New Roman" w:hAnsi="Times New Roman" w:hint="eastAsia"/>
          <w:kern w:val="2"/>
          <w:sz w:val="30"/>
          <w:szCs w:val="30"/>
          <w:lang w:bidi="ar-SA"/>
        </w:rPr>
        <w:t xml:space="preserve">   </w:t>
      </w:r>
    </w:p>
    <w:p>
      <w:pPr>
        <w:autoSpaceDE/>
        <w:autoSpaceDN/>
        <w:spacing w:line="360" w:lineRule="auto"/>
        <w:ind w:firstLineChars="200" w:firstLine="560"/>
        <w:jc w:val="both"/>
        <w:rPr>
          <w:rFonts w:ascii="黑体" w:eastAsia="黑体" w:hint="eastAsia"/>
          <w:sz w:val="28"/>
          <w:szCs w:val="28"/>
        </w:rPr>
      </w:pPr>
    </w:p>
    <w:p>
      <w:pPr>
        <w:autoSpaceDE/>
        <w:autoSpaceDN/>
        <w:spacing w:line="360" w:lineRule="auto"/>
        <w:ind w:firstLineChars="200" w:firstLine="560"/>
        <w:jc w:val="both"/>
        <w:rPr>
          <w:rFonts w:ascii="黑体" w:eastAsia="黑体" w:hint="eastAsia"/>
          <w:sz w:val="28"/>
          <w:szCs w:val="28"/>
        </w:rPr>
      </w:pPr>
    </w:p>
    <w:p>
      <w:pPr>
        <w:autoSpaceDE/>
        <w:autoSpaceDN/>
        <w:spacing w:line="360" w:lineRule="auto"/>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4.4.5.2废水除油技术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含油废水先经隔油池回收浮油，再进行第二步油水分离，常用的方法有活性炭吸附法及粗粒化油水分离法等。</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废水除油可使用融合多种除油技术，集污水的预处理、油水分离和油的回收于一体的高效油水分离装置。出水含油低于 5mg/L。</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该技术适用于萃余液、反萃废水等含油废水的处理。</w:t>
      </w:r>
    </w:p>
    <w:p>
      <w:pPr>
        <w:pStyle w:val="22"/>
        <w:spacing w:line="360" w:lineRule="auto"/>
        <w:ind w:left="658"/>
        <w:jc w:val="both"/>
        <w:rPr>
          <w:rFonts w:ascii="仿宋_GB2312" w:eastAsia="仿宋_GB2312" w:cs="Times New Roman" w:hint="eastAsia"/>
          <w:b/>
          <w:kern w:val="2"/>
          <w:sz w:val="30"/>
          <w:szCs w:val="30"/>
          <w:lang w:bidi="ar-SA"/>
        </w:rPr>
      </w:pPr>
      <w:r>
        <w:rPr>
          <w:rFonts w:ascii="仿宋_GB2312" w:eastAsia="仿宋_GB2312" w:cs="Times New Roman" w:hint="eastAsia"/>
          <w:b/>
          <w:kern w:val="2"/>
          <w:sz w:val="30"/>
          <w:szCs w:val="30"/>
          <w:lang w:bidi="ar-SA"/>
        </w:rPr>
        <w:t>4.4.5.3主要技术指标</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废水处理可行技术及主要技术指标见表 14。</w:t>
      </w:r>
    </w:p>
    <w:p>
      <w:pPr>
        <w:pStyle w:val="22"/>
        <w:spacing w:before="116"/>
        <w:ind w:left="615" w:right="731"/>
        <w:jc w:val="center"/>
        <w:rPr>
          <w:rFonts w:ascii="仿宋_GB2312" w:eastAsia="仿宋_GB2312" w:cs="Times New Roman" w:hint="eastAsia"/>
          <w:b/>
          <w:sz w:val="28"/>
          <w:szCs w:val="28"/>
          <w:lang w:bidi="ar-SA"/>
        </w:rPr>
      </w:pPr>
      <w:r>
        <w:rPr>
          <w:rFonts w:ascii="仿宋_GB2312" w:eastAsia="仿宋_GB2312" w:cs="Times New Roman" w:hint="eastAsia"/>
          <w:b/>
          <w:sz w:val="28"/>
          <w:szCs w:val="28"/>
          <w:lang w:bidi="ar-SA"/>
        </w:rPr>
        <w:t>表14    废水处理可行技术及主要技术指标</w:t>
      </w:r>
    </w:p>
    <w:tbl>
      <w:tblPr>
        <w:jc w:val="center"/>
        <w:tblW w:w="9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108" w:type="dxa"/>
          <w:bottom w:w="0" w:type="dxa"/>
          <w:right w:w="108" w:type="dxa"/>
        </w:tblCellMar>
      </w:tblPr>
      <w:tblGrid>
        <w:gridCol w:w="1433"/>
        <w:gridCol w:w="1589"/>
        <w:gridCol w:w="2127"/>
        <w:gridCol w:w="2307"/>
        <w:gridCol w:w="1864"/>
      </w:tblGrid>
      <w:tr>
        <w:trPr>
          <w:trHeight w:val="437"/>
        </w:trPr>
        <w:tc>
          <w:tcPr>
            <w:tcW w:w="1433" w:type="dxa"/>
            <w:tcBorders>
              <w:bottom w:val="single" w:sz="6" w:space="0" w:color="000000"/>
              <w:right w:val="single" w:sz="6" w:space="0" w:color="000000"/>
              <w:tl2br w:val="nil"/>
              <w:tr2bl w:val="nil"/>
            </w:tcBorders>
            <w:vAlign w:val="center"/>
          </w:tcPr>
          <w:p>
            <w:pPr>
              <w:pStyle w:val="25"/>
              <w:adjustRightInd w:val="0"/>
              <w:snapToGrid w:val="0"/>
              <w:spacing w:line="300" w:lineRule="exact"/>
              <w:ind w:left="98" w:right="79"/>
              <w:rPr>
                <w:rFonts w:ascii="仿宋_GB2312" w:eastAsia="仿宋_GB2312" w:hint="eastAsia"/>
                <w:b/>
                <w:bCs/>
                <w:sz w:val="21"/>
                <w:szCs w:val="21"/>
              </w:rPr>
            </w:pPr>
            <w:r>
              <w:rPr>
                <w:rFonts w:ascii="仿宋_GB2312" w:eastAsia="仿宋_GB2312" w:hint="eastAsia"/>
                <w:b/>
                <w:bCs/>
                <w:sz w:val="21"/>
                <w:szCs w:val="21"/>
              </w:rPr>
              <w:t>可行技术</w:t>
            </w:r>
          </w:p>
        </w:tc>
        <w:tc>
          <w:tcPr>
            <w:tcW w:w="1589" w:type="dxa"/>
            <w:tcBorders>
              <w:left w:val="single" w:sz="6" w:space="0" w:color="000000"/>
              <w:bottom w:val="single" w:sz="6" w:space="0" w:color="000000"/>
              <w:right w:val="single" w:sz="6" w:space="0" w:color="000000"/>
              <w:tl2br w:val="nil"/>
              <w:tr2bl w:val="nil"/>
            </w:tcBorders>
            <w:vAlign w:val="center"/>
          </w:tcPr>
          <w:p>
            <w:pPr>
              <w:pStyle w:val="25"/>
              <w:adjustRightInd w:val="0"/>
              <w:snapToGrid w:val="0"/>
              <w:spacing w:line="300" w:lineRule="exact"/>
              <w:ind w:left="46" w:right="18"/>
              <w:rPr>
                <w:rFonts w:ascii="仿宋_GB2312" w:eastAsia="仿宋_GB2312" w:hint="eastAsia"/>
                <w:b/>
                <w:bCs/>
                <w:sz w:val="21"/>
                <w:szCs w:val="21"/>
              </w:rPr>
            </w:pPr>
            <w:r>
              <w:rPr>
                <w:rFonts w:ascii="仿宋_GB2312" w:eastAsia="仿宋_GB2312" w:hint="eastAsia"/>
                <w:b/>
                <w:bCs/>
                <w:sz w:val="21"/>
                <w:szCs w:val="21"/>
              </w:rPr>
              <w:t>可行工艺参数</w:t>
            </w:r>
          </w:p>
        </w:tc>
        <w:tc>
          <w:tcPr>
            <w:tcW w:w="2127" w:type="dxa"/>
            <w:tcBorders>
              <w:left w:val="single" w:sz="6" w:space="0" w:color="000000"/>
              <w:bottom w:val="single" w:sz="6" w:space="0" w:color="000000"/>
              <w:right w:val="single" w:sz="6" w:space="0" w:color="000000"/>
              <w:tl2br w:val="nil"/>
              <w:tr2bl w:val="nil"/>
            </w:tcBorders>
            <w:vAlign w:val="center"/>
          </w:tcPr>
          <w:p>
            <w:pPr>
              <w:pStyle w:val="25"/>
              <w:adjustRightInd w:val="0"/>
              <w:snapToGrid w:val="0"/>
              <w:spacing w:line="300" w:lineRule="exact"/>
              <w:ind w:left="48" w:right="18"/>
              <w:rPr>
                <w:rFonts w:ascii="仿宋_GB2312" w:eastAsia="仿宋_GB2312" w:hint="eastAsia"/>
                <w:b/>
                <w:bCs/>
                <w:sz w:val="21"/>
                <w:szCs w:val="21"/>
              </w:rPr>
            </w:pPr>
            <w:r>
              <w:rPr>
                <w:rFonts w:ascii="仿宋_GB2312" w:eastAsia="仿宋_GB2312" w:hint="eastAsia"/>
                <w:b/>
                <w:bCs/>
                <w:sz w:val="21"/>
                <w:szCs w:val="21"/>
              </w:rPr>
              <w:t>污染物消减及排放</w:t>
            </w:r>
          </w:p>
        </w:tc>
        <w:tc>
          <w:tcPr>
            <w:tcW w:w="2307" w:type="dxa"/>
            <w:tcBorders>
              <w:left w:val="single" w:sz="6" w:space="0" w:color="000000"/>
              <w:bottom w:val="single" w:sz="6" w:space="0" w:color="000000"/>
              <w:right w:val="single" w:sz="6" w:space="0" w:color="000000"/>
              <w:tl2br w:val="nil"/>
              <w:tr2bl w:val="nil"/>
            </w:tcBorders>
            <w:vAlign w:val="center"/>
          </w:tcPr>
          <w:p>
            <w:pPr>
              <w:pStyle w:val="25"/>
              <w:adjustRightInd w:val="0"/>
              <w:snapToGrid w:val="0"/>
              <w:spacing w:line="300" w:lineRule="exact"/>
              <w:ind w:left="47" w:right="18"/>
              <w:rPr>
                <w:rFonts w:ascii="仿宋_GB2312" w:eastAsia="仿宋_GB2312" w:hint="eastAsia"/>
                <w:b/>
                <w:bCs/>
                <w:sz w:val="21"/>
                <w:szCs w:val="21"/>
              </w:rPr>
            </w:pPr>
            <w:r>
              <w:rPr>
                <w:rFonts w:ascii="仿宋_GB2312" w:eastAsia="仿宋_GB2312" w:hint="eastAsia"/>
                <w:b/>
                <w:bCs/>
                <w:sz w:val="21"/>
                <w:szCs w:val="21"/>
              </w:rPr>
              <w:t>二次污染及防治措施</w:t>
            </w:r>
          </w:p>
        </w:tc>
        <w:tc>
          <w:tcPr>
            <w:tcW w:w="1864" w:type="dxa"/>
            <w:tcBorders>
              <w:left w:val="single" w:sz="6" w:space="0" w:color="000000"/>
              <w:bottom w:val="single" w:sz="6" w:space="0" w:color="000000"/>
              <w:tl2br w:val="nil"/>
              <w:tr2bl w:val="nil"/>
            </w:tcBorders>
            <w:vAlign w:val="center"/>
          </w:tcPr>
          <w:p>
            <w:pPr>
              <w:pStyle w:val="25"/>
              <w:adjustRightInd w:val="0"/>
              <w:snapToGrid w:val="0"/>
              <w:spacing w:line="300" w:lineRule="exact"/>
              <w:ind w:firstLine="0"/>
              <w:rPr>
                <w:rFonts w:ascii="仿宋_GB2312" w:eastAsia="仿宋_GB2312" w:hint="eastAsia"/>
                <w:b/>
                <w:bCs/>
                <w:sz w:val="21"/>
                <w:szCs w:val="21"/>
              </w:rPr>
            </w:pPr>
            <w:r>
              <w:rPr>
                <w:rFonts w:ascii="仿宋_GB2312" w:eastAsia="仿宋_GB2312" w:hint="eastAsia"/>
                <w:b/>
                <w:bCs/>
                <w:sz w:val="21"/>
                <w:szCs w:val="21"/>
              </w:rPr>
              <w:t>技术适用性</w:t>
            </w:r>
          </w:p>
        </w:tc>
      </w:tr>
      <w:tr>
        <w:trPr>
          <w:trHeight w:val="846"/>
        </w:trPr>
        <w:tc>
          <w:tcPr>
            <w:tcW w:w="1433" w:type="dxa"/>
            <w:tcBorders>
              <w:top w:val="single" w:sz="6" w:space="0" w:color="000000"/>
              <w:bottom w:val="nil"/>
              <w:right w:val="single" w:sz="6" w:space="0" w:color="000000"/>
              <w:tl2br w:val="nil"/>
              <w:tr2bl w:val="nil"/>
            </w:tcBorders>
          </w:tcPr>
          <w:p>
            <w:pPr>
              <w:pStyle w:val="25"/>
              <w:adjustRightInd w:val="0"/>
              <w:snapToGrid w:val="0"/>
              <w:spacing w:line="300" w:lineRule="exact"/>
              <w:ind w:right="138"/>
              <w:jc w:val="both"/>
              <w:rPr>
                <w:rFonts w:ascii="仿宋_GB2312" w:eastAsia="仿宋_GB2312" w:hint="eastAsia"/>
                <w:sz w:val="21"/>
                <w:szCs w:val="21"/>
              </w:rPr>
            </w:pPr>
            <w:r>
              <w:rPr>
                <w:rFonts w:ascii="仿宋_GB2312" w:eastAsia="仿宋_GB2312" w:hint="eastAsia"/>
                <w:sz w:val="21"/>
                <w:szCs w:val="21"/>
              </w:rPr>
              <w:t>净化+膜法废水深度处理技术</w:t>
            </w:r>
          </w:p>
        </w:tc>
        <w:tc>
          <w:tcPr>
            <w:tcW w:w="1589" w:type="dxa"/>
            <w:tcBorders>
              <w:top w:val="single" w:sz="6" w:space="0" w:color="000000"/>
              <w:left w:val="single" w:sz="6" w:space="0" w:color="000000"/>
              <w:bottom w:val="nil"/>
              <w:right w:val="single" w:sz="6" w:space="0" w:color="000000"/>
              <w:tl2br w:val="nil"/>
              <w:tr2bl w:val="nil"/>
            </w:tcBorders>
          </w:tcPr>
          <w:p>
            <w:pPr>
              <w:pStyle w:val="25"/>
              <w:adjustRightInd w:val="0"/>
              <w:snapToGrid w:val="0"/>
              <w:spacing w:line="300" w:lineRule="exact"/>
              <w:ind w:right="18"/>
              <w:jc w:val="both"/>
              <w:rPr>
                <w:rFonts w:ascii="仿宋_GB2312" w:eastAsia="仿宋_GB2312" w:hint="eastAsia"/>
                <w:sz w:val="21"/>
                <w:szCs w:val="21"/>
              </w:rPr>
            </w:pPr>
            <w:r>
              <w:rPr>
                <w:rFonts w:ascii="仿宋_GB2312" w:eastAsia="仿宋_GB2312" w:hint="eastAsia"/>
                <w:sz w:val="21"/>
                <w:szCs w:val="21"/>
              </w:rPr>
              <w:t>pH 值控制范围 6-9</w:t>
            </w:r>
          </w:p>
        </w:tc>
        <w:tc>
          <w:tcPr>
            <w:tcW w:w="2127" w:type="dxa"/>
            <w:tcBorders>
              <w:top w:val="single" w:sz="6" w:space="0" w:color="000000"/>
              <w:left w:val="single" w:sz="6" w:space="0" w:color="000000"/>
              <w:bottom w:val="nil"/>
              <w:right w:val="single" w:sz="6" w:space="0" w:color="000000"/>
              <w:tl2br w:val="nil"/>
              <w:tr2bl w:val="nil"/>
            </w:tcBorders>
          </w:tcPr>
          <w:p>
            <w:pPr>
              <w:pStyle w:val="25"/>
              <w:adjustRightInd w:val="0"/>
              <w:snapToGrid w:val="0"/>
              <w:spacing w:line="300" w:lineRule="exact"/>
              <w:ind w:left="301" w:right="-15" w:hanging="185"/>
              <w:jc w:val="both"/>
              <w:rPr>
                <w:rFonts w:ascii="仿宋_GB2312" w:eastAsia="仿宋_GB2312" w:hint="eastAsia"/>
                <w:sz w:val="21"/>
                <w:szCs w:val="21"/>
              </w:rPr>
            </w:pPr>
            <w:r>
              <w:rPr>
                <w:rFonts w:ascii="仿宋_GB2312" w:eastAsia="仿宋_GB2312" w:hint="eastAsia"/>
                <w:spacing w:val="-2"/>
                <w:sz w:val="21"/>
                <w:szCs w:val="21"/>
              </w:rPr>
              <w:t>出水</w:t>
            </w:r>
            <w:r>
              <w:rPr>
                <w:rFonts w:ascii="仿宋_GB2312" w:eastAsia="仿宋_GB2312" w:hint="eastAsia"/>
                <w:sz w:val="21"/>
                <w:szCs w:val="21"/>
              </w:rPr>
              <w:t>SS</w:t>
            </w:r>
            <w:r>
              <w:rPr>
                <w:rFonts w:ascii="仿宋_GB2312" w:eastAsia="仿宋_GB2312" w:hint="eastAsia"/>
                <w:spacing w:val="-19"/>
                <w:sz w:val="21"/>
                <w:szCs w:val="21"/>
              </w:rPr>
              <w:t>低于</w:t>
            </w:r>
            <w:r>
              <w:rPr>
                <w:rFonts w:ascii="仿宋_GB2312" w:eastAsia="仿宋_GB2312" w:hint="eastAsia"/>
                <w:sz w:val="21"/>
                <w:szCs w:val="21"/>
              </w:rPr>
              <w:t>5mg/L，</w:t>
            </w:r>
            <w:r>
              <w:rPr>
                <w:rFonts w:ascii="仿宋_GB2312" w:eastAsia="仿宋_GB2312" w:hint="eastAsia"/>
                <w:spacing w:val="-8"/>
                <w:sz w:val="21"/>
                <w:szCs w:val="21"/>
              </w:rPr>
              <w:t>脱盐率达到</w:t>
            </w:r>
            <w:r>
              <w:rPr>
                <w:rFonts w:ascii="仿宋_GB2312" w:eastAsia="仿宋_GB2312" w:hint="eastAsia"/>
                <w:sz w:val="21"/>
                <w:szCs w:val="21"/>
              </w:rPr>
              <w:t>75%</w:t>
            </w:r>
          </w:p>
        </w:tc>
        <w:tc>
          <w:tcPr>
            <w:tcW w:w="2307" w:type="dxa"/>
            <w:tcBorders>
              <w:top w:val="single" w:sz="6" w:space="0" w:color="000000"/>
              <w:left w:val="single" w:sz="6" w:space="0" w:color="000000"/>
              <w:bottom w:val="nil"/>
              <w:right w:val="single" w:sz="6" w:space="0" w:color="000000"/>
              <w:tl2br w:val="nil"/>
              <w:tr2bl w:val="nil"/>
            </w:tcBorders>
          </w:tcPr>
          <w:p>
            <w:pPr>
              <w:pStyle w:val="25"/>
              <w:adjustRightInd w:val="0"/>
              <w:snapToGrid w:val="0"/>
              <w:spacing w:line="300" w:lineRule="exact"/>
              <w:ind w:left="129"/>
              <w:jc w:val="both"/>
              <w:rPr>
                <w:rFonts w:ascii="仿宋_GB2312" w:eastAsia="仿宋_GB2312" w:hint="eastAsia"/>
                <w:sz w:val="21"/>
                <w:szCs w:val="21"/>
              </w:rPr>
            </w:pPr>
            <w:r>
              <w:rPr>
                <w:rFonts w:ascii="仿宋_GB2312" w:eastAsia="仿宋_GB2312" w:hint="eastAsia"/>
                <w:sz w:val="21"/>
                <w:szCs w:val="21"/>
              </w:rPr>
              <w:t>沉淀渣属一般固体废</w:t>
            </w:r>
            <w:r>
              <w:rPr>
                <w:rFonts w:ascii="仿宋_GB2312" w:eastAsia="仿宋_GB2312" w:hint="eastAsia"/>
                <w:spacing w:val="-2"/>
                <w:sz w:val="21"/>
                <w:szCs w:val="21"/>
              </w:rPr>
              <w:t>物，送渣场堆存。除盐产生的浓盐水回用</w:t>
            </w:r>
            <w:r>
              <w:rPr>
                <w:rFonts w:ascii="仿宋_GB2312" w:eastAsia="仿宋_GB2312" w:hint="eastAsia"/>
                <w:sz w:val="21"/>
                <w:szCs w:val="21"/>
              </w:rPr>
              <w:t>于冲渣等，不外排</w:t>
            </w:r>
          </w:p>
        </w:tc>
        <w:tc>
          <w:tcPr>
            <w:tcW w:w="1864" w:type="dxa"/>
            <w:tcBorders>
              <w:top w:val="single" w:sz="6" w:space="0" w:color="000000"/>
              <w:left w:val="single" w:sz="6" w:space="0" w:color="000000"/>
              <w:bottom w:val="nil"/>
              <w:tl2br w:val="nil"/>
              <w:tr2bl w:val="nil"/>
            </w:tcBorders>
          </w:tcPr>
          <w:p>
            <w:pPr>
              <w:pStyle w:val="25"/>
              <w:adjustRightInd w:val="0"/>
              <w:snapToGrid w:val="0"/>
              <w:spacing w:line="300" w:lineRule="exact"/>
              <w:ind w:right="91"/>
              <w:jc w:val="both"/>
              <w:rPr>
                <w:rFonts w:ascii="仿宋_GB2312" w:eastAsia="仿宋_GB2312" w:hint="eastAsia"/>
                <w:sz w:val="21"/>
                <w:szCs w:val="21"/>
              </w:rPr>
            </w:pPr>
            <w:r>
              <w:rPr>
                <w:rFonts w:ascii="仿宋_GB2312" w:eastAsia="仿宋_GB2312" w:hint="eastAsia"/>
                <w:sz w:val="21"/>
                <w:szCs w:val="21"/>
              </w:rPr>
              <w:t>适用于污水处理后废水的深度处理</w:t>
            </w:r>
          </w:p>
        </w:tc>
      </w:tr>
      <w:tr>
        <w:trPr>
          <w:trHeight w:val="900"/>
        </w:trPr>
        <w:tc>
          <w:tcPr>
            <w:tcW w:w="1433" w:type="dxa"/>
            <w:tcBorders>
              <w:top w:val="single" w:sz="6" w:space="0" w:color="000000"/>
              <w:right w:val="single" w:sz="6" w:space="0" w:color="000000"/>
              <w:tl2br w:val="nil"/>
              <w:tr2bl w:val="nil"/>
            </w:tcBorders>
          </w:tcPr>
          <w:p>
            <w:pPr>
              <w:pStyle w:val="25"/>
              <w:adjustRightInd w:val="0"/>
              <w:snapToGrid w:val="0"/>
              <w:spacing w:line="300" w:lineRule="exact"/>
              <w:jc w:val="both"/>
              <w:rPr>
                <w:rFonts w:ascii="仿宋_GB2312" w:eastAsia="仿宋_GB2312" w:hint="eastAsia"/>
                <w:sz w:val="21"/>
                <w:szCs w:val="21"/>
              </w:rPr>
            </w:pPr>
          </w:p>
          <w:p>
            <w:pPr>
              <w:pStyle w:val="25"/>
              <w:adjustRightInd w:val="0"/>
              <w:snapToGrid w:val="0"/>
              <w:spacing w:line="300" w:lineRule="exact"/>
              <w:ind w:left="98" w:right="79"/>
              <w:jc w:val="both"/>
              <w:rPr>
                <w:rFonts w:ascii="仿宋_GB2312" w:eastAsia="仿宋_GB2312" w:hint="eastAsia"/>
                <w:sz w:val="21"/>
                <w:szCs w:val="21"/>
              </w:rPr>
            </w:pPr>
            <w:r>
              <w:rPr>
                <w:rFonts w:ascii="仿宋_GB2312" w:eastAsia="仿宋_GB2312" w:hint="eastAsia"/>
                <w:sz w:val="21"/>
                <w:szCs w:val="21"/>
              </w:rPr>
              <w:t>废水除油技术</w:t>
            </w:r>
          </w:p>
        </w:tc>
        <w:tc>
          <w:tcPr>
            <w:tcW w:w="1589" w:type="dxa"/>
            <w:tcBorders>
              <w:top w:val="single" w:sz="6" w:space="0" w:color="000000"/>
              <w:left w:val="single" w:sz="6" w:space="0" w:color="000000"/>
              <w:right w:val="single" w:sz="6" w:space="0" w:color="000000"/>
              <w:tl2br w:val="nil"/>
              <w:tr2bl w:val="nil"/>
            </w:tcBorders>
          </w:tcPr>
          <w:p>
            <w:pPr>
              <w:pStyle w:val="25"/>
              <w:adjustRightInd w:val="0"/>
              <w:snapToGrid w:val="0"/>
              <w:spacing w:line="300" w:lineRule="exact"/>
              <w:ind w:left="127" w:right="99"/>
              <w:jc w:val="both"/>
              <w:rPr>
                <w:rFonts w:ascii="仿宋_GB2312" w:eastAsia="仿宋_GB2312" w:hint="eastAsia"/>
                <w:sz w:val="21"/>
                <w:szCs w:val="21"/>
              </w:rPr>
            </w:pPr>
            <w:r>
              <w:rPr>
                <w:rFonts w:ascii="仿宋_GB2312" w:eastAsia="仿宋_GB2312" w:hint="eastAsia"/>
                <w:sz w:val="21"/>
                <w:szCs w:val="21"/>
              </w:rPr>
              <w:t>含油废水先经隔油池回收浮油，再进行第二步油水分离</w:t>
            </w:r>
          </w:p>
        </w:tc>
        <w:tc>
          <w:tcPr>
            <w:tcW w:w="2127" w:type="dxa"/>
            <w:tcBorders>
              <w:top w:val="single" w:sz="6" w:space="0" w:color="000000"/>
              <w:left w:val="single" w:sz="6" w:space="0" w:color="000000"/>
              <w:right w:val="single" w:sz="6" w:space="0" w:color="000000"/>
              <w:tl2br w:val="nil"/>
              <w:tr2bl w:val="nil"/>
            </w:tcBorders>
          </w:tcPr>
          <w:p>
            <w:pPr>
              <w:pStyle w:val="25"/>
              <w:adjustRightInd w:val="0"/>
              <w:snapToGrid w:val="0"/>
              <w:spacing w:line="300" w:lineRule="exact"/>
              <w:ind w:left="45" w:right="18"/>
              <w:jc w:val="both"/>
              <w:rPr>
                <w:rFonts w:ascii="仿宋_GB2312" w:eastAsia="仿宋_GB2312" w:hint="eastAsia"/>
                <w:sz w:val="21"/>
                <w:szCs w:val="21"/>
              </w:rPr>
            </w:pPr>
            <w:r>
              <w:rPr>
                <w:rFonts w:ascii="仿宋_GB2312" w:eastAsia="仿宋_GB2312" w:hint="eastAsia"/>
                <w:sz w:val="21"/>
                <w:szCs w:val="21"/>
              </w:rPr>
              <w:t>出水含油低于 5mg/L</w:t>
            </w:r>
          </w:p>
        </w:tc>
        <w:tc>
          <w:tcPr>
            <w:tcW w:w="2307" w:type="dxa"/>
            <w:tcBorders>
              <w:top w:val="single" w:sz="6" w:space="0" w:color="000000"/>
              <w:left w:val="single" w:sz="6" w:space="0" w:color="000000"/>
              <w:right w:val="single" w:sz="6" w:space="0" w:color="000000"/>
              <w:tl2br w:val="nil"/>
              <w:tr2bl w:val="nil"/>
            </w:tcBorders>
          </w:tcPr>
          <w:p>
            <w:pPr>
              <w:pStyle w:val="25"/>
              <w:adjustRightInd w:val="0"/>
              <w:snapToGrid w:val="0"/>
              <w:spacing w:line="300" w:lineRule="exact"/>
              <w:ind w:left="128" w:right="97" w:hanging="3"/>
              <w:jc w:val="both"/>
              <w:rPr>
                <w:rFonts w:ascii="仿宋_GB2312" w:eastAsia="仿宋_GB2312" w:hint="eastAsia"/>
                <w:sz w:val="21"/>
                <w:szCs w:val="21"/>
              </w:rPr>
            </w:pPr>
            <w:r>
              <w:rPr>
                <w:rFonts w:ascii="仿宋_GB2312" w:eastAsia="仿宋_GB2312" w:hint="eastAsia"/>
                <w:sz w:val="21"/>
                <w:szCs w:val="21"/>
              </w:rPr>
              <w:t xml:space="preserve">隔油池浮油打捞回 </w:t>
            </w:r>
            <w:r>
              <w:rPr>
                <w:rFonts w:ascii="仿宋_GB2312" w:eastAsia="仿宋_GB2312" w:hint="eastAsia"/>
                <w:spacing w:val="-2"/>
                <w:sz w:val="21"/>
                <w:szCs w:val="21"/>
              </w:rPr>
              <w:t>用，粗粒化油水分离</w:t>
            </w:r>
            <w:r>
              <w:rPr>
                <w:rFonts w:ascii="仿宋_GB2312" w:eastAsia="仿宋_GB2312" w:hint="eastAsia"/>
                <w:sz w:val="21"/>
                <w:szCs w:val="21"/>
              </w:rPr>
              <w:t>器回收有机相</w:t>
            </w:r>
          </w:p>
        </w:tc>
        <w:tc>
          <w:tcPr>
            <w:tcW w:w="1864" w:type="dxa"/>
            <w:tcBorders>
              <w:top w:val="single" w:sz="6" w:space="0" w:color="000000"/>
              <w:left w:val="single" w:sz="6" w:space="0" w:color="000000"/>
              <w:tl2br w:val="nil"/>
              <w:tr2bl w:val="nil"/>
            </w:tcBorders>
          </w:tcPr>
          <w:p>
            <w:pPr>
              <w:pStyle w:val="25"/>
              <w:adjustRightInd w:val="0"/>
              <w:snapToGrid w:val="0"/>
              <w:spacing w:line="300" w:lineRule="exact"/>
              <w:ind w:right="91"/>
              <w:jc w:val="both"/>
              <w:rPr>
                <w:rFonts w:ascii="仿宋_GB2312" w:eastAsia="仿宋_GB2312" w:hint="eastAsia"/>
                <w:sz w:val="21"/>
                <w:szCs w:val="21"/>
              </w:rPr>
            </w:pPr>
            <w:r>
              <w:rPr>
                <w:rFonts w:ascii="仿宋_GB2312" w:eastAsia="仿宋_GB2312" w:hint="eastAsia"/>
                <w:sz w:val="21"/>
                <w:szCs w:val="21"/>
              </w:rPr>
              <w:t xml:space="preserve">该技术适用于萃余 </w:t>
            </w:r>
            <w:r>
              <w:rPr>
                <w:rFonts w:ascii="仿宋_GB2312" w:eastAsia="仿宋_GB2312" w:hint="eastAsia"/>
                <w:spacing w:val="-2"/>
                <w:sz w:val="21"/>
                <w:szCs w:val="21"/>
              </w:rPr>
              <w:t>液、反萃废水等含油</w:t>
            </w:r>
            <w:r>
              <w:rPr>
                <w:rFonts w:ascii="仿宋_GB2312" w:eastAsia="仿宋_GB2312" w:hint="eastAsia"/>
                <w:sz w:val="21"/>
                <w:szCs w:val="21"/>
              </w:rPr>
              <w:t>废水的处理</w:t>
            </w:r>
          </w:p>
        </w:tc>
      </w:tr>
    </w:tbl>
    <w:p>
      <w:pPr>
        <w:pStyle w:val="22"/>
        <w:jc w:val="both"/>
        <w:rPr>
          <w:rFonts w:ascii="黑体" w:hAnsi="黑体"/>
          <w:sz w:val="22"/>
        </w:rPr>
      </w:pPr>
    </w:p>
    <w:p>
      <w:pPr>
        <w:pStyle w:val="2"/>
        <w:spacing w:before="0" w:after="0" w:line="360" w:lineRule="auto"/>
        <w:jc w:val="both"/>
        <w:rPr>
          <w:rFonts w:ascii="仿宋_GB2312" w:eastAsia="仿宋_GB2312" w:hint="eastAsia"/>
        </w:rPr>
      </w:pPr>
      <w:bookmarkStart w:id="82" w:name="_Toc89766418"/>
      <w:r>
        <w:rPr>
          <w:rFonts w:ascii="仿宋_GB2312" w:eastAsia="仿宋_GB2312" w:hint="eastAsia"/>
        </w:rPr>
        <w:t>4.5固体废物综合利用及处理处置技术</w:t>
      </w:r>
      <w:bookmarkEnd w:id="82"/>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固体废物综合利用应符合《固体废物再生利用污染防治技术导则》（HJ1091-2020）要求。</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（1）渣选矿尾矿综合利用技术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火法冶炼熔炼、吹炼过程产生的渣选矿产生的尾矿通常属于一般固体废物，可用于生产建材或除锈，如可作为矿渣水泥的掺和料或售给造船厂作喷砂除锈的载体，还可作为矿坑的回填料使用。污酸处理产生的石膏渣、脱硫石膏渣、湿法冶炼浸出渣经鉴别为一般工业固体废物的可作为生产水泥的添加剂。</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（2）加压氧化浸出法处理硫化砷渣技术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加压氧化浸出技术是将硫化砷渣在高温富氧条件下加压浸出，绝大部分砷、铜离子进入溶液中，其中砷以五价形态存在，根据砷酸与硫酸铜溶解度的差异，浸出液首先冷却结晶出硫酸铜，结晶后液在搅拌槽内通入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搅拌还原，五价砷被还原为三价，二次结晶、酸洗、干燥后得到精制As</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作为商品出售。</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加压氧化浸出法处理硫化砷渣工艺流程见图7。</w:t>
      </w:r>
    </w:p>
    <w:p>
      <w:pPr>
        <w:autoSpaceDE/>
        <w:autoSpaceDN/>
        <w:spacing w:line="360" w:lineRule="auto"/>
        <w:ind w:firstLineChars="200" w:firstLine="600"/>
        <w:jc w:val="both"/>
        <w:rPr>
          <w:rFonts w:ascii="仿宋_GB2312" w:eastAsia="仿宋_GB2312" w:cs="Times New Roman" w:hint="eastAsia"/>
          <w:kern w:val="2"/>
          <w:sz w:val="30"/>
          <w:szCs w:val="30"/>
          <w:lang w:bidi="ar-SA"/>
        </w:rPr>
      </w:pPr>
    </w:p>
    <w:p>
      <w:pPr>
        <w:autoSpaceDE/>
        <w:autoSpaceDN/>
        <w:spacing w:line="360" w:lineRule="auto"/>
        <w:jc w:val="both"/>
        <w:rPr>
          <w:rFonts w:ascii="黑体" w:eastAsia="黑体" w:hint="eastAsia"/>
          <w:sz w:val="28"/>
          <w:szCs w:val="28"/>
        </w:rPr>
      </w:pPr>
      <w:r>
        <w:rPr>
          <w:rFonts w:ascii="黑体" w:eastAsia="黑体"/>
          <w:sz w:val="28"/>
          <w:szCs w:val="28"/>
        </w:rPr>
        <w:drawing>
          <wp:inline distT="0" distB="0" distL="68578" distR="68578">
            <wp:extent cx="5378450" cy="1195705"/>
            <wp:effectExtent l="0" t="0" r="0" b="0"/>
            <wp:docPr id="34" name="图片"/>
            <wp:cNvGraphicFramePr>
              <a:graphicFrameLocks noChangeAspect="1"/>
            </wp:cNvGraphicFramePr>
            <a:graphic>
              <a:graphicData uri="http://schemas.openxmlformats.org/drawingml/2006/picture">
                <pic:pic>
                  <pic:nvPicPr>
                    <pic:cNvPr id="36" name="图片 36"/>
                    <pic:cNvPicPr/>
                  </pic:nvPicPr>
                  <pic:blipFill>
                    <a:blip r:embed="rId14"/>
                    <a:stretch>
                      <a:fillRect/>
                    </a:stretch>
                  </pic:blipFill>
                  <pic:spPr>
                    <a:xfrm rot="0">
                      <a:off x="0" y="0"/>
                      <a:ext cx="5378450" cy="1195705"/>
                    </a:xfrm>
                    <a:prstGeom prst="rect"/>
                    <a:noFill/>
                    <a:ln w="9525" cmpd="sng" cap="flat">
                      <a:noFill/>
                      <a:prstDash val="solid"/>
                      <a:miter/>
                    </a:ln>
                  </pic:spPr>
                </pic:pic>
              </a:graphicData>
            </a:graphic>
          </wp:inline>
        </w:drawing>
      </w:r>
    </w:p>
    <w:p>
      <w:pPr>
        <w:autoSpaceDE/>
        <w:autoSpaceDN/>
        <w:spacing w:line="360" w:lineRule="auto"/>
        <w:ind w:firstLineChars="200" w:firstLine="560"/>
        <w:jc w:val="both"/>
        <w:rPr>
          <w:rFonts w:ascii="仿宋_GB2312" w:eastAsia="仿宋_GB2312" w:hint="eastAsia"/>
          <w:b/>
          <w:bCs/>
          <w:sz w:val="28"/>
          <w:szCs w:val="28"/>
        </w:rPr>
      </w:pPr>
      <w:r>
        <w:rPr>
          <w:rFonts w:ascii="仿宋_GB2312" w:eastAsia="仿宋_GB2312" w:hint="eastAsia"/>
          <w:b/>
          <w:bCs/>
          <w:sz w:val="28"/>
          <w:szCs w:val="28"/>
        </w:rPr>
        <w:t>图7    加压氧化浸出法处理硫化砷渣工艺流程图</w:t>
      </w:r>
    </w:p>
    <w:p>
      <w:pPr>
        <w:autoSpaceDE/>
        <w:autoSpaceDN/>
        <w:spacing w:line="360" w:lineRule="auto"/>
        <w:ind w:firstLineChars="200" w:firstLine="600"/>
        <w:jc w:val="both"/>
        <w:rPr>
          <w:rFonts w:ascii="Times New Roman" w:eastAsia="仿宋_GB2312" w:cs="Times New Roman" w:hAnsi="Times New Roman"/>
          <w:kern w:val="2"/>
          <w:sz w:val="30"/>
          <w:szCs w:val="30"/>
          <w:lang w:bidi="ar-SA"/>
        </w:rPr>
      </w:pP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硫化渣浆化预热温度90～100℃，加压浸出温度150～160℃，加压浸出反应时间5h。砷浸出率&gt;98.5%，砷回收率&gt;98%，铜浸出率&gt;95%。处理每吨砷渣电量消耗840kWh，SO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 xml:space="preserve"> 消耗不大于750Kg。浸出渣含砷&lt;1%，排放酸雾浓度&lt;2mg/m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。该技术可同时回收砷、铜、铋、铼、硫等多种产品。该技术适用于硫化砷渣的综合回收利用。</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加压浸出釜、闪蒸槽、冷却结晶槽、搅拌还原槽产生的酸雾、SO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等采用洗涤塔循环喷淋吸收，吸收液采用2～6%NaOH溶液。</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bookmarkStart w:id="83" w:name="_Toc54799939"/>
      <w:bookmarkStart w:id="84" w:name="_Toc58246163"/>
      <w:bookmarkStart w:id="85" w:name="_Toc89766389"/>
      <w:r>
        <w:rPr>
          <w:rFonts w:ascii="仿宋_GB2312" w:eastAsia="仿宋_GB2312" w:cs="Times New Roman" w:hint="eastAsia"/>
          <w:b/>
          <w:bCs/>
          <w:kern w:val="2"/>
          <w:sz w:val="30"/>
          <w:szCs w:val="30"/>
          <w:lang w:bidi="ar-SA"/>
        </w:rPr>
        <w:t>（3）白烟尘处理技术</w:t>
      </w:r>
      <w:bookmarkEnd w:id="83"/>
      <w:bookmarkEnd w:id="84"/>
      <w:bookmarkEnd w:id="85"/>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火法炼铜烟气处理产生的白烟尘（熔炼烟尘、吹炼烟尘），大部分可返回冶炼生产系统回收利用，部分需开路处理，但应纳入危险废物管理。为综合回收白烟尘中的铅、锌、砷等，常用的流程是白烟尘先经两段浸出，浸出渣外售给铅冶炼厂回收铅。浸出液电积脱铜，电积铜返回熔炼系统。脱铜后的浸出液蒸发结晶得粗制硫酸锌，粗制硫酸锌外售给锌冶炼厂回收锌。结晶母液用SO</w:t>
      </w:r>
      <w:r>
        <w:rPr>
          <w:rFonts w:ascii="仿宋_GB2312" w:eastAsia="仿宋_GB2312" w:cs="Times New Roman" w:hint="eastAsia"/>
          <w:kern w:val="2"/>
          <w:sz w:val="30"/>
          <w:szCs w:val="30"/>
          <w:vertAlign w:val="subscript"/>
          <w:lang w:bidi="ar-SA"/>
        </w:rPr>
        <w:t xml:space="preserve">2 </w:t>
      </w:r>
      <w:r>
        <w:rPr>
          <w:rFonts w:ascii="仿宋_GB2312" w:eastAsia="仿宋_GB2312" w:cs="Times New Roman" w:hint="eastAsia"/>
          <w:kern w:val="2"/>
          <w:sz w:val="30"/>
          <w:szCs w:val="30"/>
          <w:lang w:bidi="ar-SA"/>
        </w:rPr>
        <w:t>还原沉淀砷，得到产品As</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O</w:t>
      </w:r>
      <w:r>
        <w:rPr>
          <w:rFonts w:ascii="仿宋_GB2312" w:eastAsia="仿宋_GB2312" w:cs="Times New Roman" w:hint="eastAsia"/>
          <w:kern w:val="2"/>
          <w:sz w:val="30"/>
          <w:szCs w:val="30"/>
          <w:vertAlign w:val="subscript"/>
          <w:lang w:bidi="ar-SA"/>
        </w:rPr>
        <w:t>3</w:t>
      </w:r>
      <w:r>
        <w:rPr>
          <w:rFonts w:ascii="仿宋_GB2312" w:eastAsia="仿宋_GB2312" w:cs="Times New Roman" w:hint="eastAsia"/>
          <w:kern w:val="2"/>
          <w:sz w:val="30"/>
          <w:szCs w:val="30"/>
          <w:lang w:bidi="ar-SA"/>
        </w:rPr>
        <w:t>。</w:t>
      </w:r>
    </w:p>
    <w:p>
      <w:pPr>
        <w:pStyle w:val="2"/>
        <w:spacing w:before="0" w:after="0" w:line="360" w:lineRule="auto"/>
        <w:jc w:val="both"/>
        <w:rPr>
          <w:rFonts w:ascii="仿宋_GB2312" w:eastAsia="仿宋_GB2312" w:hint="eastAsia"/>
        </w:rPr>
      </w:pPr>
      <w:bookmarkStart w:id="86" w:name="_Toc89766419"/>
      <w:r>
        <w:rPr>
          <w:rFonts w:ascii="仿宋_GB2312" w:eastAsia="仿宋_GB2312" w:hint="eastAsia"/>
        </w:rPr>
        <w:t>4.6噪声治理技术</w:t>
      </w:r>
      <w:bookmarkEnd w:id="86"/>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铜冶炼生产过程噪声源较多，噪声类型也不尽相同，应针对具体情况，主要从三个环节进行治理：根治声源噪声、在传播途径上控制噪声、在接受点进行个体防护。</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根治噪声源。在满足工艺设计的前提下，尽可能选用低噪声设备，采用发声小的装置。</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在传播途径上控制噪声。在设计中，着重从消声、隔声、隔振、减振及吸声上进行考虑，合理布置厂内设施，采取绿化等措施，可降低噪声35dB(A)左右，使噪声得到综合性治理。</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个人防护措施：在工段中设置必要的隔声操作间、控制室等，使室内的噪声符合有关卫生标准。</w:t>
      </w:r>
    </w:p>
    <w:p>
      <w:pPr>
        <w:pStyle w:val="2"/>
        <w:spacing w:before="0" w:after="0" w:line="360" w:lineRule="auto"/>
        <w:jc w:val="both"/>
        <w:rPr>
          <w:rFonts w:ascii="仿宋_GB2312" w:eastAsia="仿宋_GB2312" w:hint="eastAsia"/>
        </w:rPr>
      </w:pPr>
      <w:bookmarkStart w:id="87" w:name="_Toc89766420"/>
      <w:r>
        <w:rPr>
          <w:rFonts w:ascii="仿宋_GB2312" w:eastAsia="仿宋_GB2312" w:hint="eastAsia"/>
        </w:rPr>
        <w:t>4.7污染治理新技术</w:t>
      </w:r>
      <w:bookmarkEnd w:id="87"/>
    </w:p>
    <w:p>
      <w:pPr>
        <w:autoSpaceDE/>
        <w:autoSpaceDN/>
        <w:spacing w:line="360" w:lineRule="auto"/>
        <w:jc w:val="both"/>
        <w:rPr>
          <w:rFonts w:ascii="仿宋_GB2312" w:eastAsia="仿宋_GB2312" w:hint="eastAsia"/>
          <w:b/>
          <w:bCs/>
          <w:sz w:val="30"/>
          <w:szCs w:val="30"/>
        </w:rPr>
      </w:pPr>
      <w:r>
        <w:rPr>
          <w:rFonts w:ascii="仿宋_GB2312" w:eastAsia="仿宋_GB2312" w:hint="eastAsia"/>
          <w:b/>
          <w:bCs/>
          <w:sz w:val="30"/>
          <w:szCs w:val="30"/>
        </w:rPr>
        <w:t>4.7.1烟气除尘新技术</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（1）电袋复合式除尘器技术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袋复合式除尘器技术是将电除尘器与袋式除尘器有机的融为一体，电除尘器与袋式除尘器的优点互相补充，使除尘设备的尺寸减少。对电除尘器而言，粉尘比电阻不再是决定的因素；对袋式除尘器而言，可以实现高气布比下的超高除尘效率，也解决了袋滤室内粉尘再飞散的问题。本技术中袋式除尘器的过滤风速可达3m/min，除尘效率可以达到99.99%以上。</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（2）移动电极型电除尘器技术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移动电极型电除尘器与普通的固定电极型电除尘器的主要区别是除尘电极是移动的。由于是靠旋转刷剥离粉尘，移动电极最突出的特点是粉尘的二次飞扬显著减少，除尘效率提高。同时，移动电极几乎不粘附粉尘，粉尘剥离比较彻底，并有效防止发生反电晕，也可收集高比电阻粉尘。其排放浓度可低于50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（3）高频电源技术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高频电源技术具有重量轻、体积小、除尘效率高、对电网无干扰、节能等优点，成为可替代传统可控硅调压整流装置的电源。高频电源更适合高含尘的烟气，可有效避免电晕闭锁现象发生。也可采取脉冲供电方式，用于高比电阻粉尘收集。</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（4）高温型袋式除尘技术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采用耐高温不锈钢纤维作为过滤材料，能直接处理280～450℃的高温含尘烟气。过滤材料的物理、化学稳定性好，对所处理的烟气性质要求不严，因此滤袋使用寿命长、适用范围广。过滤速度高，可以在1～8m/min内选取，常用过滤速度可以达到常规袋式除尘器的4～5倍。设备性能优良，适用性强。采用超声波吹灰器作为清灰装置，实现了在高温工况下对除尘设备的清灰，而且吹灰器能稳定、连续地运行。采用离线清灰方式，可实现除尘模块离线抢修。</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（5）褶式滤筒除尘技术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褶式滤筒除尘器是一种采用细纱仿黏聚酯长纤维滤料做成的一体化滤筒元件进行过滤的新型除尘器，滤料表面覆PTFE（聚四氟乙烯）膜，实现了表面过滤，效率高达99.99%以上，烟尘排放浓度可低于20mg/m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。因滤筒的特殊结构（滤料为褶皱式），同袋式除尘器相比，滤筒的过滤面积比同尺寸的滤袋增加了数倍。滤筒坚固不易变形，保证了滤料的使用寿命和除尘器的过滤效果。</w:t>
      </w:r>
    </w:p>
    <w:p>
      <w:pPr>
        <w:autoSpaceDE/>
        <w:autoSpaceDN/>
        <w:spacing w:line="360" w:lineRule="auto"/>
        <w:jc w:val="both"/>
        <w:rPr>
          <w:rFonts w:ascii="仿宋_GB2312" w:eastAsia="仿宋_GB2312" w:hint="eastAsia"/>
          <w:b/>
          <w:bCs/>
          <w:sz w:val="30"/>
          <w:szCs w:val="30"/>
        </w:rPr>
      </w:pPr>
      <w:r>
        <w:rPr>
          <w:rFonts w:ascii="仿宋_GB2312" w:eastAsia="仿宋_GB2312" w:hint="eastAsia"/>
          <w:b/>
          <w:bCs/>
          <w:sz w:val="30"/>
          <w:szCs w:val="30"/>
        </w:rPr>
        <w:t>4.7.2脱硫新技术</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（1）等离子体烟气脱硫脱硝技术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等离子体烟气脱硫脱硝技术采用烟气中高压脉冲电晕放电产生的高能活性离子，将烟气中的 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和NOx 氧化为高价的硫氧化物和NOx，最终与水蒸汽和注入反应器的氨反应生成硫酸铵和硝酸铵。等离子体烟气脱硫脱硝的特点是工程投资及运行费用低，能同时脱硫脱硝，产物可以作为肥料，无二次污染。</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（2）生物脱硫技术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生物脱硫是在常温常压下利用需氧、厌氧菌的生物特性，将烟气中的SO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以单质硫的形式分离回收。生物脱硫的运行成本比传统脱硫方式运行费用低30%以上。</w:t>
      </w:r>
    </w:p>
    <w:p>
      <w:pPr>
        <w:autoSpaceDE/>
        <w:autoSpaceDN/>
        <w:spacing w:line="360" w:lineRule="auto"/>
        <w:jc w:val="both"/>
        <w:rPr>
          <w:rFonts w:ascii="仿宋_GB2312" w:eastAsia="仿宋_GB2312" w:hint="eastAsia"/>
          <w:b/>
          <w:bCs/>
          <w:sz w:val="30"/>
          <w:szCs w:val="30"/>
        </w:rPr>
      </w:pPr>
      <w:r>
        <w:rPr>
          <w:rFonts w:ascii="仿宋_GB2312" w:eastAsia="仿宋_GB2312" w:hint="eastAsia"/>
          <w:b/>
          <w:bCs/>
          <w:sz w:val="30"/>
          <w:szCs w:val="30"/>
        </w:rPr>
        <w:t>4.7.3污酸处理处置新技术</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污酸蒸发浓缩+硫化法技术，利用热风将浓度低的污酸蒸发浓缩产出55%的浓缩酸，同时脱除污酸中的氟和氯。浓缩酸用硫化法除去杂质铜、铅、砷后，过滤得到纯净的浓缩酸，返到硫酸生产系统或其他生产系统使用。该法将污酸变成了好酸，提高了硫的回收率；用浓缩代替了加石灰/石灰石，消除了大量石膏渣的生成，避免了石膏渣的污染。</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含氟、氯尾气碱洗后排空，洗涤废液送污水处理站，硫化渣返回系统进一步回收有价金属。该技术适用重金属冶炼烟气净化污酸处理。</w:t>
      </w:r>
    </w:p>
    <w:p>
      <w:pPr>
        <w:autoSpaceDE/>
        <w:autoSpaceDN/>
        <w:spacing w:line="360" w:lineRule="auto"/>
        <w:jc w:val="both"/>
        <w:rPr>
          <w:rFonts w:ascii="仿宋_GB2312" w:eastAsia="仿宋_GB2312" w:hint="eastAsia"/>
          <w:b/>
          <w:bCs/>
          <w:sz w:val="30"/>
          <w:szCs w:val="30"/>
        </w:rPr>
      </w:pPr>
      <w:r>
        <w:rPr>
          <w:rFonts w:ascii="仿宋_GB2312" w:eastAsia="仿宋_GB2312" w:hint="eastAsia"/>
          <w:b/>
          <w:bCs/>
          <w:sz w:val="30"/>
          <w:szCs w:val="30"/>
        </w:rPr>
        <w:t>4.7.4废水处理新技术</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（1）电絮凝法处理重金属废水</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电絮凝法是以铝、铁等金属为阳极，以石墨或其他材料为阴极，在电流作用下，铝、铁等金属离子进入水中与水电解产生的氢氧根形成氢氧化物，氢氧化物絮凝将重金属吸附，生成絮状物，从而使水得到净化。</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该技术具有结构紧凑，占地面积小，不需要使用药剂，维护操作方便，自动化程度高等优点。但该技术电源性能有待改善，目前只适用于处理中低浓度重金属废水，产生的二次固体废弃物较多，易造成二次污染。</w:t>
      </w:r>
    </w:p>
    <w:p>
      <w:pPr>
        <w:autoSpaceDE/>
        <w:autoSpaceDN/>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（2）微生物法处理重金属废水</w:t>
      </w:r>
    </w:p>
    <w:p>
      <w:pPr>
        <w:autoSpaceDE/>
        <w:autoSpaceDN/>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微生物处理法是利用细菌、真菌（酵母）、藻类等生物材料及其生命代谢活动去除或积累</w:t>
      </w:r>
      <w:r>
        <w:rPr>
          <w:rFonts w:ascii="仿宋_GB2312" w:eastAsia="仿宋_GB2312" w:cs="Times New Roman" w:hint="eastAsia"/>
          <w:kern w:val="2"/>
          <w:sz w:val="30"/>
          <w:szCs w:val="30"/>
          <w:lang w:bidi="ar-SA"/>
        </w:rPr>
        <w:fldChar w:fldCharType="begin"/>
      </w:r>
      <w:r>
        <w:instrText>HYPERLINK "http://www.iwatertech.com/solutions/46477.htm"</w:instrText>
      </w:r>
      <w:r>
        <w:rPr>
          <w:rFonts w:ascii="仿宋_GB2312" w:eastAsia="仿宋_GB2312" w:cs="Times New Roman" w:hint="eastAsia"/>
          <w:kern w:val="2"/>
          <w:sz w:val="30"/>
          <w:szCs w:val="30"/>
          <w:lang w:bidi="ar-SA"/>
        </w:rPr>
        <w:fldChar w:fldCharType="separate"/>
      </w:r>
      <w:r>
        <w:rPr>
          <w:rFonts w:ascii="仿宋_GB2312" w:eastAsia="仿宋_GB2312" w:cs="Times New Roman" w:hint="eastAsia"/>
          <w:kern w:val="2"/>
          <w:sz w:val="30"/>
          <w:szCs w:val="30"/>
          <w:lang w:bidi="ar-SA"/>
        </w:rPr>
        <w:t>废水</w:t>
      </w:r>
      <w:r>
        <w:rPr>
          <w:rFonts w:ascii="仿宋_GB2312" w:eastAsia="仿宋_GB2312" w:cs="Times New Roman" w:hint="eastAsia"/>
          <w:kern w:val="2"/>
          <w:sz w:val="30"/>
          <w:szCs w:val="30"/>
          <w:lang w:bidi="ar-SA"/>
        </w:rPr>
        <w:fldChar w:fldCharType="end"/>
      </w:r>
      <w:r>
        <w:rPr>
          <w:rFonts w:ascii="仿宋_GB2312" w:eastAsia="仿宋_GB2312" w:cs="Times New Roman" w:hint="eastAsia"/>
          <w:kern w:val="2"/>
          <w:sz w:val="30"/>
          <w:szCs w:val="30"/>
          <w:lang w:bidi="ar-SA"/>
        </w:rPr>
        <w:t>中的重金属，并通过一定的方法使重金属离子从微生物体内释放出来，从而降低</w:t>
      </w:r>
      <w:r>
        <w:rPr>
          <w:rFonts w:ascii="仿宋_GB2312" w:eastAsia="仿宋_GB2312" w:cs="Times New Roman" w:hint="eastAsia"/>
          <w:kern w:val="2"/>
          <w:sz w:val="30"/>
          <w:szCs w:val="30"/>
          <w:lang w:bidi="ar-SA"/>
        </w:rPr>
        <w:fldChar w:fldCharType="begin"/>
      </w:r>
      <w:r>
        <w:instrText>HYPERLINK "http://www.iwatertech.com/solutions/46477.htm"</w:instrText>
      </w:r>
      <w:r>
        <w:rPr>
          <w:rFonts w:ascii="仿宋_GB2312" w:eastAsia="仿宋_GB2312" w:cs="Times New Roman" w:hint="eastAsia"/>
          <w:kern w:val="2"/>
          <w:sz w:val="30"/>
          <w:szCs w:val="30"/>
          <w:lang w:bidi="ar-SA"/>
        </w:rPr>
        <w:fldChar w:fldCharType="separate"/>
      </w:r>
      <w:r>
        <w:rPr>
          <w:rFonts w:ascii="仿宋_GB2312" w:eastAsia="仿宋_GB2312" w:cs="Times New Roman" w:hint="eastAsia"/>
          <w:kern w:val="2"/>
          <w:sz w:val="30"/>
          <w:szCs w:val="30"/>
          <w:lang w:bidi="ar-SA"/>
        </w:rPr>
        <w:t>废水</w:t>
      </w:r>
      <w:r>
        <w:rPr>
          <w:rFonts w:ascii="仿宋_GB2312" w:eastAsia="仿宋_GB2312" w:cs="Times New Roman" w:hint="eastAsia"/>
          <w:kern w:val="2"/>
          <w:sz w:val="30"/>
          <w:szCs w:val="30"/>
          <w:lang w:bidi="ar-SA"/>
        </w:rPr>
        <w:fldChar w:fldCharType="end"/>
      </w:r>
      <w:r>
        <w:rPr>
          <w:rFonts w:ascii="仿宋_GB2312" w:eastAsia="仿宋_GB2312" w:cs="Times New Roman" w:hint="eastAsia"/>
          <w:kern w:val="2"/>
          <w:sz w:val="30"/>
          <w:szCs w:val="30"/>
          <w:lang w:bidi="ar-SA"/>
        </w:rPr>
        <w:t>中重金属离子的浓度。微生物法处理重金属废水主要通过吸附作用及沉淀作用。微生物法处理重金属废水与传统的物理化学方法相比有以下优点：运行费用低，生成的化学或生物污泥量少；去除极低浓度重金属离子的效率高；操作pH及温度范围宽(pH3-9，温度4-90℃)；高吸附率，高选择性。技术研发重点集中在菌种的分离提取、基因工程菌的构造、混合菌的培养、优势菌的筛选、培养、驯化等方面。</w:t>
      </w:r>
    </w:p>
    <w:p>
      <w:pPr>
        <w:pStyle w:val="1"/>
        <w:spacing w:before="0" w:line="360" w:lineRule="auto"/>
        <w:ind w:left="0" w:firstLine="0"/>
        <w:jc w:val="both"/>
        <w:rPr>
          <w:rFonts w:ascii="黑体" w:eastAsia="黑体" w:hint="eastAsia"/>
          <w:sz w:val="32"/>
          <w:szCs w:val="32"/>
        </w:rPr>
      </w:pPr>
      <w:bookmarkStart w:id="88" w:name="_Toc89766421"/>
      <w:r>
        <w:rPr>
          <w:rFonts w:ascii="黑体" w:eastAsia="黑体" w:hint="eastAsia"/>
          <w:sz w:val="32"/>
          <w:szCs w:val="32"/>
        </w:rPr>
        <w:t>5、环境管理要求</w:t>
      </w:r>
      <w:bookmarkEnd w:id="88"/>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"_Toc51914778"</w:instrText>
      </w:r>
      <w:r>
        <w:rPr>
          <w:rFonts w:ascii="仿宋_GB2312" w:eastAsia="仿宋_GB2312" w:hint="eastAsia"/>
        </w:rPr>
        <w:fldChar w:fldCharType="separate"/>
      </w:r>
      <w:bookmarkStart w:id="89" w:name="_Toc89766422"/>
      <w:r>
        <w:rPr>
          <w:rFonts w:ascii="仿宋_GB2312" w:eastAsia="仿宋_GB2312" w:hint="eastAsia"/>
        </w:rPr>
        <w:t>5.1生产现场管理</w:t>
      </w:r>
      <w:r>
        <w:rPr>
          <w:rFonts w:ascii="仿宋_GB2312" w:eastAsia="仿宋_GB2312" w:hint="eastAsia"/>
        </w:rPr>
        <w:fldChar w:fldCharType="end"/>
      </w:r>
      <w:bookmarkEnd w:id="89"/>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（1）制定污染治理操作规程，记录污染治理设施运行及检修情况，确保治理设施常年正常运行。</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（2）确保污染治理措施执行“三同时”，检查、监督全厂环保设施的正常高效运行，使各项治理设施达到设计要求。</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（3）企业应当建立健全危险废物产生、收集、贮存运输、利用、处置全过程的污染环境防治责任制度。</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（4）加强环保知识宣传教育，提高职工环境意识，把环境意识贯彻到每个职工的日常生产、生活中。</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（5）及时推广、应用污染治理先进技术和经验。</w:t>
      </w:r>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"_Toc51914779"</w:instrText>
      </w:r>
      <w:r>
        <w:rPr>
          <w:rFonts w:ascii="仿宋_GB2312" w:eastAsia="仿宋_GB2312" w:hint="eastAsia"/>
        </w:rPr>
        <w:fldChar w:fldCharType="separate"/>
      </w:r>
      <w:bookmarkStart w:id="90" w:name="_Toc89766423"/>
      <w:r>
        <w:rPr>
          <w:rFonts w:ascii="仿宋_GB2312" w:eastAsia="仿宋_GB2312" w:hint="eastAsia"/>
        </w:rPr>
        <w:t>5.2环保管理组织体系</w:t>
      </w:r>
      <w:r>
        <w:rPr>
          <w:rFonts w:ascii="仿宋_GB2312" w:eastAsia="仿宋_GB2312" w:hint="eastAsia"/>
        </w:rPr>
        <w:fldChar w:fldCharType="end"/>
      </w:r>
      <w:bookmarkEnd w:id="90"/>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铜冶炼企业所在园区应设立专门的环保管理机构，统一负责园区环保日常监管。从建设项目立项到建成后的运行都贯穿环境的制约，园区应配备专职、专业人员负责日常环境管理和“三废”处理，建立企业领导、环境管理部门、厂区负责人和专职环保员组成的环境管理责任体系。</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铜冶炼企业设置完善的环保组织体系，健全环保规章制度，规范环保台账系统（包括污染治理设施运行和危险废物管理等），记录每天的废水、废气处理设施运行、加药、电耗、维修情况，污染物监测台账规范完备，制定危险废物管理计划，如实记录危险废物的产生、贮存及处置情况。</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环保机构除执行各项有关环境保护工作的指令外，还应接受当地生态环境局的检查监督，组织环境监测及统计工作，配合上级部门对本企业污染防治设施进行检查验收，定期与不定期地上报各项管理工作地执行情况以及各项有关环境参数、污染源排放指标，建立污染源及厂区周围环境质量监测数据档案，定期编写环境简报，制定年度计划和长远规划，为区域整体环境控制服务。</w:t>
      </w:r>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"_Toc51914780"</w:instrText>
      </w:r>
      <w:r>
        <w:rPr>
          <w:rFonts w:ascii="仿宋_GB2312" w:eastAsia="仿宋_GB2312" w:hint="eastAsia"/>
        </w:rPr>
        <w:fldChar w:fldCharType="separate"/>
      </w:r>
      <w:bookmarkStart w:id="91" w:name="_Toc89766424"/>
      <w:r>
        <w:rPr>
          <w:rFonts w:ascii="仿宋_GB2312" w:eastAsia="仿宋_GB2312" w:hint="eastAsia"/>
        </w:rPr>
        <w:t>5.3内部环境监测</w:t>
      </w:r>
      <w:r>
        <w:rPr>
          <w:rFonts w:ascii="仿宋_GB2312" w:eastAsia="仿宋_GB2312" w:hint="eastAsia"/>
        </w:rPr>
        <w:fldChar w:fldCharType="end"/>
      </w:r>
      <w:bookmarkEnd w:id="91"/>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铜冶炼企业应建设规范化排污口和地下水监测井，按相关要求安装污染物自动监测及视频监控设备，并与当地生态环境部门联网。</w:t>
      </w:r>
    </w:p>
    <w:p>
      <w:pPr>
        <w:spacing w:line="360" w:lineRule="auto"/>
        <w:ind w:firstLineChars="200" w:firstLine="600"/>
        <w:jc w:val="both"/>
        <w:rPr>
          <w:rFonts w:ascii="仿宋_GB2312" w:eastAsia="仿宋_GB2312" w:hint="eastAsia"/>
        </w:rPr>
      </w:pPr>
      <w:r>
        <w:rPr>
          <w:rFonts w:ascii="仿宋_GB2312" w:eastAsia="仿宋_GB2312" w:cs="Times New Roman" w:hint="eastAsia"/>
          <w:kern w:val="2"/>
          <w:sz w:val="30"/>
          <w:szCs w:val="30"/>
          <w:lang w:bidi="ar-SA"/>
        </w:rPr>
        <w:t>铜冶炼企业应</w:t>
      </w:r>
      <w:r>
        <w:rPr>
          <w:rFonts w:ascii="仿宋_GB2312" w:eastAsia="仿宋_GB2312" w:cs="Times New Roman" w:hint="eastAsia"/>
          <w:kern w:val="30"/>
          <w:sz w:val="30"/>
          <w:szCs w:val="30"/>
          <w:lang w:bidi="ar-SA"/>
        </w:rPr>
        <w:t>根据《排污单位自行监测技术指南 有色金属工业》（HJ989-2018）、《工业企业土壤和地下水自行监测技术指南（试行）》（HJ1209-2021）等要求，制定自行监测方案，对废气、废水、环境空气、土壤、地下水等项目开展自行监测。</w:t>
      </w:r>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"_Toc51914781"</w:instrText>
      </w:r>
      <w:r>
        <w:rPr>
          <w:rFonts w:ascii="仿宋_GB2312" w:eastAsia="仿宋_GB2312" w:hint="eastAsia"/>
        </w:rPr>
        <w:fldChar w:fldCharType="separate"/>
      </w:r>
      <w:bookmarkStart w:id="92" w:name="_Toc89766425"/>
      <w:r>
        <w:rPr>
          <w:rFonts w:ascii="仿宋_GB2312" w:eastAsia="仿宋_GB2312" w:hint="eastAsia"/>
        </w:rPr>
        <w:t>5.4环保台账</w:t>
      </w:r>
      <w:r>
        <w:rPr>
          <w:rFonts w:ascii="仿宋_GB2312" w:eastAsia="仿宋_GB2312" w:hint="eastAsia"/>
        </w:rPr>
        <w:fldChar w:fldCharType="end"/>
      </w:r>
      <w:bookmarkEnd w:id="92"/>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（1）相关档案齐全，每日的废水、废气处理设施运行、加药、电耗及维修记录、污染物监测台帐规范完备。</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建立危险废物管理台账及申报制度，如实记录危险废物贮存、利用处置相关情况；制定危险废物管理计划并报县级以上生态环境部门备案；通过省固废管理信息平台进行危险废物申报登记，如实申报危险废物种类、产生量、流向、贮存、处置等有关资料。</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（3）危险废物应委托具有相应危险废物经营资质的单位利用处置，执行危险废物转移计划审批和转移电子联单制度。</w:t>
      </w:r>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"_Toc51914782"</w:instrText>
      </w:r>
      <w:r>
        <w:rPr>
          <w:rFonts w:ascii="仿宋_GB2312" w:eastAsia="仿宋_GB2312" w:hint="eastAsia"/>
        </w:rPr>
        <w:fldChar w:fldCharType="separate"/>
      </w:r>
      <w:bookmarkStart w:id="93" w:name="_Toc89766426"/>
      <w:r>
        <w:rPr>
          <w:rFonts w:ascii="仿宋_GB2312" w:eastAsia="仿宋_GB2312" w:hint="eastAsia"/>
        </w:rPr>
        <w:t>5.5环境应急管理</w:t>
      </w:r>
      <w:r>
        <w:rPr>
          <w:rFonts w:ascii="仿宋_GB2312" w:eastAsia="仿宋_GB2312" w:hint="eastAsia"/>
        </w:rPr>
        <w:fldChar w:fldCharType="end"/>
      </w:r>
      <w:bookmarkEnd w:id="93"/>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（1）铜冶炼企业应按照《突发环境事件应急管理办法》相关要求履行义务。</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铜冶炼企业应按要求编制突发环境事件风险应急预案并进行备案，预案具备可操作性，并及时更新完善；建立应急组织体系，按照预案要求组织环境安全隐患排查治理、配备相应的应急物资与设备，定期开展突发环境事件应急演练。</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铜冶炼企业应设置应急事故水池，应急事故水池应符合环评文件及批复、应急预案要求，并做好防渗漏处理，确保环境安全。应急事故水池位置合理，能够自流式或确保事故状态下顺利收集事故产生的废水，日常保持足够容量，并做好防渗漏处理，确保环境安全。</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（4）雨、污排放口应设置应急阀门，有专人负责阀门切换，保证泄漏物、受污染的消防水和雨水排入应急事故水池。</w:t>
      </w:r>
    </w:p>
    <w:p>
      <w:pPr>
        <w:pStyle w:val="2"/>
        <w:spacing w:before="0" w:after="0" w:line="360" w:lineRule="auto"/>
        <w:jc w:val="both"/>
        <w:rPr>
          <w:rFonts w:ascii="仿宋_GB2312" w:eastAsia="仿宋_GB2312" w:hint="eastAsia"/>
        </w:rPr>
      </w:pPr>
      <w:r>
        <w:rPr>
          <w:rFonts w:ascii="仿宋_GB2312" w:eastAsia="仿宋_GB2312" w:hint="eastAsia"/>
        </w:rPr>
        <w:fldChar w:fldCharType="begin"/>
      </w:r>
      <w:r>
        <w:instrText>HYPERLINK  \l "_Toc51914783"</w:instrText>
      </w:r>
      <w:r>
        <w:rPr>
          <w:rFonts w:ascii="仿宋_GB2312" w:eastAsia="仿宋_GB2312" w:hint="eastAsia"/>
        </w:rPr>
        <w:fldChar w:fldCharType="separate"/>
      </w:r>
      <w:bookmarkStart w:id="94" w:name="_Toc89766427"/>
      <w:r>
        <w:rPr>
          <w:rFonts w:ascii="仿宋_GB2312" w:eastAsia="仿宋_GB2312" w:hint="eastAsia"/>
        </w:rPr>
        <w:t>5.6信息化建设</w:t>
      </w:r>
      <w:r>
        <w:rPr>
          <w:rFonts w:ascii="仿宋_GB2312" w:eastAsia="仿宋_GB2312" w:hint="eastAsia"/>
        </w:rPr>
        <w:fldChar w:fldCharType="end"/>
      </w:r>
      <w:bookmarkEnd w:id="94"/>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鼓励铜冶炼企业建设环境信息化管理系统，与省生态云平台互联互通，实时进行危险废物种类、数量、去向等信息的申报。在重点产废工艺环节、环境风险敏感点、污染源总排口等关键部位安装污染源在线监测、工况监控及视频监控等设备，实时采集产污、治污及排污环节数据。</w:t>
      </w:r>
    </w:p>
    <w:p>
      <w:pPr>
        <w:pStyle w:val="1"/>
        <w:spacing w:before="0" w:line="360" w:lineRule="auto"/>
        <w:ind w:left="0" w:firstLine="0"/>
        <w:jc w:val="both"/>
        <w:rPr>
          <w:rFonts w:ascii="黑体" w:eastAsia="黑体" w:hint="eastAsia"/>
          <w:sz w:val="32"/>
          <w:szCs w:val="32"/>
        </w:rPr>
      </w:pPr>
      <w:bookmarkStart w:id="95" w:name="_Toc89766428"/>
      <w:r>
        <w:rPr>
          <w:rFonts w:ascii="黑体" w:eastAsia="黑体" w:hint="eastAsia"/>
          <w:sz w:val="32"/>
          <w:szCs w:val="32"/>
        </w:rPr>
        <w:t>6、环境</w:t>
      </w:r>
      <w:bookmarkEnd w:id="95"/>
      <w:r>
        <w:rPr>
          <w:rFonts w:ascii="黑体" w:eastAsia="黑体" w:hint="eastAsia"/>
          <w:sz w:val="32"/>
          <w:szCs w:val="32"/>
        </w:rPr>
        <w:t>监管</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w:t>
      </w:r>
      <w:r>
        <w:rPr>
          <w:rFonts w:ascii="仿宋_GB2312" w:eastAsia="仿宋_GB2312" w:cs="Times New Roman" w:hint="eastAsia"/>
          <w:b/>
          <w:bCs/>
          <w:kern w:val="2"/>
          <w:sz w:val="30"/>
          <w:szCs w:val="30"/>
          <w:lang w:bidi="ar-SA"/>
        </w:rPr>
        <w:t>铜冶炼企业</w:t>
      </w:r>
      <w:r>
        <w:rPr>
          <w:rFonts w:ascii="仿宋_GB2312" w:eastAsia="仿宋_GB2312" w:cs="Times New Roman" w:hint="eastAsia"/>
          <w:kern w:val="2"/>
          <w:sz w:val="30"/>
          <w:szCs w:val="30"/>
          <w:lang w:bidi="ar-SA"/>
        </w:rPr>
        <w:t>及所在的园区应设立专门的环保管理机构，负责企业及园区日常环境管理工作。</w:t>
      </w:r>
    </w:p>
    <w:p>
      <w:pPr>
        <w:adjustRightInd w:val="0"/>
        <w:snapToGrid w:val="0"/>
        <w:spacing w:line="360" w:lineRule="auto"/>
        <w:ind w:firstLineChars="200" w:firstLine="600"/>
        <w:jc w:val="both"/>
        <w:rPr>
          <w:rFonts w:ascii="仿宋_GB2312" w:eastAsia="仿宋_GB2312" w:cs="Times New Roman" w:hint="eastAsia"/>
          <w:kern w:val="30"/>
          <w:sz w:val="30"/>
          <w:szCs w:val="30"/>
          <w:lang w:bidi="ar-SA"/>
        </w:rPr>
      </w:pPr>
      <w:r>
        <w:rPr>
          <w:rFonts w:ascii="仿宋_GB2312" w:eastAsia="仿宋_GB2312" w:cs="Times New Roman" w:hint="eastAsia"/>
          <w:kern w:val="30"/>
          <w:sz w:val="30"/>
          <w:szCs w:val="30"/>
          <w:lang w:bidi="ar-SA"/>
        </w:rPr>
        <w:t>（2）</w:t>
      </w:r>
      <w:r>
        <w:rPr>
          <w:rFonts w:ascii="仿宋_GB2312" w:eastAsia="仿宋_GB2312" w:cs="Times New Roman" w:hint="eastAsia"/>
          <w:b/>
          <w:bCs/>
          <w:kern w:val="30"/>
          <w:sz w:val="30"/>
          <w:szCs w:val="30"/>
          <w:lang w:bidi="ar-SA"/>
        </w:rPr>
        <w:t>铜冶炼企业</w:t>
      </w:r>
      <w:r>
        <w:rPr>
          <w:rFonts w:ascii="仿宋_GB2312" w:eastAsia="仿宋_GB2312" w:cs="Times New Roman" w:hint="eastAsia"/>
          <w:kern w:val="30"/>
          <w:sz w:val="30"/>
          <w:szCs w:val="30"/>
          <w:lang w:bidi="ar-SA"/>
        </w:rPr>
        <w:t>应依法对厂区采取防渗漏措施，对地下水污染实施分区防控，做好重点防渗区、一般防渗区、简单防渗区的污染防渗工作。</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w:t>
      </w:r>
      <w:r>
        <w:rPr>
          <w:rFonts w:ascii="仿宋_GB2312" w:eastAsia="仿宋_GB2312" w:cs="Times New Roman" w:hint="eastAsia"/>
          <w:b/>
          <w:bCs/>
          <w:kern w:val="2"/>
          <w:sz w:val="30"/>
          <w:szCs w:val="30"/>
          <w:lang w:bidi="ar-SA"/>
        </w:rPr>
        <w:t>铜冶炼企业</w:t>
      </w:r>
      <w:r>
        <w:rPr>
          <w:rFonts w:ascii="仿宋_GB2312" w:eastAsia="仿宋_GB2312" w:cs="Times New Roman" w:hint="eastAsia"/>
          <w:kern w:val="2"/>
          <w:sz w:val="30"/>
          <w:szCs w:val="30"/>
          <w:lang w:bidi="ar-SA"/>
        </w:rPr>
        <w:t>应及时公开有关排污信息，自觉接受公众监督。未依法公开或者不如实公开有关环境信息的，当地生态环境主管部门责令公开，依法处以罚款，并予以公告。</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w:t>
      </w:r>
      <w:r>
        <w:rPr>
          <w:rFonts w:ascii="仿宋_GB2312" w:eastAsia="仿宋_GB2312" w:cs="Times New Roman" w:hint="eastAsia"/>
          <w:b/>
          <w:bCs/>
          <w:kern w:val="2"/>
          <w:sz w:val="30"/>
          <w:szCs w:val="30"/>
          <w:lang w:bidi="ar-SA"/>
        </w:rPr>
        <w:t>园区管理机构</w:t>
      </w:r>
      <w:r>
        <w:rPr>
          <w:rFonts w:ascii="仿宋_GB2312" w:eastAsia="仿宋_GB2312" w:cs="Times New Roman" w:hint="eastAsia"/>
          <w:kern w:val="2"/>
          <w:sz w:val="30"/>
          <w:szCs w:val="30"/>
          <w:lang w:bidi="ar-SA"/>
        </w:rPr>
        <w:t>应加快推进园区和重点企业监管平台建设，实现企业在线监测、生产能耗、污染治理设施、运行工况等数据实时传输，加强集成数据应用和分析，完善企业电子档案，提升信息化管理水平。</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（5）</w:t>
      </w:r>
      <w:r>
        <w:rPr>
          <w:rFonts w:ascii="仿宋_GB2312" w:eastAsia="仿宋_GB2312" w:cs="Times New Roman" w:hint="eastAsia"/>
          <w:b/>
          <w:bCs/>
          <w:kern w:val="2"/>
          <w:sz w:val="30"/>
          <w:szCs w:val="30"/>
          <w:lang w:bidi="ar-SA"/>
        </w:rPr>
        <w:t>当地生态环境部门</w:t>
      </w:r>
      <w:r>
        <w:rPr>
          <w:rFonts w:ascii="仿宋_GB2312" w:eastAsia="仿宋_GB2312" w:cs="Times New Roman" w:hint="eastAsia"/>
          <w:kern w:val="2"/>
          <w:sz w:val="30"/>
          <w:szCs w:val="30"/>
          <w:lang w:bidi="ar-SA"/>
        </w:rPr>
        <w:t>应加强企业环保信息管理，建立完善的企业项目审批、环保设施建设、竣工验收、日常检查、监测结果等档案。</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（6）</w:t>
      </w:r>
      <w:r>
        <w:rPr>
          <w:rFonts w:ascii="仿宋_GB2312" w:eastAsia="仿宋_GB2312" w:cs="Times New Roman" w:hint="eastAsia"/>
          <w:b/>
          <w:bCs/>
          <w:kern w:val="2"/>
          <w:sz w:val="30"/>
          <w:szCs w:val="30"/>
          <w:lang w:bidi="ar-SA"/>
        </w:rPr>
        <w:t>当地生态环境部门</w:t>
      </w:r>
      <w:r>
        <w:rPr>
          <w:rFonts w:ascii="仿宋_GB2312" w:eastAsia="仿宋_GB2312" w:cs="Times New Roman" w:hint="eastAsia"/>
          <w:kern w:val="2"/>
          <w:sz w:val="30"/>
          <w:szCs w:val="30"/>
          <w:lang w:bidi="ar-SA"/>
        </w:rPr>
        <w:t>应定期开展铜冶炼企业的污水排放口、雨水排放口及周边环境的监督性监测，还应将土壤、地下水纳入监测范围。</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（7）</w:t>
      </w:r>
      <w:r>
        <w:rPr>
          <w:rFonts w:ascii="仿宋_GB2312" w:eastAsia="仿宋_GB2312" w:cs="Times New Roman" w:hint="eastAsia"/>
          <w:b/>
          <w:bCs/>
          <w:kern w:val="2"/>
          <w:sz w:val="30"/>
          <w:szCs w:val="30"/>
          <w:lang w:bidi="ar-SA"/>
        </w:rPr>
        <w:t>当地生态环境部门</w:t>
      </w:r>
      <w:r>
        <w:rPr>
          <w:rFonts w:ascii="仿宋_GB2312" w:eastAsia="仿宋_GB2312" w:cs="Times New Roman" w:hint="eastAsia"/>
          <w:kern w:val="2"/>
          <w:sz w:val="30"/>
          <w:szCs w:val="30"/>
          <w:lang w:bidi="ar-SA"/>
        </w:rPr>
        <w:t>应加强现场执法，对违法排污的企业，除依法实施行政处罚外，由实施行政处罚的生态环境部门推送至省政务数据汇聚共享平台，供金融监管部门纳入企业征信系统。</w:t>
      </w:r>
    </w:p>
    <w:p>
      <w:pPr>
        <w:spacing w:line="360" w:lineRule="auto"/>
        <w:ind w:firstLineChars="200" w:firstLine="600"/>
        <w:jc w:val="both"/>
        <w:rPr>
          <w:rFonts w:ascii="黑体" w:eastAsia="黑体" w:hint="eastAsia"/>
          <w:b/>
          <w:sz w:val="32"/>
          <w:szCs w:val="32"/>
        </w:rPr>
      </w:pPr>
      <w:r>
        <w:rPr>
          <w:rFonts w:ascii="仿宋_GB2312" w:eastAsia="仿宋_GB2312" w:cs="Times New Roman" w:hint="eastAsia"/>
          <w:kern w:val="2"/>
          <w:sz w:val="30"/>
          <w:szCs w:val="30"/>
          <w:lang w:bidi="ar-SA"/>
        </w:rPr>
        <w:t>（8）铜冶炼企业相对集中的所在地</w:t>
      </w:r>
      <w:r>
        <w:rPr>
          <w:rFonts w:ascii="仿宋_GB2312" w:eastAsia="仿宋_GB2312" w:cs="Times New Roman" w:hint="eastAsia"/>
          <w:b/>
          <w:bCs/>
          <w:kern w:val="2"/>
          <w:sz w:val="30"/>
          <w:szCs w:val="30"/>
          <w:lang w:bidi="ar-SA"/>
        </w:rPr>
        <w:t>县（市、区）政府</w:t>
      </w:r>
      <w:r>
        <w:rPr>
          <w:rFonts w:ascii="仿宋_GB2312" w:eastAsia="仿宋_GB2312" w:cs="Times New Roman" w:hint="eastAsia"/>
          <w:kern w:val="2"/>
          <w:sz w:val="30"/>
          <w:szCs w:val="30"/>
          <w:lang w:bidi="ar-SA"/>
        </w:rPr>
        <w:t>应组织自然资源、生态环境、农业农村等部门对关停、搬迁铜冶炼企业原厂区开展土地重金属残留监测和土壤调查评估，落实超标土壤的修复和限用措施。</w:t>
      </w:r>
      <w:bookmarkStart w:id="96" w:name="_Toc89766429"/>
    </w:p>
    <w:p>
      <w:pPr>
        <w:pStyle w:val="1"/>
        <w:spacing w:before="0" w:line="360" w:lineRule="auto"/>
        <w:ind w:left="0" w:firstLine="0"/>
        <w:jc w:val="both"/>
        <w:rPr>
          <w:rFonts w:ascii="黑体" w:eastAsia="黑体" w:hint="eastAsia"/>
          <w:sz w:val="32"/>
          <w:szCs w:val="32"/>
        </w:rPr>
      </w:pPr>
      <w:r>
        <w:rPr>
          <w:rFonts w:ascii="黑体" w:eastAsia="黑体" w:hint="eastAsia"/>
          <w:sz w:val="32"/>
          <w:szCs w:val="32"/>
        </w:rPr>
        <w:t>7、注意事项</w:t>
      </w:r>
      <w:bookmarkEnd w:id="96"/>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加强生产设备的使用、维护和维修管理，保证设备运行正常；建立岗位操作规程和生产管理制度，制定应急预案，定期对员工进行技术培训和演练；重视污染物检测和计量管理工作，定期进行全厂物料平衡测试。</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（2）除尘设备的进出口设置温度、压力检测装置及含尘量检测孔。送制酸工序的烟气在风机出口处设流量和SO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检测装置；采用袋式除尘器或电除尘器时，采取防止烟气结露的可靠措施，防止除尘设备及管道的腐蚀。</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（3）烟囱入口烟气的温度、压力、流量、含尘量、SO</w:t>
      </w:r>
      <w:r>
        <w:rPr>
          <w:rFonts w:ascii="仿宋_GB2312" w:eastAsia="仿宋_GB2312" w:cs="Times New Roman" w:hint="eastAsia"/>
          <w:kern w:val="2"/>
          <w:sz w:val="30"/>
          <w:szCs w:val="30"/>
          <w:vertAlign w:val="subscript"/>
          <w:lang w:bidi="ar-SA"/>
        </w:rPr>
        <w:t>2</w:t>
      </w:r>
      <w:r>
        <w:rPr>
          <w:rFonts w:ascii="仿宋_GB2312" w:eastAsia="仿宋_GB2312" w:cs="Times New Roman" w:hint="eastAsia"/>
          <w:kern w:val="2"/>
          <w:sz w:val="30"/>
          <w:szCs w:val="30"/>
          <w:lang w:bidi="ar-SA"/>
        </w:rPr>
        <w:t>浓度、重金属含量等进行定期监测或在线连续监测；收尘系统在负压下操作，以避免有害气体的溢出。排灰设备密闭良好，防止二次污染；含砷烟尘宜采用就地包装后外运的方法，不得采用正压气力输送的方法。</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（4）维护在线连续监测除尘设备的运行状态；烟气脱硫系统出口均应安装烟气连续监测装置；废气净化设备的进出口应设置采样孔，对处理的废气进行定期的检测。</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5）重视节水管理，分别设计雨污分流系统、清浊分流系统，并加强各类废水的处理与回用，根据用水水质要求进行水的梯级利用，尽量减少排放；废水管线和处理设施做防渗处理，防止有害污染物进入土壤环境；收集并处理硫酸场地初期雨水、生产厂区其他场地初期雨水。</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（6）开展自行监测点位、监测频率、监测指标应满足《排污单位自行监测技术指南 有色金属工业》（HJ989-2018）、《工业企业土壤和地下水自行监测技术指南（试行）》（HJ1209-2021）要求。依法建立并落实自行监测、隐患排查和有毒有害物质报告制度、做好质量保证和质量控制，记录和保存监测数据，并向社会公开监测结果。</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7）各类固体废物应分类堆存，暂存场地进行地面硬化并加盖雨蓬和围墙，落实“三防”措施；湿法堆浸场地、溶液池及尾矿池应采取严格的防渗漏措施。宜设置事故贮液池用于贮存大暴雨引起的尾矿池泄漏液。上述场地周边宜设置暴雨泄洪通道；对固体废物处置场渗滤液及其处理后的排放水、地下水、大气进行定期监测；建设单位应对固体废物处置设施建立日常检查维护制度。</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8）厂内危险废物暂存场所应国家标准规范要求进行建设，并在场外设置标识。采用专用封闭车辆装运危险废物，以防止沿途遗撒；制订危险废物管理计划并通过省固体废物环境监管平台向当地生态环境部门备案。</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9）危险化学品使用、贮存等应符合《化学危险物品安全管理条例》等安全生产法律法规和标准要求，危险化学品应实行专库专存，库房、生产作业场所符合安全生产条件，并具有防台风、洪水、火灾等自然灾害功能。</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（10）危险化学品贮罐周围应建有围堰，围堰高度应满足应急管理要求。</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（11）加强厂区与污水处理站管理部门之间的沟通，建立排水排污通报签字制度，以减少铜冶炼厂区集中排水排污对废水处理的影响，提高废水处理的稳定性。</w:t>
      </w:r>
    </w:p>
    <w:p>
      <w:pPr>
        <w:spacing w:line="360" w:lineRule="auto"/>
        <w:ind w:firstLineChars="200" w:firstLine="600"/>
        <w:jc w:val="both"/>
        <w:rPr>
          <w:rFonts w:ascii="仿宋_GB2312" w:eastAsia="仿宋_GB2312" w:cs="Times New Roman" w:hint="eastAsia"/>
          <w:kern w:val="2"/>
          <w:sz w:val="30"/>
          <w:szCs w:val="30"/>
          <w:lang w:bidi="ar-SA"/>
        </w:rPr>
      </w:pPr>
    </w:p>
    <w:p>
      <w:pPr>
        <w:jc w:val="both"/>
        <w:rPr>
          <w:rFonts w:cs="华文中宋" w:hint="eastAsia"/>
          <w:kern w:val="2"/>
          <w:sz w:val="44"/>
          <w:szCs w:val="44"/>
          <w:lang w:bidi="ar-SA"/>
        </w:rPr>
      </w:pPr>
      <w:r>
        <w:rPr>
          <w:rFonts w:ascii="仿宋" w:eastAsia="仿宋" w:cs="Times New Roman" w:hint="eastAsia"/>
          <w:b/>
          <w:bCs/>
          <w:sz w:val="30"/>
          <w:szCs w:val="30"/>
          <w:lang w:bidi="ar-SA"/>
        </w:rPr>
        <w:br w:type="page"/>
      </w:r>
      <w:r>
        <w:rPr>
          <w:rFonts w:ascii="黑体" w:eastAsia="黑体" w:cs="华文中宋" w:hint="eastAsia"/>
          <w:kern w:val="2"/>
          <w:sz w:val="32"/>
          <w:szCs w:val="32"/>
          <w:lang w:bidi="ar-SA"/>
        </w:rPr>
        <w:t>附录</w:t>
      </w:r>
    </w:p>
    <w:p>
      <w:pPr>
        <w:autoSpaceDE/>
        <w:autoSpaceDN/>
        <w:adjustRightInd w:val="0"/>
        <w:snapToGrid w:val="0"/>
        <w:spacing w:line="300" w:lineRule="auto"/>
        <w:jc w:val="center"/>
        <w:rPr>
          <w:rFonts w:ascii="华文中宋" w:eastAsia="华文中宋" w:cs="华文中宋"/>
          <w:b/>
          <w:kern w:val="2"/>
          <w:sz w:val="44"/>
          <w:szCs w:val="44"/>
          <w:lang w:bidi="ar-SA"/>
        </w:rPr>
      </w:pPr>
    </w:p>
    <w:p>
      <w:pPr>
        <w:autoSpaceDE/>
        <w:autoSpaceDN/>
        <w:adjustRightInd w:val="0"/>
        <w:snapToGrid w:val="0"/>
        <w:spacing w:line="300" w:lineRule="auto"/>
        <w:jc w:val="center"/>
        <w:rPr>
          <w:rFonts w:ascii="华文中宋" w:eastAsia="华文中宋" w:cs="华文中宋" w:hint="eastAsia"/>
          <w:b/>
          <w:kern w:val="2"/>
          <w:sz w:val="44"/>
          <w:szCs w:val="44"/>
          <w:lang w:bidi="ar-SA"/>
        </w:rPr>
      </w:pPr>
      <w:r>
        <w:rPr>
          <w:rFonts w:ascii="华文中宋" w:eastAsia="华文中宋" w:cs="华文中宋" w:hint="eastAsia"/>
          <w:b/>
          <w:kern w:val="2"/>
          <w:sz w:val="44"/>
          <w:szCs w:val="44"/>
          <w:lang w:bidi="ar-SA"/>
        </w:rPr>
        <w:t>典  型  案  例</w:t>
      </w:r>
    </w:p>
    <w:p>
      <w:pPr>
        <w:spacing w:line="360" w:lineRule="auto"/>
        <w:jc w:val="both"/>
        <w:outlineLvl w:val="0"/>
        <w:rPr>
          <w:rFonts w:ascii="仿宋" w:eastAsia="仿宋" w:cs="Times New Roman" w:hint="eastAsia"/>
          <w:b/>
          <w:bCs/>
          <w:sz w:val="32"/>
          <w:szCs w:val="32"/>
          <w:lang w:bidi="ar-SA"/>
        </w:rPr>
      </w:pPr>
    </w:p>
    <w:p>
      <w:pPr>
        <w:pStyle w:val="1"/>
        <w:spacing w:before="0" w:line="360" w:lineRule="auto"/>
        <w:ind w:left="0" w:firstLineChars="200" w:firstLine="640"/>
        <w:jc w:val="both"/>
        <w:rPr>
          <w:rFonts w:ascii="黑体" w:eastAsia="黑体" w:hint="eastAsia"/>
          <w:sz w:val="32"/>
          <w:szCs w:val="32"/>
        </w:rPr>
      </w:pPr>
      <w:bookmarkStart w:id="97" w:name="_Toc89766430"/>
      <w:r>
        <w:rPr>
          <w:rFonts w:ascii="黑体" w:eastAsia="黑体" w:hint="eastAsia"/>
          <w:sz w:val="32"/>
          <w:szCs w:val="32"/>
        </w:rPr>
        <w:t>一、紫金铜业有限公司污染防治技术典型</w:t>
      </w:r>
      <w:bookmarkEnd w:id="97"/>
      <w:r>
        <w:rPr>
          <w:rFonts w:ascii="黑体" w:eastAsia="黑体" w:hint="eastAsia"/>
          <w:sz w:val="32"/>
          <w:szCs w:val="32"/>
        </w:rPr>
        <w:t>案例</w:t>
      </w:r>
    </w:p>
    <w:p>
      <w:pPr>
        <w:spacing w:line="360" w:lineRule="auto"/>
        <w:ind w:firstLineChars="200" w:firstLine="560"/>
        <w:jc w:val="both"/>
        <w:rPr>
          <w:rFonts w:ascii="Times New Roman" w:eastAsia="仿宋_GB2312" w:cs="Times New Roman" w:hAnsi="Times New Roman"/>
          <w:kern w:val="2"/>
          <w:sz w:val="28"/>
          <w:szCs w:val="28"/>
          <w:lang w:bidi="ar-SA"/>
        </w:rPr>
      </w:pPr>
      <w:r>
        <w:rPr>
          <w:rFonts w:ascii="Times New Roman" w:eastAsia="仿宋_GB2312" w:cs="Times New Roman" w:hAnsi="Times New Roman" w:hint="eastAsia"/>
          <w:kern w:val="2"/>
          <w:sz w:val="28"/>
          <w:szCs w:val="28"/>
          <w:lang w:bidi="ar-SA"/>
        </w:rPr>
        <w:t>紫金铜业有限公司位于上杭县</w:t>
      </w:r>
      <w:r>
        <w:rPr>
          <w:rFonts w:ascii="Times New Roman" w:eastAsia="仿宋_GB2312" w:cs="Times New Roman" w:hAnsi="Times New Roman"/>
          <w:kern w:val="2"/>
          <w:sz w:val="28"/>
          <w:szCs w:val="28"/>
          <w:lang w:bidi="ar-SA"/>
        </w:rPr>
        <w:t>蛟洋</w:t>
      </w:r>
      <w:r>
        <w:rPr>
          <w:rFonts w:ascii="Times New Roman" w:eastAsia="仿宋_GB2312" w:cs="Times New Roman" w:hAnsi="Times New Roman" w:hint="eastAsia"/>
          <w:kern w:val="2"/>
          <w:sz w:val="28"/>
          <w:szCs w:val="28"/>
          <w:lang w:bidi="ar-SA"/>
        </w:rPr>
        <w:t>金铜产业园区，占地面积67万平方米。</w:t>
      </w:r>
      <w:r>
        <w:rPr>
          <w:rFonts w:ascii="Times New Roman" w:eastAsia="仿宋_GB2312" w:cs="Times New Roman" w:hAnsi="Times New Roman"/>
          <w:kern w:val="2"/>
          <w:sz w:val="28"/>
          <w:szCs w:val="28"/>
          <w:lang w:bidi="ar-SA"/>
        </w:rPr>
        <w:t>采用</w:t>
      </w:r>
      <w:r>
        <w:rPr>
          <w:rFonts w:ascii="Times New Roman" w:eastAsia="仿宋_GB2312" w:cs="Times New Roman" w:hAnsi="Times New Roman" w:hint="eastAsia"/>
          <w:kern w:val="2"/>
          <w:sz w:val="28"/>
          <w:szCs w:val="28"/>
          <w:lang w:bidi="ar-SA"/>
        </w:rPr>
        <w:t>“</w:t>
      </w:r>
      <w:r>
        <w:rPr>
          <w:rFonts w:ascii="Times New Roman" w:eastAsia="仿宋_GB2312" w:cs="Times New Roman" w:hAnsi="Times New Roman"/>
          <w:kern w:val="2"/>
          <w:sz w:val="28"/>
          <w:szCs w:val="28"/>
          <w:lang w:bidi="ar-SA"/>
        </w:rPr>
        <w:t>蒸汽干燥+闪速熔炼+PS转炉吹炼+阳极炉火法精炼+电解精炼</w:t>
      </w:r>
      <w:r>
        <w:rPr>
          <w:rFonts w:ascii="Times New Roman" w:eastAsia="仿宋_GB2312" w:cs="Times New Roman" w:hAnsi="Times New Roman" w:hint="eastAsia"/>
          <w:kern w:val="2"/>
          <w:sz w:val="28"/>
          <w:szCs w:val="28"/>
          <w:lang w:bidi="ar-SA"/>
        </w:rPr>
        <w:t>”</w:t>
      </w:r>
      <w:r>
        <w:rPr>
          <w:rFonts w:ascii="Times New Roman" w:eastAsia="仿宋_GB2312" w:cs="Times New Roman" w:hAnsi="Times New Roman"/>
          <w:kern w:val="2"/>
          <w:sz w:val="28"/>
          <w:szCs w:val="28"/>
          <w:lang w:bidi="ar-SA"/>
        </w:rPr>
        <w:t>+冶炼烟气制酸、冶炼炉渣选矿处理</w:t>
      </w:r>
      <w:r>
        <w:rPr>
          <w:rFonts w:ascii="Times New Roman" w:eastAsia="仿宋_GB2312" w:cs="Times New Roman" w:hAnsi="Times New Roman" w:hint="eastAsia"/>
          <w:kern w:val="2"/>
          <w:sz w:val="28"/>
          <w:szCs w:val="28"/>
          <w:lang w:bidi="ar-SA"/>
        </w:rPr>
        <w:t>”</w:t>
      </w:r>
      <w:r>
        <w:rPr>
          <w:rFonts w:ascii="Times New Roman" w:eastAsia="仿宋_GB2312" w:cs="Times New Roman" w:hAnsi="Times New Roman"/>
          <w:kern w:val="2"/>
          <w:sz w:val="28"/>
          <w:szCs w:val="28"/>
          <w:lang w:bidi="ar-SA"/>
        </w:rPr>
        <w:t>工艺</w:t>
      </w:r>
      <w:r>
        <w:rPr>
          <w:rFonts w:ascii="Times New Roman" w:eastAsia="仿宋_GB2312" w:cs="Times New Roman" w:hAnsi="Times New Roman" w:hint="eastAsia"/>
          <w:kern w:val="2"/>
          <w:sz w:val="28"/>
          <w:szCs w:val="28"/>
          <w:lang w:bidi="ar-SA"/>
        </w:rPr>
        <w:t>，主体工程铜冶炼系统，配套工程主要包括电解系统、制酸系统、缓冷系统、渣选系统、末端物料处理系统、原辅料储运系统及公用系统、污水处理等公辅设施等。年产阴极铜40万吨</w:t>
      </w:r>
      <w:r>
        <w:rPr>
          <w:rFonts w:ascii="Times New Roman" w:eastAsia="仿宋_GB2312" w:cs="Times New Roman" w:hAnsi="Times New Roman"/>
          <w:kern w:val="2"/>
          <w:sz w:val="28"/>
          <w:szCs w:val="28"/>
          <w:lang w:bidi="ar-SA"/>
        </w:rPr>
        <w:t>、</w:t>
      </w:r>
      <w:r>
        <w:rPr>
          <w:rFonts w:ascii="Times New Roman" w:eastAsia="仿宋_GB2312" w:cs="Times New Roman" w:hAnsi="Times New Roman" w:hint="eastAsia"/>
          <w:kern w:val="2"/>
          <w:sz w:val="28"/>
          <w:szCs w:val="28"/>
          <w:lang w:bidi="ar-SA"/>
        </w:rPr>
        <w:t>硫酸91.9万吨。</w:t>
      </w:r>
    </w:p>
    <w:p>
      <w:pPr>
        <w:keepNext/>
        <w:keepLines/>
        <w:widowControl w:val="0"/>
        <w:spacing w:line="360" w:lineRule="auto"/>
        <w:ind w:firstLineChars="200" w:firstLine="600"/>
        <w:jc w:val="both"/>
        <w:outlineLvl w:val="1"/>
        <w:rPr>
          <w:rFonts w:ascii="楷体_GB2312" w:eastAsia="楷体_GB2312" w:cs="Times New Roman" w:hint="eastAsia"/>
          <w:b/>
          <w:bCs/>
          <w:sz w:val="30"/>
          <w:szCs w:val="30"/>
          <w:lang w:bidi="ar-SA"/>
        </w:rPr>
      </w:pPr>
      <w:bookmarkStart w:id="98" w:name="_Toc89281250"/>
      <w:bookmarkStart w:id="99" w:name="_Toc89766431"/>
      <w:r>
        <w:rPr>
          <w:rFonts w:ascii="楷体_GB2312" w:eastAsia="楷体_GB2312" w:cs="Times New Roman" w:hint="eastAsia"/>
          <w:b/>
          <w:bCs/>
          <w:sz w:val="30"/>
          <w:szCs w:val="30"/>
          <w:lang w:bidi="ar-SA"/>
        </w:rPr>
        <w:t>（一）烟气污染防治技术</w:t>
      </w:r>
      <w:bookmarkEnd w:id="98"/>
      <w:bookmarkEnd w:id="99"/>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1.精矿干燥烟气除尘治理措施。</w:t>
      </w:r>
      <w:r>
        <w:rPr>
          <w:rFonts w:ascii="Times New Roman" w:eastAsia="仿宋_GB2312" w:cs="Times New Roman" w:hAnsi="Times New Roman" w:hint="eastAsia"/>
          <w:kern w:val="2"/>
          <w:sz w:val="30"/>
          <w:szCs w:val="30"/>
          <w:lang w:bidi="ar-SA"/>
        </w:rPr>
        <w:t>精矿干燥烟气采用“重力沉尘室+布袋除尘器+环集脱硫系统（钠碱法+电除雾）”的净化措施，净化后烟气经120m环集烟囱排放。</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2.环境集烟治理措施。</w:t>
      </w:r>
      <w:r>
        <w:rPr>
          <w:rFonts w:ascii="Times New Roman" w:eastAsia="仿宋_GB2312" w:cs="Times New Roman" w:hAnsi="Times New Roman" w:hint="eastAsia"/>
          <w:kern w:val="2"/>
          <w:sz w:val="30"/>
          <w:szCs w:val="30"/>
          <w:lang w:bidi="ar-SA"/>
        </w:rPr>
        <w:t>转炉、闪速炉、阳极炉的环集烟气，经过布袋除尘器除尘后，采用“活性焦干法脱硫系统+动力波洗涤+电除雾系统+新增高速高效湿式电除雾器”的净化措施，净化后经120m环集烟囱排放。</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3.制酸尾气处理。</w:t>
      </w:r>
      <w:r>
        <w:rPr>
          <w:rFonts w:ascii="Times New Roman" w:eastAsia="仿宋_GB2312" w:cs="Times New Roman" w:hAnsi="Times New Roman" w:hint="eastAsia"/>
          <w:kern w:val="2"/>
          <w:sz w:val="30"/>
          <w:szCs w:val="30"/>
          <w:lang w:bidi="ar-SA"/>
        </w:rPr>
        <w:t>制酸尾气脱硫工艺为“双氧水脱硫”处理</w:t>
      </w:r>
      <w:r>
        <w:rPr>
          <w:rFonts w:ascii="Times New Roman" w:eastAsia="仿宋_GB2312" w:cs="Times New Roman" w:hAnsi="Times New Roman"/>
          <w:kern w:val="2"/>
          <w:sz w:val="30"/>
          <w:szCs w:val="30"/>
          <w:lang w:bidi="ar-SA"/>
        </w:rPr>
        <w:t>工艺</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处理后的尾气</w:t>
      </w:r>
      <w:r>
        <w:rPr>
          <w:rFonts w:ascii="Times New Roman" w:eastAsia="仿宋_GB2312" w:cs="Times New Roman" w:hAnsi="Times New Roman" w:hint="eastAsia"/>
          <w:kern w:val="2"/>
          <w:sz w:val="30"/>
          <w:szCs w:val="30"/>
          <w:lang w:bidi="ar-SA"/>
        </w:rPr>
        <w:t>经新建60m</w:t>
      </w:r>
      <w:r>
        <w:rPr>
          <w:rFonts w:ascii="Times New Roman" w:eastAsia="仿宋_GB2312" w:cs="Times New Roman" w:hAnsi="Times New Roman"/>
          <w:kern w:val="2"/>
          <w:sz w:val="30"/>
          <w:szCs w:val="30"/>
          <w:lang w:bidi="ar-SA"/>
        </w:rPr>
        <w:t>高</w:t>
      </w:r>
      <w:r>
        <w:rPr>
          <w:rFonts w:ascii="Times New Roman" w:eastAsia="仿宋_GB2312" w:cs="Times New Roman" w:hAnsi="Times New Roman" w:hint="eastAsia"/>
          <w:kern w:val="2"/>
          <w:sz w:val="30"/>
          <w:szCs w:val="30"/>
          <w:lang w:bidi="ar-SA"/>
        </w:rPr>
        <w:t>烟囱排放。</w:t>
      </w:r>
    </w:p>
    <w:p>
      <w:pPr>
        <w:spacing w:line="360" w:lineRule="auto"/>
        <w:ind w:firstLineChars="200" w:firstLine="600"/>
        <w:jc w:val="both"/>
        <w:rPr>
          <w:rFonts w:ascii="Times New Roman" w:eastAsia="仿宋_GB2312" w:cs="Times New Roman" w:hAnsi="Times New Roman"/>
          <w:kern w:val="2"/>
          <w:sz w:val="30"/>
          <w:szCs w:val="30"/>
          <w:lang w:bidi="ar-SA"/>
          <w:highlight w:val="yellow"/>
        </w:rPr>
      </w:pPr>
      <w:r>
        <w:rPr>
          <w:rFonts w:ascii="仿宋_GB2312" w:eastAsia="仿宋_GB2312" w:cs="Times New Roman" w:hint="eastAsia"/>
          <w:b/>
          <w:bCs/>
          <w:kern w:val="2"/>
          <w:sz w:val="30"/>
          <w:szCs w:val="30"/>
          <w:lang w:bidi="ar-SA"/>
        </w:rPr>
        <w:t>4.电解酸雾净化措施。</w:t>
      </w:r>
      <w:r>
        <w:rPr>
          <w:rFonts w:ascii="Times New Roman" w:eastAsia="仿宋_GB2312" w:cs="Times New Roman" w:hAnsi="Times New Roman" w:hint="eastAsia"/>
          <w:kern w:val="2"/>
          <w:sz w:val="30"/>
          <w:szCs w:val="30"/>
          <w:lang w:bidi="ar-SA"/>
        </w:rPr>
        <w:t>产生的酸雾由集气罩收集，先经玻璃钢酸雾净化回收器回收硫酸，再经过玻璃钢酸雾净化塔用6%的NaOH碱液喷淋洗涤中和，</w:t>
      </w:r>
      <w:r>
        <w:rPr>
          <w:rFonts w:ascii="Times New Roman" w:eastAsia="仿宋_GB2312" w:cs="Times New Roman" w:hAnsi="Times New Roman"/>
          <w:kern w:val="2"/>
          <w:sz w:val="30"/>
          <w:szCs w:val="30"/>
          <w:lang w:bidi="ar-SA"/>
        </w:rPr>
        <w:t>净化后经15m高排气筒排放。</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废酸处理工段产出的H</w:t>
      </w:r>
      <w:r>
        <w:rPr>
          <w:rFonts w:ascii="Times New Roman" w:eastAsia="仿宋_GB2312" w:cs="Times New Roman" w:hAnsi="Times New Roman"/>
          <w:kern w:val="2"/>
          <w:sz w:val="30"/>
          <w:szCs w:val="30"/>
          <w:vertAlign w:val="subscript"/>
          <w:lang w:bidi="ar-SA"/>
        </w:rPr>
        <w:t>2</w:t>
      </w:r>
      <w:r>
        <w:rPr>
          <w:rFonts w:ascii="Times New Roman" w:eastAsia="仿宋_GB2312" w:cs="Times New Roman" w:hAnsi="Times New Roman"/>
          <w:kern w:val="2"/>
          <w:sz w:val="30"/>
          <w:szCs w:val="30"/>
          <w:lang w:bidi="ar-SA"/>
        </w:rPr>
        <w:t>S气体送入除害塔，经Na</w:t>
      </w:r>
      <w:r>
        <w:rPr>
          <w:rFonts w:ascii="Times New Roman" w:eastAsia="仿宋_GB2312" w:cs="Times New Roman" w:hAnsi="Times New Roman"/>
          <w:kern w:val="2"/>
          <w:sz w:val="30"/>
          <w:szCs w:val="30"/>
          <w:vertAlign w:val="subscript"/>
          <w:lang w:bidi="ar-SA"/>
        </w:rPr>
        <w:t>2</w:t>
      </w:r>
      <w:r>
        <w:rPr>
          <w:rFonts w:ascii="Times New Roman" w:eastAsia="仿宋_GB2312" w:cs="Times New Roman" w:hAnsi="Times New Roman"/>
          <w:kern w:val="2"/>
          <w:sz w:val="30"/>
          <w:szCs w:val="30"/>
          <w:lang w:bidi="ar-SA"/>
        </w:rPr>
        <w:t>S</w:t>
      </w:r>
      <w:r>
        <w:rPr>
          <w:rFonts w:ascii="Times New Roman" w:eastAsia="仿宋_GB2312" w:cs="Times New Roman" w:hAnsi="Times New Roman" w:hint="eastAsia"/>
          <w:kern w:val="2"/>
          <w:sz w:val="30"/>
          <w:szCs w:val="30"/>
          <w:lang w:bidi="ar-SA"/>
        </w:rPr>
        <w:t>、NaOH</w:t>
      </w:r>
      <w:r>
        <w:rPr>
          <w:rFonts w:ascii="Times New Roman" w:eastAsia="仿宋_GB2312" w:cs="Times New Roman" w:hAnsi="Times New Roman"/>
          <w:kern w:val="2"/>
          <w:sz w:val="30"/>
          <w:szCs w:val="30"/>
          <w:lang w:bidi="ar-SA"/>
        </w:rPr>
        <w:t>溶液吸收后由除害塔顶部排气筒排放，排气筒高度为15m。硫化氢除害塔出口硫化氢符合《恶臭污染物排放标准》（GB14554-93）表 2 中标准限值</w:t>
      </w:r>
      <w:r>
        <w:rPr>
          <w:rFonts w:ascii="Times New Roman" w:eastAsia="仿宋_GB2312" w:cs="Times New Roman" w:hAnsi="Times New Roman" w:hint="eastAsia"/>
          <w:kern w:val="2"/>
          <w:sz w:val="30"/>
          <w:szCs w:val="30"/>
          <w:lang w:bidi="ar-SA"/>
        </w:rPr>
        <w:t>。</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经过玻璃钢酸雾净化塔处理后硫酸雾平均浓度</w:t>
      </w:r>
      <w:r>
        <w:rPr>
          <w:rFonts w:ascii="Times New Roman" w:eastAsia="仿宋_GB2312" w:cs="Times New Roman" w:hAnsi="Times New Roman"/>
          <w:kern w:val="2"/>
          <w:sz w:val="30"/>
          <w:szCs w:val="30"/>
          <w:lang w:bidi="ar-SA"/>
        </w:rPr>
        <w:t>4.5mg/m</w:t>
      </w:r>
      <w:r>
        <w:rPr>
          <w:rFonts w:ascii="Times New Roman" w:eastAsia="仿宋_GB2312" w:cs="Times New Roman" w:hAnsi="Times New Roman"/>
          <w:kern w:val="2"/>
          <w:sz w:val="30"/>
          <w:szCs w:val="30"/>
          <w:vertAlign w:val="superscript"/>
          <w:lang w:bidi="ar-SA"/>
        </w:rPr>
        <w:t>3</w:t>
      </w:r>
      <w:r>
        <w:rPr>
          <w:rFonts w:ascii="Times New Roman" w:eastAsia="仿宋_GB2312" w:cs="Times New Roman" w:hAnsi="Times New Roman" w:hint="eastAsia"/>
          <w:kern w:val="2"/>
          <w:sz w:val="30"/>
          <w:szCs w:val="30"/>
          <w:lang w:bidi="ar-SA"/>
        </w:rPr>
        <w:t>，满足《铜、镍、钴工业污染物排放标准》（</w:t>
      </w:r>
      <w:r>
        <w:rPr>
          <w:rFonts w:ascii="Times New Roman" w:eastAsia="仿宋_GB2312" w:cs="Times New Roman" w:hAnsi="Times New Roman"/>
          <w:kern w:val="2"/>
          <w:sz w:val="30"/>
          <w:szCs w:val="30"/>
          <w:lang w:bidi="ar-SA"/>
        </w:rPr>
        <w:t>GB25467-2010</w:t>
      </w:r>
      <w:r>
        <w:rPr>
          <w:rFonts w:ascii="Times New Roman" w:eastAsia="仿宋_GB2312" w:cs="Times New Roman" w:hAnsi="Times New Roman" w:hint="eastAsia"/>
          <w:kern w:val="2"/>
          <w:sz w:val="30"/>
          <w:szCs w:val="30"/>
          <w:lang w:bidi="ar-SA"/>
        </w:rPr>
        <w:t>）排放标准限值。</w:t>
      </w:r>
    </w:p>
    <w:p>
      <w:pPr>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5.转运除尘措施</w:t>
      </w:r>
    </w:p>
    <w:p>
      <w:pPr>
        <w:spacing w:line="360" w:lineRule="auto"/>
        <w:ind w:firstLineChars="200" w:firstLine="600"/>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转炉加料皮带、精矿仓楼面、混合精矿筛分、熔剂接料斗、转炉熔剂仓、烟尘破碎及输送、精矿库至蒸汽干燥机进料胶带头等处均设置除尘系统，采用布袋除尘器除尘。</w:t>
      </w:r>
      <w:r>
        <w:rPr>
          <w:rFonts w:ascii="Times New Roman" w:eastAsia="仿宋_GB2312" w:cs="Times New Roman" w:hAnsi="Times New Roman"/>
          <w:kern w:val="2"/>
          <w:sz w:val="30"/>
          <w:szCs w:val="30"/>
          <w:lang w:bidi="ar-SA"/>
        </w:rPr>
        <w:drawing>
          <wp:inline distT="0" distB="0" distL="68578" distR="68578">
            <wp:extent cx="2430145" cy="1521460"/>
            <wp:effectExtent l="0" t="0" r="0" b="0"/>
            <wp:docPr id="37" name="图片"/>
            <wp:cNvGraphicFramePr>
              <a:graphicFrameLocks noChangeAspect="1"/>
            </wp:cNvGraphicFramePr>
            <a:graphic>
              <a:graphicData uri="http://schemas.openxmlformats.org/drawingml/2006/picture">
                <pic:pic>
                  <pic:nvPicPr>
                    <pic:cNvPr id="39" name="图片 39"/>
                    <pic:cNvPicPr/>
                  </pic:nvPicPr>
                  <pic:blipFill>
                    <a:blip r:embed="rId15"/>
                    <a:stretch>
                      <a:fillRect/>
                    </a:stretch>
                  </pic:blipFill>
                  <pic:spPr>
                    <a:xfrm rot="0">
                      <a:off x="0" y="0"/>
                      <a:ext cx="2430145" cy="1521460"/>
                    </a:xfrm>
                    <a:prstGeom prst="rect"/>
                    <a:noFill/>
                    <a:ln w="9525" cmpd="sng" cap="flat">
                      <a:noFill/>
                      <a:prstDash val="solid"/>
                      <a:miter/>
                    </a:ln>
                  </pic:spPr>
                </pic:pic>
              </a:graphicData>
            </a:graphic>
          </wp:inline>
        </w:drawing>
      </w:r>
      <w:r>
        <w:rPr>
          <w:rFonts w:ascii="Times New Roman" w:eastAsia="仿宋_GB2312" w:cs="Times New Roman" w:hAnsi="Times New Roman" w:hint="eastAsia"/>
          <w:kern w:val="2"/>
          <w:sz w:val="30"/>
          <w:szCs w:val="30"/>
          <w:lang w:bidi="ar-SA"/>
        </w:rPr>
        <w:t xml:space="preserve">  </w:t>
      </w:r>
      <w:r>
        <w:drawing>
          <wp:inline distT="0" distB="0" distL="68578" distR="68578">
            <wp:extent cx="2441575" cy="1516377"/>
            <wp:effectExtent l="0" t="0" r="0" b="0"/>
            <wp:docPr id="40" name="图片"/>
            <wp:cNvGraphicFramePr>
              <a:graphicFrameLocks noChangeAspect="1"/>
            </wp:cNvGraphicFramePr>
            <a:graphic>
              <a:graphicData uri="http://schemas.openxmlformats.org/drawingml/2006/picture">
                <pic:pic>
                  <pic:nvPicPr>
                    <pic:cNvPr id="42" name="图片 42"/>
                    <pic:cNvPicPr/>
                  </pic:nvPicPr>
                  <pic:blipFill>
                    <a:blip r:embed="rId16"/>
                    <a:stretch>
                      <a:fillRect/>
                    </a:stretch>
                  </pic:blipFill>
                  <pic:spPr>
                    <a:xfrm rot="0">
                      <a:off x="0" y="0"/>
                      <a:ext cx="2441575" cy="1516377"/>
                    </a:xfrm>
                    <a:prstGeom prst="rect"/>
                    <a:noFill/>
                    <a:ln w="9525" cmpd="sng" cap="flat">
                      <a:noFill/>
                      <a:prstDash val="solid"/>
                      <a:miter/>
                    </a:ln>
                  </pic:spPr>
                </pic:pic>
              </a:graphicData>
            </a:graphic>
          </wp:inline>
        </w:drawing>
      </w:r>
    </w:p>
    <w:p>
      <w:pPr>
        <w:spacing w:line="360" w:lineRule="auto"/>
        <w:ind w:left="0" w:firstLineChars="550" w:firstLine="1320"/>
        <w:jc w:val="both"/>
        <w:rPr>
          <w:rFonts w:ascii="Times New Roman" w:eastAsia="仿宋_GB2312" w:cs="Times New Roman" w:hAnsi="Times New Roman"/>
          <w:kern w:val="2"/>
          <w:sz w:val="24"/>
          <w:szCs w:val="24"/>
          <w:lang w:bidi="ar-SA"/>
        </w:rPr>
      </w:pPr>
      <w:r>
        <w:rPr>
          <w:rFonts w:ascii="Times New Roman" w:eastAsia="仿宋_GB2312" w:cs="Times New Roman" w:hAnsi="Times New Roman" w:hint="eastAsia"/>
          <w:kern w:val="2"/>
          <w:sz w:val="24"/>
          <w:szCs w:val="24"/>
          <w:lang w:bidi="ar-SA"/>
        </w:rPr>
        <w:t>蒸汽干燥                          环境集烟</w:t>
      </w:r>
    </w:p>
    <w:p>
      <w:pPr>
        <w:spacing w:line="360" w:lineRule="auto"/>
        <w:jc w:val="both"/>
        <w:rPr>
          <w:rFonts w:ascii="Times New Roman" w:eastAsia="仿宋_GB2312" w:cs="Times New Roman" w:hAnsi="Times New Roman"/>
          <w:kern w:val="2"/>
          <w:sz w:val="24"/>
          <w:szCs w:val="24"/>
          <w:lang w:bidi="ar-SA"/>
        </w:rPr>
      </w:pPr>
      <w:r>
        <w:drawing>
          <wp:inline distT="0" distB="0" distL="68578" distR="68578">
            <wp:extent cx="2511425" cy="1386840"/>
            <wp:effectExtent l="0" t="0" r="0" b="0"/>
            <wp:docPr id="43" name="图片"/>
            <wp:cNvGraphicFramePr>
              <a:graphicFrameLocks noChangeAspect="1"/>
            </wp:cNvGraphicFramePr>
            <a:graphic>
              <a:graphicData uri="http://schemas.openxmlformats.org/drawingml/2006/picture">
                <pic:pic>
                  <pic:nvPicPr>
                    <pic:cNvPr id="45" name="图片 45"/>
                    <pic:cNvPicPr/>
                  </pic:nvPicPr>
                  <pic:blipFill>
                    <a:blip r:embed="rId17"/>
                    <a:stretch>
                      <a:fillRect/>
                    </a:stretch>
                  </pic:blipFill>
                  <pic:spPr>
                    <a:xfrm rot="0">
                      <a:off x="0" y="0"/>
                      <a:ext cx="2511425" cy="1386840"/>
                    </a:xfrm>
                    <a:prstGeom prst="rect"/>
                    <a:noFill/>
                    <a:ln w="9525" cmpd="sng" cap="flat">
                      <a:noFill/>
                      <a:prstDash val="solid"/>
                      <a:miter/>
                    </a:ln>
                  </pic:spPr>
                </pic:pic>
              </a:graphicData>
            </a:graphic>
          </wp:inline>
        </w:drawing>
      </w:r>
      <w:r>
        <w:rPr>
          <w:rFonts w:hint="eastAsia"/>
        </w:rPr>
        <w:t xml:space="preserve">  </w:t>
      </w:r>
      <w:r>
        <w:drawing>
          <wp:inline distT="0" distB="0" distL="68578" distR="68578">
            <wp:extent cx="2292985" cy="1372235"/>
            <wp:effectExtent l="0" t="0" r="0" b="0"/>
            <wp:docPr id="46" name="图片"/>
            <wp:cNvGraphicFramePr>
              <a:graphicFrameLocks noChangeAspect="1"/>
            </wp:cNvGraphicFramePr>
            <a:graphic>
              <a:graphicData uri="http://schemas.openxmlformats.org/drawingml/2006/picture">
                <pic:pic>
                  <pic:nvPicPr>
                    <pic:cNvPr id="48" name="图片 48"/>
                    <pic:cNvPicPr/>
                  </pic:nvPicPr>
                  <pic:blipFill>
                    <a:blip r:embed="rId18"/>
                    <a:stretch>
                      <a:fillRect/>
                    </a:stretch>
                  </pic:blipFill>
                  <pic:spPr>
                    <a:xfrm rot="0">
                      <a:off x="0" y="0"/>
                      <a:ext cx="2292985" cy="1372235"/>
                    </a:xfrm>
                    <a:prstGeom prst="rect"/>
                    <a:noFill/>
                    <a:ln w="9525" cmpd="sng" cap="flat">
                      <a:noFill/>
                      <a:prstDash val="solid"/>
                      <a:miter/>
                    </a:ln>
                  </pic:spPr>
                </pic:pic>
              </a:graphicData>
            </a:graphic>
          </wp:inline>
        </w:drawing>
      </w:r>
    </w:p>
    <w:p>
      <w:pPr>
        <w:spacing w:line="360" w:lineRule="auto"/>
        <w:ind w:left="0" w:firstLineChars="600" w:firstLine="1440"/>
        <w:jc w:val="both"/>
        <w:rPr>
          <w:rFonts w:ascii="Times New Roman" w:eastAsia="仿宋_GB2312" w:cs="Times New Roman" w:hAnsi="Times New Roman"/>
          <w:kern w:val="2"/>
          <w:sz w:val="24"/>
          <w:szCs w:val="24"/>
          <w:lang w:bidi="ar-SA"/>
        </w:rPr>
      </w:pPr>
      <w:r>
        <w:rPr>
          <w:rFonts w:ascii="Times New Roman" w:eastAsia="仿宋_GB2312" w:cs="Times New Roman" w:hAnsi="Times New Roman" w:hint="eastAsia"/>
          <w:kern w:val="2"/>
          <w:sz w:val="24"/>
          <w:szCs w:val="24"/>
          <w:lang w:bidi="ar-SA"/>
        </w:rPr>
        <w:t>硫酸尾气                      电解车间酸雾吸收塔</w:t>
      </w:r>
    </w:p>
    <w:p>
      <w:pPr>
        <w:keepNext/>
        <w:keepLines/>
        <w:widowControl w:val="0"/>
        <w:spacing w:line="360" w:lineRule="auto"/>
        <w:ind w:firstLineChars="200" w:firstLine="600"/>
        <w:jc w:val="both"/>
        <w:outlineLvl w:val="1"/>
        <w:rPr>
          <w:rFonts w:ascii="楷体_GB2312" w:eastAsia="楷体_GB2312" w:cs="Times New Roman" w:hint="eastAsia"/>
          <w:b/>
          <w:bCs/>
          <w:sz w:val="30"/>
          <w:szCs w:val="30"/>
          <w:lang w:bidi="ar-SA"/>
        </w:rPr>
      </w:pPr>
      <w:bookmarkStart w:id="100" w:name="_Toc89281251"/>
      <w:bookmarkStart w:id="101" w:name="_Toc89766432"/>
      <w:r>
        <w:rPr>
          <w:rFonts w:ascii="楷体_GB2312" w:eastAsia="楷体_GB2312" w:cs="Times New Roman" w:hint="eastAsia"/>
          <w:b/>
          <w:bCs/>
          <w:sz w:val="30"/>
          <w:szCs w:val="30"/>
          <w:lang w:bidi="ar-SA"/>
        </w:rPr>
        <w:t>（二）废水的产生及治理</w:t>
      </w:r>
      <w:bookmarkEnd w:id="100"/>
      <w:bookmarkEnd w:id="101"/>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全厂区实行废水分质分流</w:t>
      </w:r>
      <w:r>
        <w:rPr>
          <w:rFonts w:ascii="Times New Roman" w:eastAsia="仿宋_GB2312" w:cs="Times New Roman" w:hAnsi="Times New Roman" w:hint="eastAsia"/>
          <w:kern w:val="2"/>
          <w:sz w:val="30"/>
          <w:szCs w:val="30"/>
          <w:lang w:bidi="ar-SA"/>
        </w:rPr>
        <w:t>。生产</w:t>
      </w:r>
      <w:r>
        <w:rPr>
          <w:rFonts w:ascii="Times New Roman" w:eastAsia="仿宋_GB2312" w:cs="Times New Roman" w:hAnsi="Times New Roman"/>
          <w:kern w:val="2"/>
          <w:sz w:val="30"/>
          <w:szCs w:val="30"/>
          <w:lang w:bidi="ar-SA"/>
        </w:rPr>
        <w:t>废水分为二大类，分别是酸性含重金属离子废水</w:t>
      </w:r>
      <w:r>
        <w:rPr>
          <w:rFonts w:ascii="Times New Roman" w:eastAsia="仿宋_GB2312" w:cs="Times New Roman" w:hAnsi="Times New Roman" w:hint="eastAsia"/>
          <w:kern w:val="2"/>
          <w:sz w:val="30"/>
          <w:szCs w:val="30"/>
          <w:lang w:bidi="ar-SA"/>
        </w:rPr>
        <w:t>和</w:t>
      </w:r>
      <w:r>
        <w:rPr>
          <w:rFonts w:ascii="Times New Roman" w:eastAsia="仿宋_GB2312" w:cs="Times New Roman" w:hAnsi="Times New Roman"/>
          <w:kern w:val="2"/>
          <w:sz w:val="30"/>
          <w:szCs w:val="30"/>
          <w:lang w:bidi="ar-SA"/>
        </w:rPr>
        <w:t>冷却水循环系统排污水</w:t>
      </w:r>
      <w:r>
        <w:rPr>
          <w:rFonts w:ascii="Times New Roman" w:eastAsia="仿宋_GB2312" w:cs="Times New Roman" w:hAnsi="Times New Roman" w:hint="eastAsia"/>
          <w:kern w:val="2"/>
          <w:sz w:val="30"/>
          <w:szCs w:val="30"/>
          <w:lang w:bidi="ar-SA"/>
        </w:rPr>
        <w:t>。</w:t>
      </w:r>
    </w:p>
    <w:p>
      <w:pPr>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1.酸性含重金属废水</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酸性含重金属污水站处理能力3000m</w:t>
      </w:r>
      <w:r>
        <w:rPr>
          <w:rFonts w:ascii="Times New Roman" w:eastAsia="仿宋_GB2312" w:cs="Times New Roman" w:hAnsi="Times New Roman"/>
          <w:kern w:val="2"/>
          <w:sz w:val="30"/>
          <w:szCs w:val="30"/>
          <w:vertAlign w:val="superscript"/>
          <w:lang w:bidi="ar-SA"/>
        </w:rPr>
        <w:t>3</w:t>
      </w:r>
      <w:r>
        <w:rPr>
          <w:rFonts w:ascii="Times New Roman" w:eastAsia="仿宋_GB2312" w:cs="Times New Roman" w:hAnsi="Times New Roman"/>
          <w:kern w:val="2"/>
          <w:sz w:val="30"/>
          <w:szCs w:val="30"/>
          <w:lang w:bidi="ar-SA"/>
        </w:rPr>
        <w:t>/d，处理硫酸车间</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制酸车间</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电解及电解净化液车间产生的生产废水</w:t>
      </w:r>
      <w:r>
        <w:rPr>
          <w:rFonts w:ascii="Times New Roman" w:eastAsia="仿宋_GB2312" w:cs="Times New Roman" w:hAnsi="Times New Roman" w:hint="eastAsia"/>
          <w:kern w:val="2"/>
          <w:sz w:val="30"/>
          <w:szCs w:val="30"/>
          <w:lang w:bidi="ar-SA"/>
        </w:rPr>
        <w:t>。其中硫酸车间产生的废酸，采用硫化钠处理后进入废水处理站。</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废水处理站采用</w:t>
      </w:r>
      <w:r>
        <w:rPr>
          <w:rFonts w:ascii="Times New Roman" w:eastAsia="仿宋_GB2312" w:cs="Times New Roman" w:hAnsi="Times New Roman"/>
          <w:kern w:val="2"/>
          <w:sz w:val="30"/>
          <w:szCs w:val="30"/>
          <w:lang w:bidi="ar-SA"/>
        </w:rPr>
        <w:t>采用石灰石- 石灰两段中和法处理工艺</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经处理达标后全部回用于生产系统。</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烟气洗涤后高浓度废水泵入废酸处理工序，经硫化钠处理回收砷和铜后，进入废水处理工序；废酸处理后液、熔炼区域场面冲洗废水以及熔炼区域初期雨水、硫酸车间低浓度废水、电解车间废水均进入污水调节池，抽送废水处理站处理，采用石灰石中和至pH&gt;3.5、再经一段中和pH至7.0，并氧化曝气将二价铁离子氧化成三价铁离子，与砷絮凝共沉降，二段中和pH至10.5，加聚丙烯酰胺高分子聚合物作为絮凝剂混凝沉淀处理废水。</w:t>
      </w:r>
      <w:r>
        <w:rPr>
          <w:rFonts w:ascii="Times New Roman" w:eastAsia="仿宋_GB2312" w:cs="Times New Roman" w:hAnsi="Times New Roman" w:hint="eastAsia"/>
          <w:kern w:val="2"/>
          <w:sz w:val="30"/>
          <w:szCs w:val="30"/>
          <w:lang w:bidi="ar-SA"/>
        </w:rPr>
        <w:t>处理到《污水综合排放标准</w:t>
      </w:r>
      <w:r>
        <w:rPr>
          <w:rFonts w:ascii="Times New Roman" w:eastAsia="仿宋_GB2312" w:cs="Times New Roman" w:hAnsi="Times New Roman"/>
          <w:kern w:val="2"/>
          <w:sz w:val="30"/>
          <w:szCs w:val="30"/>
          <w:lang w:bidi="ar-SA"/>
        </w:rPr>
        <w:t>（GB8978-1996）</w:t>
      </w:r>
      <w:r>
        <w:rPr>
          <w:rFonts w:ascii="Times New Roman" w:eastAsia="仿宋_GB2312" w:cs="Times New Roman" w:hAnsi="Times New Roman" w:hint="eastAsia"/>
          <w:kern w:val="2"/>
          <w:sz w:val="30"/>
          <w:szCs w:val="30"/>
          <w:lang w:bidi="ar-SA"/>
        </w:rPr>
        <w:t>》一级标准后回用于硫酸车间净化工序和渣包冷却。</w:t>
      </w:r>
    </w:p>
    <w:p>
      <w:pPr>
        <w:tabs>
          <w:tab w:val="left" w:pos="753"/>
        </w:tabs>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2.清净下水</w:t>
      </w:r>
    </w:p>
    <w:p>
      <w:pPr>
        <w:tabs>
          <w:tab w:val="left" w:pos="753"/>
        </w:tabs>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清净下水排放量为84m</w:t>
      </w:r>
      <w:r>
        <w:rPr>
          <w:rFonts w:ascii="Times New Roman" w:eastAsia="仿宋_GB2312" w:cs="Times New Roman" w:hAnsi="Times New Roman" w:hint="eastAsia"/>
          <w:kern w:val="2"/>
          <w:sz w:val="30"/>
          <w:szCs w:val="30"/>
          <w:vertAlign w:val="superscript"/>
          <w:lang w:bidi="ar-SA"/>
        </w:rPr>
        <w:t>3</w:t>
      </w:r>
      <w:r>
        <w:rPr>
          <w:rFonts w:ascii="Times New Roman" w:eastAsia="仿宋_GB2312" w:cs="Times New Roman" w:hAnsi="Times New Roman" w:hint="eastAsia"/>
          <w:kern w:val="2"/>
          <w:sz w:val="30"/>
          <w:szCs w:val="30"/>
          <w:lang w:bidi="ar-SA"/>
        </w:rPr>
        <w:t>/d。根据对清净下水的水质检测结果，清净下水中各因子的浓度均小于《铜、镍、钴工业污染物排放标准》（GB25467-2010）表2（直接排放）标准。</w:t>
      </w:r>
    </w:p>
    <w:p>
      <w:pPr>
        <w:tabs>
          <w:tab w:val="left" w:pos="5776"/>
        </w:tabs>
        <w:jc w:val="both"/>
        <w:rPr>
          <w:sz w:val="20"/>
        </w:rPr>
      </w:pPr>
      <w:r>
        <w:rPr>
          <w:sz w:val="20"/>
        </w:rPr>
        <w:drawing>
          <wp:inline distT="0" distB="0" distL="68578" distR="68578">
            <wp:extent cx="2404745" cy="1541780"/>
            <wp:effectExtent l="0" t="0" r="0" b="0"/>
            <wp:docPr id="49" name="图片"/>
            <wp:cNvGraphicFramePr>
              <a:graphicFrameLocks noChangeAspect="1"/>
            </wp:cNvGraphicFramePr>
            <a:graphic>
              <a:graphicData uri="http://schemas.openxmlformats.org/drawingml/2006/picture">
                <pic:pic>
                  <pic:nvPicPr>
                    <pic:cNvPr id="51" name="图片 51"/>
                    <pic:cNvPicPr/>
                  </pic:nvPicPr>
                  <pic:blipFill>
                    <a:blip r:embed="rId19"/>
                    <a:stretch>
                      <a:fillRect/>
                    </a:stretch>
                  </pic:blipFill>
                  <pic:spPr>
                    <a:xfrm rot="0">
                      <a:off x="0" y="0"/>
                      <a:ext cx="2404745" cy="1541780"/>
                    </a:xfrm>
                    <a:prstGeom prst="rect"/>
                    <a:noFill/>
                    <a:ln w="9525" cmpd="sng" cap="flat">
                      <a:noFill/>
                      <a:prstDash val="solid"/>
                      <a:miter/>
                    </a:ln>
                  </pic:spPr>
                </pic:pic>
              </a:graphicData>
            </a:graphic>
          </wp:inline>
        </w:drawing>
      </w:r>
      <w:r>
        <w:rPr>
          <w:rFonts w:hint="eastAsia"/>
          <w:sz w:val="20"/>
        </w:rPr>
        <w:t xml:space="preserve">  </w:t>
      </w:r>
      <w:r>
        <w:rPr>
          <w:position w:val="8"/>
          <w:sz w:val="20"/>
        </w:rPr>
        <w:drawing>
          <wp:inline distT="0" distB="0" distL="68578" distR="68578">
            <wp:extent cx="2485390" cy="1482725"/>
            <wp:effectExtent l="0" t="0" r="0" b="0"/>
            <wp:docPr id="52" name="图片"/>
            <wp:cNvGraphicFramePr>
              <a:graphicFrameLocks noChangeAspect="1"/>
            </wp:cNvGraphicFramePr>
            <a:graphic>
              <a:graphicData uri="http://schemas.openxmlformats.org/drawingml/2006/picture">
                <pic:pic>
                  <pic:nvPicPr>
                    <pic:cNvPr id="54" name="图片 54"/>
                    <pic:cNvPicPr/>
                  </pic:nvPicPr>
                  <pic:blipFill>
                    <a:blip r:embed="rId20"/>
                    <a:stretch>
                      <a:fillRect/>
                    </a:stretch>
                  </pic:blipFill>
                  <pic:spPr>
                    <a:xfrm rot="0">
                      <a:off x="0" y="0"/>
                      <a:ext cx="2485390" cy="1482725"/>
                    </a:xfrm>
                    <a:prstGeom prst="rect"/>
                    <a:noFill/>
                    <a:ln w="9525" cmpd="sng" cap="flat">
                      <a:noFill/>
                      <a:prstDash val="solid"/>
                      <a:miter/>
                    </a:ln>
                  </pic:spPr>
                </pic:pic>
              </a:graphicData>
            </a:graphic>
          </wp:inline>
        </w:drawing>
      </w:r>
    </w:p>
    <w:p>
      <w:pPr>
        <w:tabs>
          <w:tab w:val="left" w:pos="5304"/>
          <w:tab w:val="left" w:pos="7424"/>
        </w:tabs>
        <w:spacing w:before="173" w:after="3"/>
        <w:ind w:left="1438"/>
        <w:jc w:val="both"/>
        <w:rPr>
          <w:sz w:val="24"/>
          <w:szCs w:val="24"/>
        </w:rPr>
      </w:pPr>
      <w:r>
        <w:rPr>
          <w:sz w:val="24"/>
          <w:szCs w:val="24"/>
        </w:rPr>
        <w:t>工业废水处理系统</w:t>
        <w:tab/>
        <w:t>废酸处理系统</w:t>
      </w:r>
    </w:p>
    <w:p>
      <w:pPr>
        <w:tabs>
          <w:tab w:val="left" w:pos="5776"/>
        </w:tabs>
        <w:jc w:val="both"/>
        <w:rPr>
          <w:sz w:val="20"/>
        </w:rPr>
      </w:pPr>
      <w:r>
        <w:rPr>
          <w:sz w:val="20"/>
        </w:rPr>
        <w:drawing>
          <wp:inline distT="0" distB="0" distL="68578" distR="68578">
            <wp:extent cx="2454910" cy="1505585"/>
            <wp:effectExtent l="0" t="0" r="0" b="0"/>
            <wp:docPr id="55" name="图片"/>
            <wp:cNvGraphicFramePr>
              <a:graphicFrameLocks noChangeAspect="1"/>
            </wp:cNvGraphicFramePr>
            <a:graphic>
              <a:graphicData uri="http://schemas.openxmlformats.org/drawingml/2006/picture">
                <pic:pic>
                  <pic:nvPicPr>
                    <pic:cNvPr id="57" name="图片 57"/>
                    <pic:cNvPicPr/>
                  </pic:nvPicPr>
                  <pic:blipFill>
                    <a:blip r:embed="rId21"/>
                    <a:stretch>
                      <a:fillRect/>
                    </a:stretch>
                  </pic:blipFill>
                  <pic:spPr>
                    <a:xfrm rot="0">
                      <a:off x="0" y="0"/>
                      <a:ext cx="2454910" cy="1505585"/>
                    </a:xfrm>
                    <a:prstGeom prst="rect"/>
                    <a:noFill/>
                    <a:ln w="9525" cmpd="sng" cap="flat">
                      <a:noFill/>
                      <a:prstDash val="solid"/>
                      <a:miter/>
                    </a:ln>
                  </pic:spPr>
                </pic:pic>
              </a:graphicData>
            </a:graphic>
          </wp:inline>
        </w:drawing>
      </w:r>
      <w:r>
        <w:rPr>
          <w:rFonts w:hint="eastAsia"/>
          <w:sz w:val="20"/>
        </w:rPr>
        <w:t xml:space="preserve">  </w:t>
      </w:r>
      <w:r>
        <w:drawing>
          <wp:inline distT="0" distB="0" distL="68578" distR="68578">
            <wp:extent cx="2320925" cy="1505585"/>
            <wp:effectExtent l="0" t="0" r="0" b="0"/>
            <wp:docPr id="58" name="图片"/>
            <wp:cNvGraphicFramePr>
              <a:graphicFrameLocks noChangeAspect="1"/>
            </wp:cNvGraphicFramePr>
            <a:graphic>
              <a:graphicData uri="http://schemas.openxmlformats.org/drawingml/2006/picture">
                <pic:pic>
                  <pic:nvPicPr>
                    <pic:cNvPr id="60" name="图片 60"/>
                    <pic:cNvPicPr/>
                  </pic:nvPicPr>
                  <pic:blipFill>
                    <a:blip r:embed="rId22"/>
                    <a:stretch>
                      <a:fillRect/>
                    </a:stretch>
                  </pic:blipFill>
                  <pic:spPr>
                    <a:xfrm rot="0">
                      <a:off x="0" y="0"/>
                      <a:ext cx="2320925" cy="1505585"/>
                    </a:xfrm>
                    <a:prstGeom prst="rect"/>
                    <a:noFill/>
                    <a:ln w="9525" cmpd="sng" cap="flat">
                      <a:noFill/>
                      <a:prstDash val="solid"/>
                      <a:miter/>
                    </a:ln>
                  </pic:spPr>
                </pic:pic>
              </a:graphicData>
            </a:graphic>
          </wp:inline>
        </w:drawing>
      </w:r>
    </w:p>
    <w:p>
      <w:pPr>
        <w:spacing w:line="360" w:lineRule="auto"/>
        <w:ind w:firstLineChars="500" w:firstLine="1200"/>
        <w:jc w:val="both"/>
        <w:rPr>
          <w:rFonts w:ascii="Times New Roman" w:eastAsia="仿宋_GB2312" w:cs="Times New Roman" w:hAnsi="Times New Roman"/>
          <w:kern w:val="2"/>
          <w:sz w:val="24"/>
          <w:szCs w:val="24"/>
          <w:lang w:bidi="ar-SA"/>
        </w:rPr>
      </w:pPr>
      <w:r>
        <w:rPr>
          <w:sz w:val="24"/>
          <w:szCs w:val="24"/>
        </w:rPr>
        <w:t>石膏渣</w:t>
      </w:r>
      <w:r>
        <w:rPr>
          <w:rFonts w:hint="eastAsia"/>
          <w:sz w:val="24"/>
          <w:szCs w:val="24"/>
        </w:rPr>
        <w:t xml:space="preserve">                         危废暂存仓库</w:t>
      </w:r>
    </w:p>
    <w:p>
      <w:pPr>
        <w:keepNext/>
        <w:keepLines/>
        <w:widowControl w:val="0"/>
        <w:spacing w:line="360" w:lineRule="auto"/>
        <w:ind w:firstLineChars="200" w:firstLine="600"/>
        <w:jc w:val="both"/>
        <w:outlineLvl w:val="1"/>
        <w:rPr>
          <w:rFonts w:ascii="楷体_GB2312" w:eastAsia="楷体_GB2312" w:cs="Times New Roman" w:hint="eastAsia"/>
          <w:b/>
          <w:bCs/>
          <w:sz w:val="30"/>
          <w:szCs w:val="30"/>
          <w:lang w:bidi="ar-SA"/>
        </w:rPr>
      </w:pPr>
      <w:bookmarkStart w:id="102" w:name="_Toc89281252"/>
      <w:bookmarkStart w:id="103" w:name="_Toc89766433"/>
      <w:r>
        <w:rPr>
          <w:rFonts w:ascii="楷体_GB2312" w:eastAsia="楷体_GB2312" w:cs="Times New Roman" w:hint="eastAsia"/>
          <w:b/>
          <w:bCs/>
          <w:sz w:val="30"/>
          <w:szCs w:val="30"/>
          <w:lang w:bidi="ar-SA"/>
        </w:rPr>
        <w:t>（三）固废的产生、处理处置及利用情况</w:t>
      </w:r>
      <w:bookmarkEnd w:id="102"/>
      <w:bookmarkEnd w:id="103"/>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主要固体废物有铅滤饼、砷滤饼、渣选尾矿、白烟尘、石膏渣、中和渣、黑铜粉、废催化剂、废矿物油等，其中铅滤饼、砷滤饼、白烟尘、废催化剂、废矿物油等属危险废物，黑铜粉若开路处理，应按危险废物进行管理；其他均属于一般工业固废。</w:t>
      </w:r>
    </w:p>
    <w:p>
      <w:pPr>
        <w:widowControl/>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企业在厂内建有固废临时贮存场所，其中原铅滤饼库、砷滤饼库位于废水处理站北侧，占地面积450m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可满足3个月的存放量；在滤饼库上游和下游各设置了1座永久性地下水监测井。白烟尘密闭储存，经自动包装机包装后外售给具有处理资质的单位进行处置。白烟尘堆放仓库、滤饼库、中和渣库和尾矿库设防渗排液沟，整个地面做防渗处理。渣选尾矿库位于渣选厂北侧，占地面积3060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，可满足1周的存放量。</w:t>
      </w:r>
    </w:p>
    <w:p>
      <w:pPr>
        <w:pStyle w:val="22"/>
        <w:spacing w:before="116"/>
        <w:ind w:left="615" w:right="731"/>
        <w:jc w:val="center"/>
        <w:rPr>
          <w:rFonts w:ascii="仿宋_GB2312" w:eastAsia="仿宋_GB2312" w:cs="Times New Roman" w:hint="eastAsia"/>
          <w:b/>
          <w:sz w:val="28"/>
          <w:szCs w:val="28"/>
          <w:lang w:bidi="ar-SA"/>
        </w:rPr>
      </w:pPr>
      <w:r>
        <w:rPr>
          <w:rFonts w:ascii="仿宋_GB2312" w:eastAsia="仿宋_GB2312" w:cs="Times New Roman" w:hint="eastAsia"/>
          <w:b/>
          <w:sz w:val="28"/>
          <w:szCs w:val="28"/>
          <w:lang w:bidi="ar-SA"/>
        </w:rPr>
        <w:t>表1-1   固体废物产生情况</w:t>
        <w:tab/>
        <w:t>单位：t/a</w:t>
      </w:r>
    </w:p>
    <w:tbl>
      <w:tblPr>
        <w:jc w:val="center"/>
        <w:tblW w:w="8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739"/>
        <w:gridCol w:w="995"/>
        <w:gridCol w:w="1974"/>
        <w:gridCol w:w="1792"/>
        <w:gridCol w:w="3333"/>
      </w:tblGrid>
      <w:tr>
        <w:trPr>
          <w:trHeight w:val="452"/>
          <w:tblHeader/>
        </w:trPr>
        <w:tc>
          <w:tcPr>
            <w:tcW w:w="739" w:type="dxa"/>
            <w:tcBorders>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序号</w:t>
            </w:r>
          </w:p>
        </w:tc>
        <w:tc>
          <w:tcPr>
            <w:tcW w:w="995" w:type="dxa"/>
            <w:tcBorders>
              <w:righ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名称</w:t>
            </w:r>
          </w:p>
        </w:tc>
        <w:tc>
          <w:tcPr>
            <w:tcW w:w="1974" w:type="dxa"/>
            <w:tcBorders>
              <w:righ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来源及成分</w:t>
            </w:r>
          </w:p>
        </w:tc>
        <w:tc>
          <w:tcPr>
            <w:tcW w:w="1792" w:type="dxa"/>
            <w:tcBorders>
              <w:lef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固废性质</w:t>
            </w:r>
          </w:p>
        </w:tc>
        <w:tc>
          <w:tcPr>
            <w:tcW w:w="3333" w:type="dxa"/>
            <w:tcBorders>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处置方式</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渣选</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尾矿</w:t>
            </w:r>
          </w:p>
        </w:tc>
        <w:tc>
          <w:tcPr>
            <w:tcW w:w="1974" w:type="dxa"/>
            <w:tcBorders>
              <w:right w:val="single" w:sz="4" w:space="0" w:color="auto"/>
              <w:tl2br w:val="nil"/>
              <w:tr2bl w:val="nil"/>
            </w:tcBorders>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渣选矿厂，主要含Fe、SiO</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等</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厂内建有临时贮存场所，外售建材公司作水泥掺和料</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耐火</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材料</w:t>
            </w:r>
          </w:p>
        </w:tc>
        <w:tc>
          <w:tcPr>
            <w:tcW w:w="1974"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来源于熔炼车间，主要成分为Al</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lang w:bidi="ar-SA"/>
              </w:rPr>
              <w:t>、SiO</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、MgO、CaO</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一般工业固废</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厂内建有临时贮存场所，之后外卖再利用</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含铜渣</w:t>
            </w:r>
          </w:p>
        </w:tc>
        <w:tc>
          <w:tcPr>
            <w:tcW w:w="1974"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来源于熔炼车间，含铜、铁、铅、砷</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一般工业固废</w:t>
            </w:r>
          </w:p>
        </w:tc>
        <w:tc>
          <w:tcPr>
            <w:tcW w:w="3333" w:type="dxa"/>
            <w:tcBorders>
              <w:tl2br w:val="nil"/>
              <w:tr2bl w:val="nil"/>
            </w:tcBorders>
            <w:vAlign w:val="center"/>
          </w:tcPr>
          <w:p>
            <w:pPr>
              <w:widowControl/>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返回铜冶炼系统进行冶炼生产</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石膏渣</w:t>
            </w:r>
          </w:p>
        </w:tc>
        <w:tc>
          <w:tcPr>
            <w:tcW w:w="1974"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污酸处理采用硫化法+中和法产生的固废，主要成分硫酸钙</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厂内建有临时贮存场所，用于建材厂作为水泥添加剂。</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中和渣</w:t>
            </w:r>
          </w:p>
        </w:tc>
        <w:tc>
          <w:tcPr>
            <w:tcW w:w="1974" w:type="dxa"/>
            <w:tcBorders>
              <w:right w:val="single" w:sz="4" w:space="0" w:color="auto"/>
              <w:tl2br w:val="nil"/>
              <w:tr2bl w:val="nil"/>
            </w:tcBorders>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来源废水处理站污泥</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厂内建有临时贮存场所，用于建材厂作为水泥添加剂。</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6</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砷滤饼</w:t>
            </w:r>
          </w:p>
        </w:tc>
        <w:tc>
          <w:tcPr>
            <w:tcW w:w="1974" w:type="dxa"/>
            <w:tcBorders>
              <w:right w:val="single" w:sz="4" w:space="0" w:color="auto"/>
              <w:tl2br w:val="nil"/>
              <w:tr2bl w:val="nil"/>
            </w:tcBorders>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硫酸车间废酸处理工段硫化滤饼，主要含 As、 Pb、Cu 等。</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HW48（321-032-48）</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厂内建有临时贮存场所，委托有相应经营许可资质的单位处理处置</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7</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铅滤饼</w:t>
            </w:r>
          </w:p>
        </w:tc>
        <w:tc>
          <w:tcPr>
            <w:tcW w:w="1974" w:type="dxa"/>
            <w:tcBorders>
              <w:right w:val="single" w:sz="4" w:space="0" w:color="auto"/>
              <w:tl2br w:val="nil"/>
              <w:tr2bl w:val="nil"/>
            </w:tcBorders>
          </w:tcPr>
          <w:p>
            <w:pPr>
              <w:spacing w:line="30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硫酸车间烟气净化工段空塔圆锥沉降槽底流滤饼</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HW48（321-031-48）</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厂内建有临时贮存场所，委托有相应经营许可资质的单位处理处置</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白烟尘</w:t>
            </w:r>
          </w:p>
        </w:tc>
        <w:tc>
          <w:tcPr>
            <w:tcW w:w="1974" w:type="dxa"/>
            <w:tcBorders>
              <w:right w:val="single" w:sz="4" w:space="0" w:color="auto"/>
              <w:tl2br w:val="nil"/>
              <w:tr2bl w:val="nil"/>
            </w:tcBorders>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来源于转炉工段，主要成分为 PbO、As</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O</w:t>
            </w:r>
            <w:r>
              <w:rPr>
                <w:rFonts w:ascii="仿宋_GB2312" w:eastAsia="仿宋_GB2312" w:cs="Times New Roman" w:hint="eastAsia"/>
                <w:kern w:val="2"/>
                <w:sz w:val="21"/>
                <w:szCs w:val="21"/>
                <w:vertAlign w:val="subscript"/>
                <w:lang w:bidi="ar-SA"/>
              </w:rPr>
              <w:t>3</w:t>
            </w:r>
            <w:r>
              <w:rPr>
                <w:rFonts w:ascii="仿宋_GB2312" w:eastAsia="仿宋_GB2312" w:cs="Times New Roman" w:hint="eastAsia"/>
                <w:kern w:val="2"/>
                <w:sz w:val="21"/>
                <w:szCs w:val="21"/>
                <w:lang w:bidi="ar-SA"/>
              </w:rPr>
              <w:t>、 ZnO 等</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HW48（321-002-48）</w:t>
            </w:r>
          </w:p>
        </w:tc>
        <w:tc>
          <w:tcPr>
            <w:tcW w:w="3333" w:type="dxa"/>
            <w:tcBorders>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厂内建有临时贮存场所，委托有相应经营许可资质的单位处理处置</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9</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废矿物油</w:t>
            </w:r>
          </w:p>
        </w:tc>
        <w:tc>
          <w:tcPr>
            <w:tcW w:w="1974"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矿物油</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HW08（900-221-08）</w:t>
            </w:r>
          </w:p>
        </w:tc>
        <w:tc>
          <w:tcPr>
            <w:tcW w:w="3333" w:type="dxa"/>
            <w:tcBorders>
              <w:tl2br w:val="nil"/>
              <w:tr2bl w:val="nil"/>
            </w:tcBorders>
          </w:tcPr>
          <w:p>
            <w:pPr>
              <w:jc w:val="both"/>
              <w:rPr>
                <w:rFonts w:ascii="仿宋_GB2312" w:eastAsia="仿宋_GB2312" w:hint="eastAsia"/>
                <w:sz w:val="21"/>
                <w:szCs w:val="21"/>
              </w:rPr>
            </w:pPr>
            <w:r>
              <w:rPr>
                <w:rFonts w:ascii="仿宋_GB2312" w:eastAsia="仿宋_GB2312" w:cs="Times New Roman" w:hint="eastAsia"/>
                <w:kern w:val="2"/>
                <w:sz w:val="21"/>
                <w:szCs w:val="21"/>
                <w:lang w:bidi="ar-SA"/>
              </w:rPr>
              <w:t>厂内建有临时贮存场所，委托有相应经营许可资质的单位处理处置</w:t>
            </w:r>
          </w:p>
        </w:tc>
      </w:tr>
      <w:tr>
        <w:trPr>
          <w:trHeight w:val="640"/>
        </w:trPr>
        <w:tc>
          <w:tcPr>
            <w:tcW w:w="739" w:type="dxa"/>
            <w:tcBorders>
              <w:tl2br w:val="nil"/>
              <w:tr2bl w:val="nil"/>
            </w:tcBorders>
            <w:vAlign w:val="center"/>
          </w:tcPr>
          <w:p>
            <w:pPr>
              <w:spacing w:line="30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w:t>
            </w:r>
          </w:p>
        </w:tc>
        <w:tc>
          <w:tcPr>
            <w:tcW w:w="995"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废催化剂</w:t>
            </w:r>
          </w:p>
        </w:tc>
        <w:tc>
          <w:tcPr>
            <w:tcW w:w="1974" w:type="dxa"/>
            <w:tcBorders>
              <w:righ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制酸系统</w:t>
            </w:r>
          </w:p>
        </w:tc>
        <w:tc>
          <w:tcPr>
            <w:tcW w:w="1792" w:type="dxa"/>
            <w:tcBorders>
              <w:left w:val="single" w:sz="4" w:space="0" w:color="auto"/>
              <w:tl2br w:val="nil"/>
              <w:tr2bl w:val="nil"/>
            </w:tcBorders>
            <w:vAlign w:val="center"/>
          </w:tcPr>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w:t>
            </w:r>
          </w:p>
          <w:p>
            <w:pPr>
              <w:spacing w:line="30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HW50（261-173-50）</w:t>
            </w:r>
          </w:p>
        </w:tc>
        <w:tc>
          <w:tcPr>
            <w:tcW w:w="3333" w:type="dxa"/>
            <w:tcBorders>
              <w:tl2br w:val="nil"/>
              <w:tr2bl w:val="nil"/>
            </w:tcBorders>
          </w:tcPr>
          <w:p>
            <w:pPr>
              <w:jc w:val="both"/>
              <w:rPr>
                <w:rFonts w:ascii="仿宋_GB2312" w:eastAsia="仿宋_GB2312" w:hint="eastAsia"/>
                <w:sz w:val="21"/>
                <w:szCs w:val="21"/>
              </w:rPr>
            </w:pPr>
            <w:r>
              <w:rPr>
                <w:rFonts w:ascii="仿宋_GB2312" w:eastAsia="仿宋_GB2312" w:cs="Times New Roman" w:hint="eastAsia"/>
                <w:kern w:val="2"/>
                <w:sz w:val="21"/>
                <w:szCs w:val="21"/>
                <w:lang w:bidi="ar-SA"/>
              </w:rPr>
              <w:t>厂内建有临时贮存场所，委托有相应经营许可资质的单位处理处置</w:t>
            </w:r>
          </w:p>
        </w:tc>
      </w:tr>
    </w:tbl>
    <w:p>
      <w:pPr>
        <w:widowControl/>
        <w:autoSpaceDE/>
        <w:autoSpaceDN/>
        <w:jc w:val="both"/>
        <w:rPr>
          <w:rFonts w:ascii="仿宋_GB2312" w:eastAsia="仿宋_GB2312" w:cs="Times New Roman" w:hint="eastAsia"/>
          <w:b/>
          <w:bCs/>
          <w:sz w:val="21"/>
          <w:szCs w:val="21"/>
          <w:lang w:bidi="ar-SA"/>
        </w:rPr>
      </w:pPr>
    </w:p>
    <w:p>
      <w:pPr>
        <w:keepNext/>
        <w:keepLines/>
        <w:widowControl w:val="0"/>
        <w:spacing w:line="360" w:lineRule="auto"/>
        <w:ind w:firstLineChars="200" w:firstLine="600"/>
        <w:jc w:val="both"/>
        <w:outlineLvl w:val="1"/>
        <w:rPr>
          <w:rFonts w:ascii="楷体_GB2312" w:eastAsia="楷体_GB2312" w:cs="Times New Roman" w:hint="eastAsia"/>
          <w:b/>
          <w:bCs/>
          <w:sz w:val="30"/>
          <w:szCs w:val="30"/>
          <w:lang w:bidi="ar-SA"/>
        </w:rPr>
      </w:pPr>
      <w:bookmarkStart w:id="104" w:name="_Toc89766434"/>
      <w:r>
        <w:rPr>
          <w:rFonts w:ascii="楷体_GB2312" w:eastAsia="楷体_GB2312" w:cs="Times New Roman" w:hint="eastAsia"/>
          <w:b/>
          <w:bCs/>
          <w:sz w:val="30"/>
          <w:szCs w:val="30"/>
          <w:lang w:bidi="ar-SA"/>
        </w:rPr>
        <w:t>（四）固废的综合利用</w:t>
      </w:r>
      <w:bookmarkEnd w:id="104"/>
    </w:p>
    <w:p>
      <w:pPr>
        <w:widowControl/>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砷滤饼</w:t>
      </w:r>
      <w:r>
        <w:rPr>
          <w:rFonts w:ascii="Times New Roman" w:eastAsia="仿宋_GB2312" w:cs="Times New Roman" w:hAnsi="Times New Roman"/>
          <w:kern w:val="2"/>
          <w:sz w:val="30"/>
          <w:szCs w:val="30"/>
          <w:lang w:bidi="ar-SA"/>
        </w:rPr>
        <w:t>委托</w:t>
      </w:r>
      <w:r>
        <w:rPr>
          <w:rFonts w:ascii="Times New Roman" w:eastAsia="仿宋_GB2312" w:cs="Times New Roman" w:hAnsi="Times New Roman" w:hint="eastAsia"/>
          <w:kern w:val="2"/>
          <w:sz w:val="30"/>
          <w:szCs w:val="30"/>
          <w:lang w:bidi="ar-SA"/>
        </w:rPr>
        <w:t>龙岩市宇恒环保科技有限公司</w:t>
      </w:r>
      <w:r>
        <w:rPr>
          <w:rFonts w:ascii="Times New Roman" w:eastAsia="仿宋_GB2312" w:cs="Times New Roman" w:hAnsi="Times New Roman"/>
          <w:kern w:val="2"/>
          <w:sz w:val="30"/>
          <w:szCs w:val="30"/>
          <w:lang w:bidi="ar-SA"/>
        </w:rPr>
        <w:t>处理。</w:t>
      </w:r>
      <w:r>
        <w:rPr>
          <w:rFonts w:ascii="Times New Roman" w:eastAsia="仿宋_GB2312" w:cs="Times New Roman" w:hAnsi="Times New Roman" w:hint="eastAsia"/>
          <w:kern w:val="2"/>
          <w:sz w:val="30"/>
          <w:szCs w:val="30"/>
          <w:lang w:bidi="ar-SA"/>
        </w:rPr>
        <w:t>铅滤饼和白烟尘委托福建铭祥金属材料有限公司进行资源化利用。</w:t>
      </w:r>
    </w:p>
    <w:p>
      <w:pPr>
        <w:pStyle w:val="1"/>
        <w:spacing w:before="0" w:line="360" w:lineRule="auto"/>
        <w:ind w:left="0" w:firstLineChars="200" w:firstLine="640"/>
        <w:jc w:val="both"/>
        <w:rPr>
          <w:rFonts w:ascii="黑体" w:eastAsia="黑体" w:hint="eastAsia"/>
          <w:sz w:val="32"/>
          <w:szCs w:val="32"/>
        </w:rPr>
      </w:pPr>
      <w:bookmarkStart w:id="105" w:name="_Toc89766435"/>
      <w:r>
        <w:rPr>
          <w:rFonts w:ascii="黑体" w:eastAsia="黑体" w:hint="eastAsia"/>
          <w:sz w:val="32"/>
          <w:szCs w:val="32"/>
        </w:rPr>
        <w:t>二、中铜东南铜业有限公司污染防治技术典型</w:t>
      </w:r>
      <w:bookmarkEnd w:id="105"/>
      <w:r>
        <w:rPr>
          <w:rFonts w:ascii="黑体" w:eastAsia="黑体" w:hint="eastAsia"/>
          <w:sz w:val="32"/>
          <w:szCs w:val="32"/>
        </w:rPr>
        <w:t>案例</w:t>
      </w:r>
    </w:p>
    <w:p>
      <w:pPr>
        <w:widowControl/>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中铜东南铜业有限公司铜冶炼基地项目位于宁德（漳湾）临港工业区冶金产业园区内，规模为年产阴极铜</w:t>
      </w:r>
      <w:r>
        <w:rPr>
          <w:rFonts w:ascii="Times New Roman" w:eastAsia="仿宋_GB2312" w:cs="Times New Roman" w:hAnsi="Times New Roman"/>
          <w:kern w:val="2"/>
          <w:sz w:val="30"/>
          <w:szCs w:val="30"/>
          <w:lang w:bidi="ar-SA"/>
        </w:rPr>
        <w:t>40</w:t>
      </w:r>
      <w:r>
        <w:rPr>
          <w:rFonts w:ascii="Times New Roman" w:eastAsia="仿宋_GB2312" w:cs="Times New Roman" w:hAnsi="Times New Roman" w:hint="eastAsia"/>
          <w:kern w:val="2"/>
          <w:sz w:val="30"/>
          <w:szCs w:val="30"/>
          <w:lang w:bidi="ar-SA"/>
        </w:rPr>
        <w:t>万吨、副产硫酸</w:t>
      </w:r>
      <w:r>
        <w:rPr>
          <w:rFonts w:ascii="Times New Roman" w:eastAsia="仿宋_GB2312" w:cs="Times New Roman" w:hAnsi="Times New Roman"/>
          <w:kern w:val="2"/>
          <w:sz w:val="30"/>
          <w:szCs w:val="30"/>
          <w:lang w:bidi="ar-SA"/>
        </w:rPr>
        <w:t>146.4</w:t>
      </w:r>
      <w:r>
        <w:rPr>
          <w:rFonts w:ascii="Times New Roman" w:eastAsia="仿宋_GB2312" w:cs="Times New Roman" w:hAnsi="Times New Roman" w:hint="eastAsia"/>
          <w:kern w:val="2"/>
          <w:sz w:val="30"/>
          <w:szCs w:val="30"/>
          <w:lang w:bidi="ar-SA"/>
        </w:rPr>
        <w:t>万吨。以混合铜精矿为原料，冶炼工艺采用“双闪”工艺，也为“悬浮”工艺，即仓式配料→蒸汽干燥→悬浮熔炼→悬浮吹炼→回转式阳极炉</w:t>
      </w:r>
      <w:r>
        <w:rPr>
          <w:rFonts w:ascii="Times New Roman" w:eastAsia="仿宋_GB2312" w:cs="Times New Roman" w:hAnsi="Times New Roman"/>
          <w:kern w:val="2"/>
          <w:sz w:val="30"/>
          <w:szCs w:val="30"/>
          <w:lang w:bidi="ar-SA"/>
        </w:rPr>
        <w:t>+NGL</w:t>
      </w:r>
      <w:r>
        <w:rPr>
          <w:rFonts w:ascii="Times New Roman" w:eastAsia="仿宋_GB2312" w:cs="Times New Roman" w:hAnsi="Times New Roman" w:hint="eastAsia"/>
          <w:kern w:val="2"/>
          <w:sz w:val="30"/>
          <w:szCs w:val="30"/>
          <w:lang w:bidi="ar-SA"/>
        </w:rPr>
        <w:t>炉精炼→电解精炼的生产工艺。同时配套建设烟气制酸系统、渣选矿系统等。</w:t>
      </w:r>
    </w:p>
    <w:p>
      <w:pPr>
        <w:widowControl/>
        <w:spacing w:line="360" w:lineRule="auto"/>
        <w:ind w:firstLineChars="200" w:firstLine="600"/>
        <w:jc w:val="both"/>
        <w:rPr>
          <w:rFonts w:ascii="楷体_GB2312" w:eastAsia="楷体_GB2312" w:cs="Times New Roman" w:hint="eastAsia"/>
          <w:b/>
          <w:bCs/>
          <w:kern w:val="2"/>
          <w:sz w:val="30"/>
          <w:szCs w:val="30"/>
          <w:lang w:bidi="ar-SA"/>
        </w:rPr>
      </w:pPr>
      <w:r>
        <w:rPr>
          <w:rFonts w:ascii="楷体_GB2312" w:eastAsia="楷体_GB2312" w:cs="Times New Roman" w:hint="eastAsia"/>
          <w:b/>
          <w:bCs/>
          <w:kern w:val="2"/>
          <w:sz w:val="30"/>
          <w:szCs w:val="30"/>
          <w:lang w:bidi="ar-SA"/>
        </w:rPr>
        <w:t>（一）废气治理设施</w:t>
      </w:r>
    </w:p>
    <w:p>
      <w:pPr>
        <w:widowControl/>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1.精矿运输及计量系统。</w:t>
      </w:r>
      <w:r>
        <w:rPr>
          <w:rFonts w:ascii="Times New Roman" w:eastAsia="仿宋_GB2312" w:cs="Times New Roman" w:hAnsi="Times New Roman" w:hint="eastAsia"/>
          <w:kern w:val="2"/>
          <w:sz w:val="30"/>
          <w:szCs w:val="30"/>
          <w:lang w:bidi="ar-SA"/>
        </w:rPr>
        <w:t>铜精矿从码头由胶带输送机运至精矿库，在精矿库北侧设置“厂内汽车卸料库皮带-精矿库”。</w:t>
      </w:r>
    </w:p>
    <w:p>
      <w:pPr>
        <w:widowControl/>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2.精矿蒸汽干燥烟气。</w:t>
      </w:r>
      <w:r>
        <w:rPr>
          <w:rFonts w:ascii="Times New Roman" w:eastAsia="仿宋_GB2312" w:cs="Times New Roman" w:hAnsi="Times New Roman" w:hint="eastAsia"/>
          <w:kern w:val="2"/>
          <w:sz w:val="30"/>
          <w:szCs w:val="30"/>
          <w:lang w:bidi="ar-SA"/>
        </w:rPr>
        <w:t>两台蒸汽干燥机产生的精矿蒸汽干燥烟气各自经一套“覆膜滤袋器”处理后汇集，最终通过1根49m高排气筒排空。</w:t>
      </w:r>
    </w:p>
    <w:p>
      <w:pPr>
        <w:widowControl/>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3.冰铜磨烟气。</w:t>
      </w:r>
      <w:r>
        <w:rPr>
          <w:rFonts w:ascii="Times New Roman" w:eastAsia="仿宋_GB2312" w:cs="Times New Roman" w:hAnsi="Times New Roman" w:hint="eastAsia"/>
          <w:kern w:val="2"/>
          <w:sz w:val="30"/>
          <w:szCs w:val="30"/>
          <w:lang w:bidi="ar-SA"/>
        </w:rPr>
        <w:t>通过一套“沉灰筒+覆膜滤袋除尘器+烧结板除尘器（二级除尘）+66m高排气筒排</w:t>
      </w:r>
      <w:r>
        <w:rPr>
          <w:rFonts w:ascii="Times New Roman" w:eastAsia="仿宋_GB2312" w:cs="Times New Roman" w:hAnsi="Times New Roman"/>
          <w:kern w:val="2"/>
          <w:sz w:val="30"/>
          <w:szCs w:val="30"/>
          <w:lang w:bidi="ar-SA"/>
        </w:rPr>
        <w:t>放</w:t>
      </w:r>
      <w:r>
        <w:rPr>
          <w:rFonts w:ascii="Times New Roman" w:eastAsia="仿宋_GB2312" w:cs="Times New Roman" w:hAnsi="Times New Roman" w:hint="eastAsia"/>
          <w:kern w:val="2"/>
          <w:sz w:val="30"/>
          <w:szCs w:val="30"/>
          <w:lang w:bidi="ar-SA"/>
        </w:rPr>
        <w:t>。</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4.环集烟气脱硫系统。</w:t>
      </w:r>
      <w:r>
        <w:rPr>
          <w:rFonts w:ascii="Times New Roman" w:eastAsia="仿宋_GB2312" w:cs="Times New Roman" w:hAnsi="Times New Roman" w:hint="eastAsia"/>
          <w:kern w:val="2"/>
          <w:sz w:val="30"/>
          <w:szCs w:val="30"/>
          <w:lang w:bidi="ar-SA"/>
        </w:rPr>
        <w:t>环境集烟烟气、冰铜风淬废气、阳极炉烟气、NGL炉烟气经各自配套的除尘设施预处理后和吹炼渣风淬废气一起送环集烟气脱硫系统处理。</w:t>
      </w:r>
    </w:p>
    <w:p>
      <w:pPr>
        <w:spacing w:line="360" w:lineRule="auto"/>
        <w:ind w:firstLineChars="200" w:firstLine="600"/>
        <w:jc w:val="both"/>
        <w:rPr>
          <w:rFonts w:ascii="仿宋_GB2312" w:eastAsia="仿宋_GB2312" w:cs="Times New Roman" w:hint="eastAsia"/>
          <w:b/>
          <w:bCs/>
          <w:kern w:val="2"/>
          <w:sz w:val="30"/>
          <w:szCs w:val="30"/>
          <w:lang w:bidi="ar-SA"/>
        </w:rPr>
      </w:pPr>
      <w:r>
        <w:rPr>
          <w:rFonts w:ascii="Times New Roman" w:eastAsia="仿宋_GB2312" w:cs="Times New Roman" w:hAnsi="Times New Roman" w:hint="eastAsia"/>
          <w:kern w:val="2"/>
          <w:sz w:val="30"/>
          <w:szCs w:val="30"/>
          <w:lang w:bidi="ar-SA"/>
        </w:rPr>
        <w:t>环集烟气脱硫系统工艺流程为：喷淋塔→浄化组合塔（气体冷却段+电除雾器）→脱硫吸收塔→末端电除雾器→臭氧氧化脱硝→保安塔（碱喷淋）→200m高烟囱。</w:t>
      </w:r>
    </w:p>
    <w:p>
      <w:pPr>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5.制酸尾气脱硫系统。</w:t>
      </w:r>
      <w:r>
        <w:rPr>
          <w:rFonts w:ascii="Times New Roman" w:eastAsia="仿宋_GB2312" w:cs="Times New Roman" w:hAnsi="Times New Roman" w:hint="eastAsia"/>
          <w:kern w:val="2"/>
          <w:sz w:val="30"/>
          <w:szCs w:val="30"/>
          <w:lang w:bidi="ar-SA"/>
        </w:rPr>
        <w:t>闪速熔炼炉烟气、闪速吹炼炉烟气及环集脱硫解吸气进入烟气制酸系统。制酸采用动力波洗涤浄化两转两吸流程。制酸尾气进入制酸尾气脱硫系统，采用双氧水脱硫 电除雾工艺，具体为：制酸尾气从脱硫塔下部进入，经喷淋吸收段与过氧化氢溶液接触，进行吸收脱硫反应并生成硫酸：脱硫后烟气经塔上部除雾沫段脱除雾沫后送200m高烟囱排放，吸收产生的稀酸输送至烟气制酸系统干吸循环酸槽，作为酸浓调节用水。通过计量泵向吸收塔内计量补充吸收剂过氧化氢溶液，以补充其消耗损失。</w:t>
      </w:r>
    </w:p>
    <w:p>
      <w:pPr>
        <w:spacing w:line="360" w:lineRule="auto"/>
        <w:ind w:firstLineChars="200" w:firstLine="600"/>
        <w:jc w:val="both"/>
        <w:rPr>
          <w:rFonts w:ascii="仿宋_GB2312" w:eastAsia="仿宋_GB2312" w:cs="Times New Roman" w:hint="eastAsia"/>
          <w:b/>
          <w:bCs/>
          <w:kern w:val="2"/>
          <w:sz w:val="30"/>
          <w:szCs w:val="30"/>
          <w:lang w:bidi="ar-SA"/>
        </w:rPr>
      </w:pPr>
      <w:r>
        <w:rPr>
          <w:rFonts w:ascii="仿宋_GB2312" w:eastAsia="仿宋_GB2312" w:cs="Times New Roman" w:hint="eastAsia"/>
          <w:b/>
          <w:bCs/>
          <w:kern w:val="2"/>
          <w:sz w:val="30"/>
          <w:szCs w:val="30"/>
          <w:lang w:bidi="ar-SA"/>
        </w:rPr>
        <w:t>6.电解及净液系统含硫酸雾废气</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（1）电解车间硫酸雾废气：电解车间生产循环槽、上清液槽、阳极泥储槽、生产高位槽、浓密机、一次脱铜等工艺设备在生产过程中挥发的酸雾，电解车间共计5套系统，电解废气各自经一套“集气罩浄化回收器 酸雾净化”处理后，通过200m高主排气筒排放。</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（2）净液车间硫酸雾废气：净液车间废电解贮槽、蒸发前液槽、上清液槽等工艺设备在生产过程中挥发酸雾，酸雾废气各自经一套“集气罩净化回收器 酸雾浄化”处理后（共计4套），通过200m高主排气筒排放。</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hint="eastAsia"/>
          <w:kern w:val="2"/>
          <w:sz w:val="30"/>
          <w:szCs w:val="30"/>
          <w:lang w:bidi="ar-SA"/>
        </w:rPr>
        <w:t>（3）分析检测中心含硫酸雾检测废气：1</w:t>
      </w:r>
      <w:r>
        <w:rPr>
          <w:rFonts w:ascii="Times New Roman" w:eastAsia="仿宋_GB2312" w:cs="Times New Roman" w:hAnsi="Times New Roman" w:hint="eastAsia"/>
          <w:kern w:val="2"/>
          <w:sz w:val="30"/>
          <w:szCs w:val="30"/>
          <w:vertAlign w:val="superscript"/>
          <w:lang w:bidi="ar-SA"/>
        </w:rPr>
        <w:t>#</w:t>
      </w:r>
      <w:r>
        <w:rPr>
          <w:rFonts w:ascii="Times New Roman" w:eastAsia="仿宋_GB2312" w:cs="Times New Roman" w:hAnsi="Times New Roman" w:hint="eastAsia"/>
          <w:kern w:val="2"/>
          <w:sz w:val="30"/>
          <w:szCs w:val="30"/>
          <w:lang w:bidi="ar-SA"/>
        </w:rPr>
        <w:t>-4</w:t>
      </w:r>
      <w:r>
        <w:rPr>
          <w:rFonts w:ascii="Times New Roman" w:eastAsia="仿宋_GB2312" w:cs="Times New Roman" w:hAnsi="Times New Roman" w:hint="eastAsia"/>
          <w:kern w:val="2"/>
          <w:sz w:val="30"/>
          <w:szCs w:val="30"/>
          <w:vertAlign w:val="superscript"/>
          <w:lang w:bidi="ar-SA"/>
        </w:rPr>
        <w:t>#</w:t>
      </w:r>
      <w:r>
        <w:rPr>
          <w:rFonts w:ascii="Times New Roman" w:eastAsia="仿宋_GB2312" w:cs="Times New Roman" w:hAnsi="Times New Roman" w:hint="eastAsia"/>
          <w:kern w:val="2"/>
          <w:sz w:val="30"/>
          <w:szCs w:val="30"/>
          <w:lang w:bidi="ar-SA"/>
        </w:rPr>
        <w:t>分析检测含酸雾废气各自经一套“集气罩净化回收器 酸雾净化塔”处理后各自通过20m高排气筒排放（共计4套）。</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7.污酸处理站废气</w:t>
      </w:r>
      <w:r>
        <w:rPr>
          <w:rFonts w:ascii="Times New Roman" w:eastAsia="仿宋_GB2312" w:cs="Times New Roman" w:hAnsi="Times New Roman"/>
          <w:kern w:val="2"/>
          <w:sz w:val="30"/>
          <w:szCs w:val="30"/>
          <w:lang w:bidi="ar-SA"/>
        </w:rPr>
        <w:t>。</w:t>
      </w:r>
      <w:r>
        <w:rPr>
          <w:rFonts w:ascii="Times New Roman" w:eastAsia="仿宋_GB2312" w:cs="Times New Roman" w:hAnsi="Times New Roman" w:hint="eastAsia"/>
          <w:kern w:val="2"/>
          <w:sz w:val="30"/>
          <w:szCs w:val="30"/>
          <w:lang w:bidi="ar-SA"/>
        </w:rPr>
        <w:t>污酸硫化处理工段产生的含H</w:t>
      </w:r>
      <w:r>
        <w:rPr>
          <w:rFonts w:ascii="Times New Roman" w:eastAsia="仿宋_GB2312" w:cs="Times New Roman" w:hAnsi="Times New Roman" w:hint="eastAsia"/>
          <w:kern w:val="2"/>
          <w:sz w:val="30"/>
          <w:szCs w:val="30"/>
          <w:vertAlign w:val="subscript"/>
          <w:lang w:bidi="ar-SA"/>
        </w:rPr>
        <w:t>2</w:t>
      </w:r>
      <w:r>
        <w:rPr>
          <w:rFonts w:ascii="Times New Roman" w:eastAsia="仿宋_GB2312" w:cs="Times New Roman" w:hAnsi="Times New Roman" w:hint="eastAsia"/>
          <w:kern w:val="2"/>
          <w:sz w:val="30"/>
          <w:szCs w:val="30"/>
          <w:lang w:bidi="ar-SA"/>
        </w:rPr>
        <w:t>S废气通过1套污酸处理除害塔（碱液吸收）20m高排气筒排空。</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8.渣选矿粗碎废气。</w:t>
      </w:r>
      <w:r>
        <w:rPr>
          <w:rFonts w:ascii="Times New Roman" w:eastAsia="仿宋_GB2312" w:cs="Times New Roman" w:hAnsi="Times New Roman" w:hint="eastAsia"/>
          <w:kern w:val="2"/>
          <w:sz w:val="30"/>
          <w:szCs w:val="30"/>
          <w:lang w:bidi="ar-SA"/>
        </w:rPr>
        <w:t>通过1套气箱覆膜袋式除尘器15m高排气筒排空。</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9.无组织排放情况。</w:t>
      </w:r>
      <w:r>
        <w:rPr>
          <w:rFonts w:ascii="Times New Roman" w:eastAsia="仿宋_GB2312" w:cs="Times New Roman" w:hAnsi="Times New Roman" w:hint="eastAsia"/>
          <w:kern w:val="2"/>
          <w:sz w:val="30"/>
          <w:szCs w:val="30"/>
          <w:lang w:bidi="ar-SA"/>
        </w:rPr>
        <w:t>电解车间通过设置自动化联锁控制，有效控制电解液温度；槽面覆盖耐酸尼龙布；阳极泥地坑采用机械搅拌：通过采用内墙结构强化槽面区域的通风；槽面设置移动式轴流风机等措施控制无组织酸雾排放。熔炼车间出铜、出渣采用集气罩，溜槽为密闭形式：物料转运采用皮带输送等措施控制无组织废气排放。</w:t>
      </w:r>
    </w:p>
    <w:p>
      <w:pPr>
        <w:spacing w:line="360" w:lineRule="auto"/>
        <w:ind w:firstLineChars="200" w:firstLine="600"/>
        <w:jc w:val="both"/>
        <w:rPr>
          <w:rFonts w:ascii="楷体_GB2312" w:eastAsia="楷体_GB2312" w:cs="Times New Roman" w:hint="eastAsia"/>
          <w:b/>
          <w:bCs/>
          <w:kern w:val="2"/>
          <w:sz w:val="30"/>
          <w:szCs w:val="30"/>
          <w:lang w:bidi="ar-SA"/>
        </w:rPr>
      </w:pPr>
      <w:r>
        <w:rPr>
          <w:rFonts w:ascii="楷体_GB2312" w:eastAsia="楷体_GB2312" w:cs="Times New Roman" w:hint="eastAsia"/>
          <w:b/>
          <w:bCs/>
          <w:kern w:val="2"/>
          <w:sz w:val="30"/>
          <w:szCs w:val="30"/>
          <w:lang w:bidi="ar-SA"/>
        </w:rPr>
        <w:t>（二）废水治理措施</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仿宋_GB2312" w:eastAsia="仿宋_GB2312" w:cs="Times New Roman" w:hint="eastAsia"/>
          <w:b/>
          <w:bCs/>
          <w:kern w:val="2"/>
          <w:sz w:val="30"/>
          <w:szCs w:val="30"/>
          <w:lang w:bidi="ar-SA"/>
        </w:rPr>
        <w:t>1.生产废水。</w:t>
      </w:r>
      <w:r>
        <w:rPr>
          <w:rFonts w:ascii="Times New Roman" w:eastAsia="仿宋_GB2312" w:cs="Times New Roman" w:hAnsi="Times New Roman"/>
          <w:kern w:val="2"/>
          <w:sz w:val="30"/>
          <w:szCs w:val="30"/>
          <w:lang w:bidi="ar-SA"/>
        </w:rPr>
        <w:t>项目生产废水主要为酸性重金属废水和一般生产废水（含盐水）。酸性重金属废水中污酸处理后液先采用石膏法预处理后，再与其他废水混合采用</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一段铁盐-石灰中和 电化学</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工艺处理后回用。</w:t>
      </w:r>
    </w:p>
    <w:p>
      <w:pPr>
        <w:spacing w:line="360" w:lineRule="auto"/>
        <w:ind w:firstLineChars="200" w:firstLine="600"/>
        <w:jc w:val="both"/>
        <w:rPr>
          <w:rFonts w:ascii="Times New Roman" w:eastAsia="仿宋_GB2312" w:cs="Times New Roman" w:hAnsi="Times New Roman"/>
          <w:kern w:val="2"/>
          <w:sz w:val="30"/>
          <w:szCs w:val="30"/>
          <w:lang w:bidi="ar-SA"/>
        </w:rPr>
      </w:pPr>
      <w:r>
        <w:rPr>
          <w:rFonts w:ascii="Times New Roman" w:eastAsia="仿宋_GB2312" w:cs="Times New Roman" w:hAnsi="Times New Roman"/>
          <w:kern w:val="2"/>
          <w:sz w:val="30"/>
          <w:szCs w:val="30"/>
          <w:lang w:bidi="ar-SA"/>
        </w:rPr>
        <w:t>石膏法设计处理规模为1216m</w:t>
      </w:r>
      <w:r>
        <w:rPr>
          <w:rFonts w:ascii="Times New Roman" w:eastAsia="仿宋_GB2312" w:cs="Times New Roman" w:hAnsi="Times New Roman" w:hint="eastAsia"/>
          <w:kern w:val="2"/>
          <w:sz w:val="30"/>
          <w:szCs w:val="30"/>
          <w:vertAlign w:val="superscript"/>
          <w:lang w:bidi="ar-SA"/>
        </w:rPr>
        <w:t>3</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d，“一段铁盐-石灰中和</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电化学法”设计处理规模为3</w:t>
      </w:r>
      <w:r>
        <w:rPr>
          <w:rFonts w:ascii="Times New Roman" w:eastAsia="仿宋_GB2312" w:cs="Times New Roman" w:hAnsi="Times New Roman" w:hint="eastAsia"/>
          <w:kern w:val="2"/>
          <w:sz w:val="30"/>
          <w:szCs w:val="30"/>
          <w:lang w:bidi="ar-SA"/>
        </w:rPr>
        <w:t>5</w:t>
      </w:r>
      <w:r>
        <w:rPr>
          <w:rFonts w:ascii="Times New Roman" w:eastAsia="仿宋_GB2312" w:cs="Times New Roman" w:hAnsi="Times New Roman"/>
          <w:kern w:val="2"/>
          <w:sz w:val="30"/>
          <w:szCs w:val="30"/>
          <w:lang w:bidi="ar-SA"/>
        </w:rPr>
        <w:t>96m</w:t>
      </w:r>
      <w:r>
        <w:rPr>
          <w:rFonts w:ascii="Times New Roman" w:eastAsia="仿宋_GB2312" w:cs="Times New Roman" w:hAnsi="Times New Roman" w:hint="eastAsia"/>
          <w:kern w:val="2"/>
          <w:sz w:val="30"/>
          <w:szCs w:val="30"/>
          <w:vertAlign w:val="superscript"/>
          <w:lang w:bidi="ar-SA"/>
        </w:rPr>
        <w:t>3</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d，处理工艺流程见图</w:t>
      </w:r>
      <w:r>
        <w:rPr>
          <w:rFonts w:ascii="Times New Roman" w:eastAsia="仿宋_GB2312" w:cs="Times New Roman" w:hAnsi="Times New Roman" w:hint="eastAsia"/>
          <w:kern w:val="2"/>
          <w:sz w:val="30"/>
          <w:szCs w:val="30"/>
          <w:lang w:bidi="ar-SA"/>
        </w:rPr>
        <w:t>1-3。</w:t>
      </w:r>
    </w:p>
    <w:p>
      <w:pPr>
        <w:spacing w:line="360" w:lineRule="auto"/>
        <w:jc w:val="both"/>
      </w:pPr>
      <w:r>
        <w:drawing>
          <wp:inline distT="0" distB="0" distL="68578" distR="68578">
            <wp:extent cx="4428490" cy="6672580"/>
            <wp:effectExtent l="0" t="0" r="0" b="0"/>
            <wp:docPr id="61" name="图片"/>
            <wp:cNvGraphicFramePr>
              <a:graphicFrameLocks noChangeAspect="1"/>
            </wp:cNvGraphicFramePr>
            <a:graphic>
              <a:graphicData uri="http://schemas.openxmlformats.org/drawingml/2006/picture">
                <pic:pic>
                  <pic:nvPicPr>
                    <pic:cNvPr id="63" name="图片 63"/>
                    <pic:cNvPicPr/>
                  </pic:nvPicPr>
                  <pic:blipFill>
                    <a:blip r:embed="rId23"/>
                    <a:stretch>
                      <a:fillRect/>
                    </a:stretch>
                  </pic:blipFill>
                  <pic:spPr>
                    <a:xfrm rot="0">
                      <a:off x="0" y="0"/>
                      <a:ext cx="4428490" cy="6672580"/>
                    </a:xfrm>
                    <a:prstGeom prst="rect"/>
                    <a:noFill/>
                    <a:ln w="9525" cmpd="sng" cap="flat">
                      <a:noFill/>
                      <a:prstDash val="solid"/>
                      <a:miter/>
                    </a:ln>
                  </pic:spPr>
                </pic:pic>
              </a:graphicData>
            </a:graphic>
          </wp:inline>
        </w:drawing>
      </w:r>
    </w:p>
    <w:p>
      <w:pPr>
        <w:widowControl/>
        <w:ind w:firstLineChars="350" w:firstLine="980"/>
        <w:jc w:val="both"/>
        <w:rPr>
          <w:rFonts w:ascii="Times New Roman" w:eastAsia="仿宋_GB2312" w:cs="Times New Roman" w:hAnsi="Times New Roman"/>
          <w:b/>
          <w:kern w:val="2"/>
          <w:sz w:val="28"/>
          <w:szCs w:val="28"/>
          <w:lang w:bidi="ar-SA"/>
        </w:rPr>
      </w:pPr>
      <w:r>
        <w:rPr>
          <w:rFonts w:ascii="Times New Roman" w:eastAsia="仿宋_GB2312" w:cs="Times New Roman" w:hAnsi="Times New Roman"/>
          <w:b/>
          <w:kern w:val="2"/>
          <w:sz w:val="28"/>
          <w:szCs w:val="28"/>
          <w:lang w:bidi="ar-SA"/>
        </w:rPr>
        <w:t xml:space="preserve">图 </w:t>
      </w:r>
      <w:r>
        <w:rPr>
          <w:rFonts w:ascii="Times New Roman" w:eastAsia="仿宋_GB2312" w:cs="Times New Roman" w:hAnsi="Times New Roman" w:hint="eastAsia"/>
          <w:b/>
          <w:kern w:val="2"/>
          <w:sz w:val="28"/>
          <w:szCs w:val="28"/>
          <w:lang w:bidi="ar-SA"/>
        </w:rPr>
        <w:t>1-3  生产废水处理站废水处理工艺流程图</w:t>
      </w:r>
    </w:p>
    <w:p>
      <w:pPr>
        <w:spacing w:line="360" w:lineRule="auto"/>
        <w:ind w:firstLineChars="200" w:firstLine="600"/>
        <w:rPr>
          <w:rFonts w:ascii="Times New Roman" w:eastAsia="仿宋_GB2312" w:cs="Times New Roman" w:hAnsi="Times New Roman"/>
          <w:kern w:val="2"/>
          <w:sz w:val="30"/>
          <w:szCs w:val="30"/>
          <w:lang w:bidi="ar-SA"/>
        </w:rPr>
      </w:pPr>
    </w:p>
    <w:p>
      <w:pPr>
        <w:spacing w:line="360" w:lineRule="auto"/>
        <w:ind w:firstLineChars="200" w:firstLine="600"/>
      </w:pPr>
      <w:r>
        <w:rPr>
          <w:rFonts w:ascii="仿宋_GB2312" w:eastAsia="仿宋_GB2312" w:cs="Times New Roman" w:hint="eastAsia"/>
          <w:b/>
          <w:bCs/>
          <w:kern w:val="2"/>
          <w:sz w:val="30"/>
          <w:szCs w:val="30"/>
          <w:lang w:bidi="ar-SA"/>
        </w:rPr>
        <w:t>2.初期雨水</w:t>
      </w:r>
      <w:r>
        <w:rPr>
          <w:rFonts w:ascii="Times New Roman" w:eastAsia="仿宋_GB2312" w:cs="Times New Roman" w:hAnsi="Times New Roman"/>
          <w:kern w:val="2"/>
          <w:sz w:val="30"/>
          <w:szCs w:val="30"/>
          <w:lang w:bidi="ar-SA"/>
        </w:rPr>
        <w:t>。采用“重金属离子捕集剂</w:t>
      </w:r>
      <w:r>
        <w:rPr>
          <w:rFonts w:ascii="Times New Roman" w:eastAsia="仿宋_GB2312" w:cs="Times New Roman" w:hAnsi="Times New Roman" w:hint="eastAsia"/>
          <w:kern w:val="2"/>
          <w:sz w:val="30"/>
          <w:szCs w:val="30"/>
          <w:lang w:bidi="ar-SA"/>
        </w:rPr>
        <w:t>+</w:t>
      </w:r>
      <w:r>
        <w:rPr>
          <w:rFonts w:ascii="Times New Roman" w:eastAsia="仿宋_GB2312" w:cs="Times New Roman" w:hAnsi="Times New Roman"/>
          <w:kern w:val="2"/>
          <w:sz w:val="30"/>
          <w:szCs w:val="30"/>
          <w:lang w:bidi="ar-SA"/>
        </w:rPr>
        <w:t>过滤”处理工艺，设计处理规模为4</w:t>
      </w:r>
      <w:r>
        <w:rPr>
          <w:rFonts w:ascii="Times New Roman" w:eastAsia="仿宋_GB2312" w:cs="Times New Roman" w:hAnsi="Times New Roman" w:hint="eastAsia"/>
          <w:kern w:val="2"/>
          <w:sz w:val="30"/>
          <w:szCs w:val="30"/>
          <w:lang w:bidi="ar-SA"/>
        </w:rPr>
        <w:t>0</w:t>
      </w:r>
      <w:r>
        <w:rPr>
          <w:rFonts w:ascii="Times New Roman" w:eastAsia="仿宋_GB2312" w:cs="Times New Roman" w:hAnsi="Times New Roman"/>
          <w:kern w:val="2"/>
          <w:sz w:val="30"/>
          <w:szCs w:val="30"/>
          <w:lang w:bidi="ar-SA"/>
        </w:rPr>
        <w:t>00m</w:t>
      </w:r>
      <w:r>
        <w:rPr>
          <w:rFonts w:ascii="Times New Roman" w:eastAsia="仿宋_GB2312" w:cs="Times New Roman" w:hAnsi="Times New Roman" w:hint="eastAsia"/>
          <w:kern w:val="2"/>
          <w:sz w:val="30"/>
          <w:szCs w:val="30"/>
          <w:vertAlign w:val="superscript"/>
          <w:lang w:bidi="ar-SA"/>
        </w:rPr>
        <w:t>3</w:t>
      </w:r>
      <w:r>
        <w:rPr>
          <w:rFonts w:ascii="Times New Roman" w:eastAsia="仿宋_GB2312" w:cs="Times New Roman" w:hAnsi="Times New Roman"/>
          <w:kern w:val="2"/>
          <w:sz w:val="30"/>
          <w:szCs w:val="30"/>
          <w:lang w:bidi="ar-SA"/>
        </w:rPr>
        <w:t>/d</w:t>
      </w:r>
      <w:r>
        <w:rPr>
          <w:rFonts w:ascii="Times New Roman" w:eastAsia="仿宋_GB2312" w:cs="Times New Roman" w:hAnsi="Times New Roman" w:hint="eastAsia"/>
          <w:kern w:val="2"/>
          <w:sz w:val="30"/>
          <w:szCs w:val="30"/>
          <w:lang w:bidi="ar-SA"/>
        </w:rPr>
        <w:t>3.生活污水</w:t>
      </w:r>
      <w:r>
        <w:rPr>
          <w:rFonts w:ascii="Times New Roman" w:eastAsia="仿宋_GB2312" w:cs="Times New Roman" w:hAnsi="Times New Roman"/>
          <w:kern w:val="2"/>
          <w:sz w:val="30"/>
          <w:szCs w:val="30"/>
          <w:lang w:bidi="ar-SA"/>
        </w:rPr>
        <w:t>。</w:t>
      </w:r>
      <w:r>
        <w:rPr>
          <w:rFonts w:ascii="Times New Roman" w:eastAsia="仿宋_GB2312" w:cs="Times New Roman" w:hAnsi="Times New Roman" w:hint="eastAsia"/>
          <w:kern w:val="2"/>
          <w:sz w:val="30"/>
          <w:szCs w:val="30"/>
          <w:lang w:bidi="ar-SA"/>
        </w:rPr>
        <w:t>采用“</w:t>
      </w:r>
      <w:r>
        <w:rPr>
          <w:rFonts w:ascii="Times New Roman" w:eastAsia="仿宋_GB2312" w:cs="Times New Roman" w:hAnsi="Times New Roman"/>
          <w:kern w:val="2"/>
          <w:sz w:val="30"/>
          <w:szCs w:val="30"/>
          <w:lang w:bidi="ar-SA"/>
        </w:rPr>
        <w:t>A</w:t>
      </w:r>
      <w:r>
        <w:rPr>
          <w:rFonts w:ascii="Times New Roman" w:eastAsia="仿宋_GB2312" w:cs="Times New Roman" w:hAnsi="Times New Roman"/>
          <w:kern w:val="2"/>
          <w:sz w:val="30"/>
          <w:szCs w:val="30"/>
          <w:vertAlign w:val="superscript"/>
          <w:lang w:bidi="ar-SA"/>
        </w:rPr>
        <w:t>2</w:t>
      </w:r>
      <w:r>
        <w:rPr>
          <w:rFonts w:ascii="Times New Roman" w:eastAsia="仿宋_GB2312" w:cs="Times New Roman" w:hAnsi="Times New Roman"/>
          <w:kern w:val="2"/>
          <w:sz w:val="30"/>
          <w:szCs w:val="30"/>
          <w:lang w:bidi="ar-SA"/>
        </w:rPr>
        <w:t>/O+</w:t>
      </w:r>
      <w:r>
        <w:rPr>
          <w:rFonts w:ascii="Times New Roman" w:eastAsia="仿宋_GB2312" w:cs="Times New Roman" w:hAnsi="Times New Roman" w:hint="eastAsia"/>
          <w:kern w:val="2"/>
          <w:sz w:val="30"/>
          <w:szCs w:val="30"/>
          <w:lang w:bidi="ar-SA"/>
        </w:rPr>
        <w:t>化学处理”处理工艺，设计处理规模为</w:t>
      </w:r>
      <w:r>
        <w:rPr>
          <w:rFonts w:ascii="Times New Roman" w:eastAsia="仿宋_GB2312" w:cs="Times New Roman" w:hAnsi="Times New Roman"/>
          <w:kern w:val="2"/>
          <w:sz w:val="30"/>
          <w:szCs w:val="30"/>
          <w:lang w:bidi="ar-SA"/>
        </w:rPr>
        <w:t>300m</w:t>
      </w:r>
      <w:r>
        <w:rPr>
          <w:rFonts w:ascii="Times New Roman" w:eastAsia="仿宋_GB2312" w:cs="Times New Roman" w:hAnsi="Times New Roman"/>
          <w:kern w:val="2"/>
          <w:sz w:val="30"/>
          <w:szCs w:val="30"/>
          <w:vertAlign w:val="superscript"/>
          <w:lang w:bidi="ar-SA"/>
        </w:rPr>
        <w:t>3</w:t>
      </w:r>
      <w:r>
        <w:rPr>
          <w:rFonts w:ascii="Times New Roman" w:eastAsia="仿宋_GB2312" w:cs="Times New Roman" w:hAnsi="Times New Roman"/>
          <w:kern w:val="2"/>
          <w:sz w:val="30"/>
          <w:szCs w:val="30"/>
          <w:lang w:bidi="ar-SA"/>
        </w:rPr>
        <w:t>/d。</w:t>
      </w:r>
      <w:r>
        <w:drawing>
          <wp:inline distT="0" distB="0" distL="68578" distR="68578">
            <wp:extent cx="5307965" cy="6455409"/>
            <wp:effectExtent l="0" t="0" r="0" b="0"/>
            <wp:docPr id="64" name="图片"/>
            <wp:cNvGraphicFramePr>
              <a:graphicFrameLocks noChangeAspect="1"/>
            </wp:cNvGraphicFramePr>
            <a:graphic>
              <a:graphicData uri="http://schemas.openxmlformats.org/drawingml/2006/picture">
                <pic:pic>
                  <pic:nvPicPr>
                    <pic:cNvPr id="66" name="图片 66"/>
                    <pic:cNvPicPr/>
                  </pic:nvPicPr>
                  <pic:blipFill>
                    <a:blip r:embed="rId24"/>
                    <a:stretch>
                      <a:fillRect/>
                    </a:stretch>
                  </pic:blipFill>
                  <pic:spPr>
                    <a:xfrm rot="0">
                      <a:off x="0" y="0"/>
                      <a:ext cx="5307965" cy="6455409"/>
                    </a:xfrm>
                    <a:prstGeom prst="rect"/>
                    <a:noFill/>
                    <a:ln w="9525" cmpd="sng" cap="flat">
                      <a:noFill/>
                      <a:prstDash val="solid"/>
                      <a:miter/>
                    </a:ln>
                  </pic:spPr>
                </pic:pic>
              </a:graphicData>
            </a:graphic>
          </wp:inline>
        </w:drawing>
      </w:r>
    </w:p>
    <w:p>
      <w:pPr>
        <w:spacing w:line="360" w:lineRule="auto"/>
        <w:jc w:val="both"/>
      </w:pPr>
      <w:r>
        <w:drawing>
          <wp:inline distT="0" distB="0" distL="68578" distR="68578">
            <wp:extent cx="5448300" cy="1753870"/>
            <wp:effectExtent l="0" t="0" r="0" b="0"/>
            <wp:docPr id="67" name="图片"/>
            <wp:cNvGraphicFramePr>
              <a:graphicFrameLocks noChangeAspect="1"/>
            </wp:cNvGraphicFramePr>
            <a:graphic>
              <a:graphicData uri="http://schemas.openxmlformats.org/drawingml/2006/picture">
                <pic:pic>
                  <pic:nvPicPr>
                    <pic:cNvPr id="69" name="图片 69"/>
                    <pic:cNvPicPr/>
                  </pic:nvPicPr>
                  <pic:blipFill>
                    <a:blip r:embed="rId25"/>
                    <a:stretch>
                      <a:fillRect/>
                    </a:stretch>
                  </pic:blipFill>
                  <pic:spPr>
                    <a:xfrm rot="0">
                      <a:off x="0" y="0"/>
                      <a:ext cx="5448300" cy="1753870"/>
                    </a:xfrm>
                    <a:prstGeom prst="rect"/>
                    <a:noFill/>
                    <a:ln w="9525" cmpd="sng" cap="flat">
                      <a:noFill/>
                      <a:prstDash val="solid"/>
                      <a:miter/>
                    </a:ln>
                  </pic:spPr>
                </pic:pic>
              </a:graphicData>
            </a:graphic>
          </wp:inline>
        </w:drawing>
      </w:r>
    </w:p>
    <w:p>
      <w:pPr>
        <w:widowControl/>
        <w:spacing w:line="360" w:lineRule="auto"/>
        <w:jc w:val="center"/>
      </w:pPr>
      <w:r>
        <w:rPr>
          <w:rFonts w:ascii="Times New Roman" w:eastAsia="仿宋_GB2312" w:cs="Times New Roman" w:hAnsi="Times New Roman"/>
          <w:b/>
          <w:kern w:val="2"/>
          <w:sz w:val="28"/>
          <w:szCs w:val="28"/>
          <w:lang w:bidi="ar-SA"/>
        </w:rPr>
        <w:t>图</w:t>
      </w:r>
      <w:r>
        <w:rPr>
          <w:rFonts w:ascii="Times New Roman" w:eastAsia="仿宋_GB2312" w:cs="Times New Roman" w:hAnsi="Times New Roman" w:hint="eastAsia"/>
          <w:b/>
          <w:kern w:val="2"/>
          <w:sz w:val="28"/>
          <w:szCs w:val="28"/>
          <w:lang w:bidi="ar-SA"/>
        </w:rPr>
        <w:t>1-6    废水治理措施现状</w:t>
      </w:r>
    </w:p>
    <w:p>
      <w:pPr>
        <w:spacing w:line="360" w:lineRule="auto"/>
        <w:ind w:firstLineChars="200" w:firstLine="600"/>
        <w:jc w:val="both"/>
        <w:rPr>
          <w:rFonts w:ascii="楷体_GB2312" w:eastAsia="楷体_GB2312" w:cs="Times New Roman" w:hint="eastAsia"/>
          <w:b/>
          <w:bCs/>
          <w:kern w:val="2"/>
          <w:sz w:val="30"/>
          <w:szCs w:val="30"/>
          <w:lang w:bidi="ar-SA"/>
        </w:rPr>
      </w:pPr>
      <w:r>
        <w:rPr>
          <w:rFonts w:ascii="楷体_GB2312" w:eastAsia="楷体_GB2312" w:cs="Times New Roman" w:hint="eastAsia"/>
          <w:b/>
          <w:bCs/>
          <w:kern w:val="2"/>
          <w:sz w:val="30"/>
          <w:szCs w:val="30"/>
          <w:lang w:bidi="ar-SA"/>
        </w:rPr>
        <w:t>（三）固体废物的产生、处理处置及利用情况</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企业目前产生的固体废物主要有渣选尾矿、污水处理污泥（中和渣）、石膏渣、废耐火材料、铅滤饼、废催化剂、砷滤饼、阳极泥、白烟尘、废矿物油、沾染性包装容器等。其中铅滤饼、废催化剂、砷滤饼、阳极泥、白烟尘、废矿物油、沾染性包装容器属于危险废物，其他属于一般固废及生活垃圾。</w:t>
      </w:r>
    </w:p>
    <w:p>
      <w:pPr>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危险废物分区暂存在厂区1#和2#复杂物料中转库，合计库容2426m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其中1#库用于存放砷滤饼、铅滤饼、废催化剂等危险废物；2#库位于电解区阴极铜仓库东侧，用于存放阳极泥。复杂物料中转库严格按照《危险废物贮存污染控制标准》（GB18597）的相关要求进行设计建设，均采用厂房密闭，满足防风、防雨、防晒的要求；主防渗材料选用2.0mm厚度的 HDPE 土工膜。防渗层结构（从下至上）依次为：①钠基膨润土；②2.0mm厚度的 HDPE 土工膜（主防渗层）；③600g/m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无纺土工布；④垫层；⑤地面结构及防腐层。室内地下防渗已通过工程验收。</w:t>
      </w:r>
    </w:p>
    <w:p>
      <w:pPr>
        <w:snapToGrid w:val="0"/>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厂内渣选尾矿中转库占地3888m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设计堆存能力18700t。按照一般工业固体废物贮存和填埋污染控制标准》的相关要求进行建设，设有雨棚和挡墙。目前渣选尾矿销售市场开阔且稳定，经厂内暂存后直接外售给福建源鑫建材有限公司、金华豪升商贸有限公司等综合利用。企业在厂外漳湾镇下塘村楼冈建设1处渣选尾矿堆场，设计采用干法堆存，库尾排放，铜渣平均堆积边坡按1:3考虑，最终铜渣堆积高程65.0m，堆高28m，总坝高42m，总库容88×104m</w:t>
      </w:r>
      <w:r>
        <w:rPr>
          <w:rFonts w:ascii="仿宋_GB2312" w:eastAsia="仿宋_GB2312" w:cs="Times New Roman" w:hint="eastAsia"/>
          <w:kern w:val="2"/>
          <w:sz w:val="30"/>
          <w:szCs w:val="30"/>
          <w:vertAlign w:val="superscript"/>
          <w:lang w:bidi="ar-SA"/>
        </w:rPr>
        <w:t>3</w:t>
      </w:r>
      <w:r>
        <w:rPr>
          <w:rFonts w:ascii="仿宋_GB2312" w:eastAsia="仿宋_GB2312" w:cs="Times New Roman" w:hint="eastAsia"/>
          <w:kern w:val="2"/>
          <w:sz w:val="30"/>
          <w:szCs w:val="30"/>
          <w:lang w:bidi="ar-SA"/>
        </w:rPr>
        <w:t xml:space="preserve">。目前，厂外渣选尾矿堆场已竣工并通过环保验收。 </w:t>
      </w:r>
    </w:p>
    <w:p>
      <w:pPr>
        <w:snapToGrid w:val="0"/>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污水处理石膏渣中转库设置石膏渣中转库(位于 1#复杂物料中转库的东南侧区域)，占地面积1118m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 xml:space="preserve">，石膏渣中转库按照《一般工业固体废物贮存和填埋污染控制标准》Ⅱ类固体废物堆场设计要求建造，并采取防渗防雨处理。 </w:t>
      </w:r>
    </w:p>
    <w:p>
      <w:pPr>
        <w:snapToGrid w:val="0"/>
        <w:spacing w:line="360" w:lineRule="auto"/>
        <w:ind w:firstLineChars="200" w:firstLine="600"/>
        <w:jc w:val="both"/>
        <w:rPr>
          <w:rFonts w:ascii="仿宋_GB2312" w:eastAsia="仿宋_GB2312" w:cs="Times New Roman" w:hint="eastAsia"/>
          <w:kern w:val="2"/>
          <w:sz w:val="30"/>
          <w:szCs w:val="30"/>
          <w:lang w:bidi="ar-SA"/>
        </w:rPr>
      </w:pPr>
      <w:r>
        <w:rPr>
          <w:rFonts w:ascii="仿宋_GB2312" w:eastAsia="仿宋_GB2312" w:cs="Times New Roman" w:hint="eastAsia"/>
          <w:kern w:val="2"/>
          <w:sz w:val="30"/>
          <w:szCs w:val="30"/>
          <w:lang w:bidi="ar-SA"/>
        </w:rPr>
        <w:t>闪速熔炼炉炉渣中转渣场（渣堆场）占地面积2.05hm</w:t>
      </w:r>
      <w:r>
        <w:rPr>
          <w:rFonts w:ascii="仿宋_GB2312" w:eastAsia="仿宋_GB2312" w:cs="Times New Roman" w:hint="eastAsia"/>
          <w:kern w:val="2"/>
          <w:sz w:val="30"/>
          <w:szCs w:val="30"/>
          <w:vertAlign w:val="superscript"/>
          <w:lang w:bidi="ar-SA"/>
        </w:rPr>
        <w:t>2</w:t>
      </w:r>
      <w:r>
        <w:rPr>
          <w:rFonts w:ascii="仿宋_GB2312" w:eastAsia="仿宋_GB2312" w:cs="Times New Roman" w:hint="eastAsia"/>
          <w:kern w:val="2"/>
          <w:sz w:val="30"/>
          <w:szCs w:val="30"/>
          <w:lang w:bidi="ar-SA"/>
        </w:rPr>
        <w:t>，为铜渣临时中转场地，渣场四周设置了排水沟及挡墙，并设置有沉淀池，收集的废水回用；环保提升阶段对渣场区域进行防渗处理。</w:t>
      </w:r>
    </w:p>
    <w:p>
      <w:pPr>
        <w:pStyle w:val="22"/>
        <w:spacing w:before="116"/>
        <w:ind w:left="615" w:right="731"/>
        <w:jc w:val="center"/>
        <w:rPr>
          <w:rFonts w:ascii="仿宋_GB2312" w:eastAsia="仿宋_GB2312" w:cs="Times New Roman" w:hint="eastAsia"/>
          <w:b/>
          <w:sz w:val="28"/>
          <w:szCs w:val="28"/>
          <w:lang w:bidi="ar-SA"/>
        </w:rPr>
      </w:pPr>
      <w:r>
        <w:rPr>
          <w:rFonts w:ascii="仿宋_GB2312" w:eastAsia="仿宋_GB2312" w:cs="Times New Roman" w:hint="eastAsia"/>
          <w:b/>
          <w:sz w:val="28"/>
          <w:szCs w:val="28"/>
          <w:lang w:bidi="ar-SA"/>
        </w:rPr>
        <w:t>表1-2   固体废物产生情况</w:t>
      </w:r>
    </w:p>
    <w:tbl>
      <w:tblPr>
        <w:jc w:val="cente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108" w:type="dxa"/>
          <w:bottom w:w="0" w:type="dxa"/>
          <w:right w:w="108" w:type="dxa"/>
        </w:tblCellMar>
      </w:tblPr>
      <w:tblGrid>
        <w:gridCol w:w="773"/>
        <w:gridCol w:w="981"/>
        <w:gridCol w:w="1840"/>
        <w:gridCol w:w="1827"/>
        <w:gridCol w:w="4047"/>
      </w:tblGrid>
      <w:tr>
        <w:trPr>
          <w:trHeight w:val="374"/>
          <w:tblHeader/>
        </w:trPr>
        <w:tc>
          <w:tcPr>
            <w:tcW w:w="773" w:type="dxa"/>
            <w:tcBorders>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序号</w:t>
            </w:r>
          </w:p>
        </w:tc>
        <w:tc>
          <w:tcPr>
            <w:tcW w:w="981" w:type="dxa"/>
            <w:tcBorders>
              <w:righ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名称</w:t>
            </w:r>
          </w:p>
        </w:tc>
        <w:tc>
          <w:tcPr>
            <w:tcW w:w="1840" w:type="dxa"/>
            <w:tcBorders>
              <w:righ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来源及成分</w:t>
            </w:r>
          </w:p>
        </w:tc>
        <w:tc>
          <w:tcPr>
            <w:tcW w:w="1827" w:type="dxa"/>
            <w:tcBorders>
              <w:left w:val="single" w:sz="4" w:space="0" w:color="auto"/>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固废性质</w:t>
            </w:r>
          </w:p>
        </w:tc>
        <w:tc>
          <w:tcPr>
            <w:tcW w:w="4047" w:type="dxa"/>
            <w:tcBorders>
              <w:tl2br w:val="nil"/>
              <w:tr2bl w:val="nil"/>
            </w:tcBorders>
            <w:vAlign w:val="center"/>
          </w:tcPr>
          <w:p>
            <w:pPr>
              <w:spacing w:line="300" w:lineRule="exact"/>
              <w:jc w:val="center"/>
              <w:rPr>
                <w:rFonts w:ascii="仿宋_GB2312" w:eastAsia="仿宋_GB2312" w:cs="Times New Roman" w:hint="eastAsia"/>
                <w:b/>
                <w:kern w:val="2"/>
                <w:sz w:val="21"/>
                <w:szCs w:val="21"/>
                <w:lang w:bidi="ar-SA"/>
              </w:rPr>
            </w:pPr>
            <w:r>
              <w:rPr>
                <w:rFonts w:ascii="仿宋_GB2312" w:eastAsia="仿宋_GB2312" w:cs="Times New Roman" w:hint="eastAsia"/>
                <w:b/>
                <w:kern w:val="2"/>
                <w:sz w:val="21"/>
                <w:szCs w:val="21"/>
                <w:lang w:bidi="ar-SA"/>
              </w:rPr>
              <w:t>处置方式</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渣选</w:t>
            </w:r>
          </w:p>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尾矿</w:t>
            </w:r>
          </w:p>
        </w:tc>
        <w:tc>
          <w:tcPr>
            <w:tcW w:w="1840" w:type="dxa"/>
            <w:tcBorders>
              <w:righ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渣选矿车间产生的废渣，尾矿含铜0.30%，主要含 Fe、SiO</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等</w:t>
            </w:r>
          </w:p>
        </w:tc>
        <w:tc>
          <w:tcPr>
            <w:tcW w:w="1827" w:type="dxa"/>
            <w:tcBorders>
              <w:lef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外售福建源鑫建材有限公司、金华豪升商贸有限公司、宁德垚鑫环保新材料有限公司、漳平红狮水泥有限公司、广西菌海冶金建材有限公司等进行综合利用。</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2</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污酸处理石膏渣</w:t>
            </w:r>
          </w:p>
        </w:tc>
        <w:tc>
          <w:tcPr>
            <w:tcW w:w="1840" w:type="dxa"/>
            <w:tcBorders>
              <w:righ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污酸硫化及中和处理产生，主要成分为CaSO</w:t>
            </w:r>
            <w:r>
              <w:rPr>
                <w:rFonts w:ascii="仿宋_GB2312" w:eastAsia="仿宋_GB2312" w:cs="Times New Roman" w:hint="eastAsia"/>
                <w:kern w:val="2"/>
                <w:sz w:val="21"/>
                <w:szCs w:val="21"/>
                <w:vertAlign w:val="subscript"/>
                <w:lang w:bidi="ar-SA"/>
              </w:rPr>
              <w:t>4</w:t>
            </w:r>
            <w:r>
              <w:rPr>
                <w:rFonts w:ascii="仿宋_GB2312" w:eastAsia="仿宋_GB2312" w:cs="Times New Roman" w:hint="eastAsia"/>
                <w:kern w:val="2"/>
                <w:sz w:val="21"/>
                <w:szCs w:val="21"/>
                <w:lang w:bidi="ar-SA"/>
              </w:rPr>
              <w:t>·2H</w:t>
            </w:r>
            <w:r>
              <w:rPr>
                <w:rFonts w:ascii="仿宋_GB2312" w:eastAsia="仿宋_GB2312" w:cs="Times New Roman" w:hint="eastAsia"/>
                <w:kern w:val="2"/>
                <w:sz w:val="21"/>
                <w:szCs w:val="21"/>
                <w:vertAlign w:val="subscript"/>
                <w:lang w:bidi="ar-SA"/>
              </w:rPr>
              <w:t>2</w:t>
            </w:r>
            <w:r>
              <w:rPr>
                <w:rFonts w:ascii="仿宋_GB2312" w:eastAsia="仿宋_GB2312" w:cs="Times New Roman" w:hint="eastAsia"/>
                <w:kern w:val="2"/>
                <w:sz w:val="21"/>
                <w:szCs w:val="21"/>
                <w:lang w:bidi="ar-SA"/>
              </w:rPr>
              <w:t>O</w:t>
            </w:r>
          </w:p>
        </w:tc>
        <w:tc>
          <w:tcPr>
            <w:tcW w:w="1827" w:type="dxa"/>
            <w:tcBorders>
              <w:lef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外售宁德德耀建材有限公司、漳平红狮水泥有限公司、福建源鑫建材有限公司、宁德垚鑫环保新材料有限公司、上杭鸿润昌石灰制品有限公司、福州金牛水泥有限公司等进行综合利用。</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3</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废耐火材料</w:t>
            </w:r>
          </w:p>
        </w:tc>
        <w:tc>
          <w:tcPr>
            <w:tcW w:w="1840" w:type="dxa"/>
            <w:tcBorders>
              <w:right w:val="single" w:sz="4" w:space="0" w:color="auto"/>
              <w:tl2br w:val="nil"/>
              <w:tr2bl w:val="nil"/>
            </w:tcBorders>
            <w:vAlign w:val="center"/>
          </w:tcPr>
          <w:p>
            <w:pPr>
              <w:widowControl/>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来自冶炼炉</w:t>
            </w:r>
          </w:p>
        </w:tc>
        <w:tc>
          <w:tcPr>
            <w:tcW w:w="1827" w:type="dxa"/>
            <w:tcBorders>
              <w:lef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产生后返回厂家进行回收利用。</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4</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中和渣</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属废水处理污泥</w:t>
            </w:r>
          </w:p>
        </w:tc>
        <w:tc>
          <w:tcPr>
            <w:tcW w:w="1827" w:type="dxa"/>
            <w:tcBorders>
              <w:lef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一般工业固废</w:t>
            </w:r>
          </w:p>
        </w:tc>
        <w:tc>
          <w:tcPr>
            <w:tcW w:w="4047" w:type="dxa"/>
            <w:tcBorders>
              <w:tl2br w:val="nil"/>
              <w:tr2bl w:val="nil"/>
            </w:tcBorders>
            <w:vAlign w:val="center"/>
          </w:tcPr>
          <w:p>
            <w:pPr>
              <w:widowControl/>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委托三明金牛水泥有限公司、福建龙麟环境工程有限公司收运处置。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5</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铅滤饼</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制酸区，主要成分硫酸铅</w:t>
            </w:r>
          </w:p>
        </w:tc>
        <w:tc>
          <w:tcPr>
            <w:tcW w:w="1827" w:type="dxa"/>
            <w:tcBorders>
              <w:lef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危险废物HW48（321-031-48）</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投产至今产生量较小，尚未转移，后期委托有相应资质单位处置。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6</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废催化剂</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来自制酸系统</w:t>
            </w:r>
          </w:p>
        </w:tc>
        <w:tc>
          <w:tcPr>
            <w:tcW w:w="1827" w:type="dxa"/>
            <w:tcBorders>
              <w:lef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危险废物HW50（261-173-50）</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委托有相应资质单位处置。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7</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砷滤饼</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污酸硫化处理产生，主要成分硫化砷</w:t>
            </w:r>
          </w:p>
        </w:tc>
        <w:tc>
          <w:tcPr>
            <w:tcW w:w="1827" w:type="dxa"/>
            <w:tcBorders>
              <w:lef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危险废物HW48（321-032-48）</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厂内建有危废贮存场所，委托有相应经营许可资质的单位处理处置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8</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白烟尘</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冶炼捕集烟尘，含铜、砷、铅</w:t>
            </w:r>
          </w:p>
        </w:tc>
        <w:tc>
          <w:tcPr>
            <w:tcW w:w="1827" w:type="dxa"/>
            <w:tcBorders>
              <w:lef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危险废物HW48（321-002-48）</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厂内建有危废贮存场所，委托有相应经营许可资质的单位处理处置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9</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废矿物油</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厂区</w:t>
            </w:r>
          </w:p>
        </w:tc>
        <w:tc>
          <w:tcPr>
            <w:tcW w:w="1827" w:type="dxa"/>
            <w:tcBorders>
              <w:left w:val="single" w:sz="4" w:space="0" w:color="auto"/>
              <w:tl2br w:val="nil"/>
              <w:tr2bl w:val="nil"/>
            </w:tcBorders>
            <w:vAlign w:val="center"/>
          </w:tcPr>
          <w:p>
            <w:pPr>
              <w:adjustRightInd w:val="0"/>
              <w:snapToGrid w:val="0"/>
              <w:spacing w:line="240" w:lineRule="exact"/>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危险废物HW08（900-221-08）</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厂内建有危废贮存场所，委托有相应经营许可资质的单位处理处置</w:t>
            </w:r>
          </w:p>
        </w:tc>
      </w:tr>
      <w:tr>
        <w:trPr>
          <w:trHeight w:val="640"/>
        </w:trPr>
        <w:tc>
          <w:tcPr>
            <w:tcW w:w="773" w:type="dxa"/>
            <w:tcBorders>
              <w:tl2br w:val="nil"/>
              <w:tr2bl w:val="nil"/>
            </w:tcBorders>
            <w:vAlign w:val="center"/>
          </w:tcPr>
          <w:p>
            <w:pPr>
              <w:adjustRightInd w:val="0"/>
              <w:snapToGrid w:val="0"/>
              <w:spacing w:line="240" w:lineRule="exact"/>
              <w:jc w:val="center"/>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10</w:t>
            </w:r>
          </w:p>
        </w:tc>
        <w:tc>
          <w:tcPr>
            <w:tcW w:w="981"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沾染性包装容器</w:t>
            </w:r>
          </w:p>
        </w:tc>
        <w:tc>
          <w:tcPr>
            <w:tcW w:w="1840" w:type="dxa"/>
            <w:tcBorders>
              <w:righ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厂区</w:t>
            </w:r>
          </w:p>
        </w:tc>
        <w:tc>
          <w:tcPr>
            <w:tcW w:w="1827" w:type="dxa"/>
            <w:tcBorders>
              <w:left w:val="single" w:sz="4" w:space="0" w:color="auto"/>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highlight w:val="yellow"/>
              </w:rPr>
            </w:pPr>
            <w:r>
              <w:rPr>
                <w:rFonts w:ascii="仿宋_GB2312" w:eastAsia="仿宋_GB2312" w:cs="Times New Roman" w:hint="eastAsia"/>
                <w:kern w:val="2"/>
                <w:sz w:val="21"/>
                <w:szCs w:val="21"/>
                <w:lang w:bidi="ar-SA"/>
              </w:rPr>
              <w:t>危险废物HW49（900-042-49）</w:t>
            </w:r>
          </w:p>
        </w:tc>
        <w:tc>
          <w:tcPr>
            <w:tcW w:w="4047" w:type="dxa"/>
            <w:tcBorders>
              <w:tl2br w:val="nil"/>
              <w:tr2bl w:val="nil"/>
            </w:tcBorders>
            <w:vAlign w:val="center"/>
          </w:tcPr>
          <w:p>
            <w:pPr>
              <w:adjustRightInd w:val="0"/>
              <w:snapToGrid w:val="0"/>
              <w:spacing w:line="240" w:lineRule="exact"/>
              <w:jc w:val="both"/>
              <w:rPr>
                <w:rFonts w:ascii="仿宋_GB2312" w:eastAsia="仿宋_GB2312" w:cs="Times New Roman" w:hint="eastAsia"/>
                <w:kern w:val="2"/>
                <w:sz w:val="21"/>
                <w:szCs w:val="21"/>
                <w:lang w:bidi="ar-SA"/>
              </w:rPr>
            </w:pPr>
            <w:r>
              <w:rPr>
                <w:rFonts w:ascii="仿宋_GB2312" w:eastAsia="仿宋_GB2312" w:cs="Times New Roman" w:hint="eastAsia"/>
                <w:kern w:val="2"/>
                <w:sz w:val="21"/>
                <w:szCs w:val="21"/>
                <w:lang w:bidi="ar-SA"/>
              </w:rPr>
              <w:t>厂内建有危废贮存场所，委托有相应经营许可资质的单位处理处置</w:t>
            </w:r>
          </w:p>
        </w:tc>
      </w:tr>
    </w:tbl>
    <w:p/>
    <w:sectPr>
      <w:footerReference w:type="default" r:id="rId9"/>
      <w:pgSz w:w="11906" w:h="16838"/>
      <w:pgMar w:top="1440" w:right="1800" w:bottom="1440" w:left="1800" w:header="851" w:footer="992" w:gutter="0"/>
      <w:pgNumType/>
      <w:docGrid w:type="lines" w:linePitch="312" w:charSpace="0"/>
    </w:sectPr>
  </w:body>
</w:document>
</file>

<file path=word/fontTable.xml><?xml version="1.0" encoding="utf-8"?>
<w:fonts xmlns:w="http://schemas.openxmlformats.org/wordprocessingml/2006/main" xmlns:r="http://schemas.openxmlformats.org/officeDocument/2006/relationships">
  <w:font w:name="华文中宋">
    <w:panose1 w:val="02010600040101010101"/>
    <w:charset w:val="86"/>
    <w:family w:val="auto"/>
    <w:pitch w:val="variable"/>
    <w:sig w:usb0="00000287" w:usb1="080F0000" w:usb2="00000000" w:usb3="00000000" w:csb0="0004009F" w:csb1="DFD70000"/>
  </w:font>
  <w:font w:name="楷体_GB2312">
    <w:panose1 w:val="02010609030101010101"/>
    <w:charset w:val="86"/>
    <w:family w:val="auto"/>
    <w:pitch w:val="variable"/>
    <w:sig w:usb0="00000001" w:usb1="080E0000" w:usb2="00000000" w:usb3="00000000" w:csb0="00040000" w:csb1="00000000"/>
  </w:font>
  <w:font w:name="黑体">
    <w:panose1 w:val="02010600030101010101"/>
    <w:charset w:val="86"/>
    <w:family w:val="auto"/>
    <w:pitch w:val="variable"/>
    <w:sig w:usb0="00000001" w:usb1="080E0000" w:usb2="00000000" w:usb3="00000000" w:csb0="00040000" w:csb1="00000000"/>
  </w:font>
  <w:font w:name="Times New Roman">
    <w:panose1 w:val="02020603050405020304"/>
    <w:charset w:val="00"/>
    <w:family w:val="auto"/>
    <w:pitch w:val="variable"/>
    <w:sig w:usb0="00000A87" w:usb1="00000000" w:usb2="00000000" w:usb3="00000000" w:csb0="400001BF" w:csb1="DFF70000"/>
  </w:font>
  <w:font w:name="仿宋">
    <w:altName w:val="仿宋_GB2312"/>
    <w:panose1 w:val="02010609060101010101"/>
    <w:charset w:val="86"/>
    <w:family w:val="auto"/>
    <w:pitch w:val="variable"/>
    <w:sig w:usb0="800002BF" w:usb1="38CF7CFA" w:usb2="00000016" w:usb3="00000000" w:csb0="00040001" w:csb1="00000000"/>
  </w:font>
  <w:font w:name="仿宋_GB2312">
    <w:panose1 w:val="02010609030101010101"/>
    <w:charset w:val="86"/>
    <w:family w:val="auto"/>
    <w:pitch w:val="variable"/>
    <w:sig w:usb0="00000001" w:usb1="080E0000" w:usb2="00000000" w:usb3="00000000" w:csb0="00040000" w:csb1="00000000"/>
  </w:font>
  <w:font w:name="Calibri">
    <w:panose1 w:val="020F0502020204030204"/>
    <w:charset w:val="00"/>
    <w:family w:val="auto"/>
    <w:pitch w:val="variable"/>
    <w:sig w:usb0="E10002FF" w:usb1="4000ACFF" w:usb2="00000009" w:usb3="00000000" w:csb0="2000019F" w:csb1="00000000"/>
  </w:font>
  <w:font w:name="等线">
    <w:altName w:val="宋体"/>
    <w:panose1 w:val="00000000000000000000"/>
    <w:charset w:val="00"/>
    <w:family w:val="auto"/>
    <w:pitch w:val="variable"/>
    <w:sig w:usb0="00000000" w:usb1="00000000" w:usb2="00000000" w:usb3="00000000" w:csb0="00000000" w:csb1="00000000"/>
  </w:font>
  <w:font w:name="Arial">
    <w:panose1 w:val="020B0604020202020204"/>
    <w:charset w:val="00"/>
    <w:family w:val="auto"/>
    <w:pitch w:val="variable"/>
    <w:sig w:usb0="00007A87" w:usb1="80000000" w:usb2="00000008" w:usb3="00000000" w:csb0="400001FF" w:csb1="FFFF0000"/>
  </w:font>
  <w:font w:name="宋体">
    <w:panose1 w:val="02010600030101010101"/>
    <w:charset w:val="86"/>
    <w:family w:val="auto"/>
    <w:pitch w:val="variable"/>
    <w:sig w:usb0="00000003" w:usb1="080E0000" w:usb2="00000000" w:usb3="00000000" w:csb0="00040001" w:csb1="00000000"/>
  </w:font>
  <w:font w:name="Cambria">
    <w:panose1 w:val="02040503050406030204"/>
    <w:charset w:val="00"/>
    <w:family w:val="auto"/>
    <w:pitch w:val="variable"/>
    <w:sig w:usb0="E00002FF" w:usb1="400004FF" w:usb2="00000000" w:usb3="00000000" w:csb0="2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2"/>
      <w:spacing w:line="14" w:lineRule="auto"/>
      <w:rPr>
        <w:sz w:val="20"/>
      </w:rP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2"/>
      <w:spacing w:line="14" w:lineRule="auto"/>
      <w:rPr>
        <w:sz w:val="20"/>
      </w:rPr>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0"/>
      <w:tabs>
        <w:tab w:val="center" w:pos="4153"/>
        <w:tab w:val="right" w:pos="8306"/>
      </w:tabs>
      <w:jc w:val="center"/>
    </w:pPr>
  </w:p>
  <w:p>
    <w:pPr>
      <w:pStyle w:val="22"/>
      <w:spacing w:line="14" w:lineRule="auto"/>
      <w:rPr>
        <w:sz w:val="20"/>
      </w:rPr>
    </w:pP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2"/>
      <w:spacing w:line="14" w:lineRule="auto"/>
      <w:rPr>
        <w:sz w:val="20"/>
      </w:rPr>
    </w:pP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0"/>
      <w:tabs>
        <w:tab w:val="center" w:pos="4153"/>
        <w:tab w:val="right" w:pos="8306"/>
      </w:tabs>
      <w:jc w:val="center"/>
    </w:pPr>
    <w:r>
      <w:fldChar w:fldCharType="begin"/>
    </w:r>
    <w:r>
      <w:instrText>PAGE   \* MERGEFORMAT</w:instrText>
    </w:r>
    <w:r>
      <w:fldChar w:fldCharType="separate"/>
    </w:r>
    <w:r>
      <w:rPr>
        <w:lang w:val="zh-CN" w:eastAsia="zh-CN"/>
      </w:rPr>
      <w:t>16</w:t>
    </w:r>
    <w:r>
      <w:fldChar w:fldCharType="end"/>
    </w:r>
  </w:p>
  <w:p>
    <w:pPr>
      <w:pStyle w:val="20"/>
      <w:tabs>
        <w:tab w:val="center" w:pos="4153"/>
        <w:tab w:val="right" w:pos="8306"/>
      </w:tabs>
    </w:pPr>
  </w:p>
</w:ftr>
</file>

<file path=word/footer6.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20"/>
      <w:tabs>
        <w:tab w:val="center" w:pos="4153"/>
        <w:tab w:val="right" w:pos="8306"/>
      </w:tabs>
      <w:jc w:val="center"/>
    </w:pPr>
    <w:r>
      <w:fldChar w:fldCharType="begin"/>
    </w:r>
    <w:r>
      <w:instrText>PAGE   \* MERGEFORMAT</w:instrText>
    </w:r>
    <w:r>
      <w:fldChar w:fldCharType="separate"/>
    </w:r>
    <w:r>
      <w:rPr>
        <w:lang w:val="zh-CN" w:eastAsia="zh-CN"/>
      </w:rPr>
      <w:t>92</w:t>
    </w:r>
    <w:r>
      <w:fldChar w:fldCharType="end"/>
    </w:r>
  </w:p>
  <w:p>
    <w:pPr>
      <w:pStyle w:val="20"/>
      <w:tabs>
        <w:tab w:val="center" w:pos="4153"/>
        <w:tab w:val="right" w:pos="8306"/>
      </w:tabs>
      <w:jc w:val="center"/>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70"/>
  <w:displayBackgroundShape/>
  <w:bordersDoNotSurroundHeader/>
  <w:bordersDoNotSurroundFooter/>
  <w:trackRevisions/>
  <w:defaultTabStop w:val="720"/>
  <w:drawingGridHorizontalSpacing w:val="110"/>
  <w:drawingGridVerticalSpacing w:val="156"/>
  <w:displayHorizontalDrawingGridEvery w:val="0"/>
  <w:displayVerticalDrawingGridEvery w:val="1"/>
  <w:characterSpacingControl w:val="compressPunctuation"/>
  <w:compat>
    <w:spaceForUL/>
    <w:balanceSingleByteDoubleByteWidth/>
    <w:ulTrailSpace/>
    <w:doNotExpandShiftReturn/>
    <w:adjustLineHeightInTable/>
    <w:growAutofit/>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autoSpaceDE w:val="0"/>
      <w:autoSpaceDN w:val="0"/>
    </w:pPr>
    <w:rPr>
      <w:rFonts w:ascii="宋体" w:eastAsia="宋体" w:cs="宋体"/>
      <w:sz w:val="22"/>
      <w:szCs w:val="22"/>
      <w:lang w:val="en-US" w:eastAsia="zh-CN" w:bidi="ar-SA"/>
    </w:rPr>
  </w:style>
  <w:style w:type="paragraph" w:styleId="1">
    <w:name w:val="heading 1"/>
    <w:pPr>
      <w:widowControl w:val="0"/>
      <w:autoSpaceDE w:val="0"/>
      <w:autoSpaceDN w:val="0"/>
      <w:spacing w:before="76"/>
      <w:ind w:left="1230" w:hanging="554"/>
      <w:outlineLvl w:val="0"/>
    </w:pPr>
    <w:rPr>
      <w:rFonts w:ascii="宋体" w:eastAsia="宋体" w:cs="宋体"/>
      <w:sz w:val="22"/>
      <w:szCs w:val="22"/>
      <w:lang w:val="en-US" w:eastAsia="zh-CN" w:bidi="ar-SA"/>
    </w:rPr>
  </w:style>
  <w:style w:type="paragraph" w:styleId="2">
    <w:name w:val="heading 2"/>
    <w:next w:val="0"/>
    <w:pPr>
      <w:keepNext/>
      <w:keepLines/>
      <w:widowControl w:val="0"/>
      <w:autoSpaceDE w:val="0"/>
      <w:autoSpaceDN w:val="0"/>
      <w:spacing w:before="260" w:after="260" w:line="415" w:lineRule="auto"/>
      <w:outlineLvl w:val="1"/>
    </w:pPr>
    <w:rPr>
      <w:rFonts w:ascii="Cambria" w:eastAsia="宋体" w:cs="Times New Roman" w:hAnsi="Cambria"/>
      <w:b/>
      <w:bCs/>
      <w:sz w:val="32"/>
      <w:szCs w:val="32"/>
      <w:lang w:val="en-US" w:eastAsia="zh-CN" w:bidi="ar-SA"/>
    </w:rPr>
  </w:style>
  <w:style w:type="paragraph" w:styleId="3">
    <w:name w:val="heading 3"/>
    <w:next w:val="0"/>
    <w:pPr>
      <w:keepNext/>
      <w:keepLines/>
      <w:widowControl w:val="0"/>
      <w:autoSpaceDE w:val="0"/>
      <w:autoSpaceDN w:val="0"/>
      <w:spacing w:before="260" w:after="260" w:line="415" w:lineRule="auto"/>
      <w:outlineLvl w:val="2"/>
    </w:pPr>
    <w:rPr>
      <w:rFonts w:ascii="宋体" w:eastAsia="宋体" w:cs="宋体"/>
      <w:b/>
      <w:bCs/>
      <w:sz w:val="32"/>
      <w:szCs w:val="32"/>
      <w:lang w:val="en-US" w:eastAsia="zh-CN" w:bidi="ar-SA"/>
    </w:rPr>
  </w:style>
  <w:style w:type="character" w:default="1" w:styleId="10">
    <w:name w:val="Default Paragraph Font"/>
  </w:style>
  <w:style w:type="paragraph" w:styleId="15">
    <w:name w:val="index 5"/>
    <w:basedOn w:val="0"/>
    <w:autoRedefine/>
    <w:next w:val="0"/>
    <w:pPr>
      <w:ind w:left="1680"/>
    </w:pPr>
  </w:style>
  <w:style w:type="paragraph" w:styleId="16">
    <w:name w:val="index 8"/>
    <w:autoRedefine/>
    <w:next w:val="0"/>
    <w:pPr>
      <w:widowControl w:val="0"/>
      <w:autoSpaceDE w:val="0"/>
      <w:autoSpaceDN w:val="0"/>
      <w:ind w:left="2940"/>
    </w:pPr>
    <w:rPr>
      <w:rFonts w:ascii="宋体" w:eastAsia="宋体" w:cs="宋体"/>
      <w:b/>
      <w:bCs/>
      <w:sz w:val="22"/>
      <w:szCs w:val="22"/>
      <w:lang w:val="en-US" w:eastAsia="zh-CN" w:bidi="ar-SA"/>
    </w:rPr>
  </w:style>
  <w:style w:type="paragraph" w:styleId="17">
    <w:name w:val="toc 1"/>
    <w:autoRedefine/>
    <w:next w:val="0"/>
    <w:pPr>
      <w:widowControl w:val="0"/>
      <w:tabs>
        <w:tab w:val="right" w:leader="dot" w:pos="8724"/>
      </w:tabs>
      <w:jc w:val="both"/>
    </w:pPr>
    <w:rPr>
      <w:rFonts w:ascii="Times New Roman" w:eastAsia="仿宋_GB2312" w:cs="Times New Roman" w:hAnsi="Times New Roman"/>
      <w:b/>
      <w:kern w:val="2"/>
      <w:sz w:val="21"/>
      <w:szCs w:val="22"/>
      <w:lang w:val="en-US" w:eastAsia="zh-CN" w:bidi="ar-SA"/>
    </w:rPr>
  </w:style>
  <w:style w:type="paragraph" w:styleId="18">
    <w:name w:val="toc 2"/>
    <w:autoRedefine/>
    <w:next w:val="0"/>
    <w:pPr>
      <w:widowControl w:val="0"/>
      <w:ind w:leftChars="200" w:left="200"/>
      <w:jc w:val="both"/>
    </w:pPr>
    <w:rPr>
      <w:rFonts w:ascii="Calibri" w:eastAsia="宋体" w:cs="黑体" w:hAnsi="Calibri"/>
      <w:kern w:val="2"/>
      <w:sz w:val="21"/>
      <w:szCs w:val="22"/>
      <w:lang w:val="en-US" w:eastAsia="zh-CN" w:bidi="ar-SA"/>
    </w:rPr>
  </w:style>
  <w:style w:type="paragraph" w:styleId="19">
    <w:name w:val="toc 3"/>
    <w:autoRedefine/>
    <w:next w:val="0"/>
    <w:pPr>
      <w:widowControl w:val="0"/>
      <w:autoSpaceDE w:val="0"/>
      <w:autoSpaceDN w:val="0"/>
      <w:ind w:leftChars="400" w:left="400"/>
    </w:pPr>
    <w:rPr>
      <w:rFonts w:ascii="宋体" w:eastAsia="宋体" w:cs="宋体"/>
      <w:sz w:val="22"/>
      <w:szCs w:val="22"/>
      <w:lang w:val="en-US" w:eastAsia="zh-CN" w:bidi="ar-SA"/>
    </w:rPr>
  </w:style>
  <w:style w:type="paragraph" w:styleId="20">
    <w:name w:val="footer"/>
    <w:next w:val="16"/>
    <w:pPr>
      <w:widowControl w:val="0"/>
      <w:tabs>
        <w:tab w:val="center" w:pos="4153"/>
        <w:tab w:val="right" w:pos="8306"/>
      </w:tabs>
      <w:autoSpaceDE w:val="0"/>
      <w:autoSpaceDN w:val="0"/>
      <w:snapToGrid w:val="0"/>
    </w:pPr>
    <w:rPr>
      <w:rFonts w:ascii="宋体" w:eastAsia="宋体" w:cs="宋体"/>
      <w:sz w:val="18"/>
      <w:szCs w:val="18"/>
      <w:lang w:val="en-US" w:eastAsia="zh-CN" w:bidi="ar-SA"/>
    </w:rPr>
  </w:style>
  <w:style w:type="paragraph" w:styleId="21">
    <w:name w:val="Title"/>
    <w:pPr>
      <w:widowControl w:val="0"/>
      <w:autoSpaceDE w:val="0"/>
      <w:autoSpaceDN w:val="0"/>
      <w:spacing w:before="28"/>
      <w:ind w:left="597" w:right="1133"/>
      <w:jc w:val="center"/>
    </w:pPr>
    <w:rPr>
      <w:rFonts w:ascii="宋体" w:eastAsia="宋体" w:cs="宋体"/>
      <w:b/>
      <w:bCs/>
      <w:sz w:val="52"/>
      <w:szCs w:val="52"/>
      <w:lang w:val="en-US" w:eastAsia="zh-CN" w:bidi="ar-SA"/>
    </w:rPr>
  </w:style>
  <w:style w:type="paragraph" w:styleId="22">
    <w:name w:val="Body Text"/>
    <w:next w:val="15"/>
    <w:pPr>
      <w:widowControl w:val="0"/>
      <w:autoSpaceDE w:val="0"/>
      <w:autoSpaceDN w:val="0"/>
    </w:pPr>
    <w:rPr>
      <w:rFonts w:ascii="宋体" w:eastAsia="宋体" w:cs="宋体"/>
      <w:sz w:val="21"/>
      <w:szCs w:val="21"/>
      <w:lang w:val="en-US" w:eastAsia="zh-CN" w:bidi="ar-SA"/>
    </w:rPr>
  </w:style>
  <w:style w:type="character" w:styleId="23">
    <w:name w:val="Hyperlink"/>
    <w:rPr>
      <w:color w:val="0000FF"/>
      <w:u w:val="single"/>
    </w:rPr>
  </w:style>
  <w:style w:type="paragraph" w:customStyle="1" w:styleId="24">
    <w:name w:val="TOC 标题1"/>
    <w:next w:val="0"/>
    <w:pPr>
      <w:keepNext/>
      <w:keepLines/>
      <w:widowControl/>
      <w:autoSpaceDE/>
      <w:autoSpaceDN/>
      <w:spacing w:before="480" w:line="276" w:lineRule="auto"/>
      <w:ind w:left="0" w:firstLine="0"/>
      <w:outlineLvl w:val="9"/>
    </w:pPr>
    <w:rPr>
      <w:rFonts w:ascii="Cambria" w:eastAsia="宋体" w:cs="Times New Roman" w:hAnsi="Cambria"/>
      <w:b/>
      <w:bCs/>
      <w:color w:val="365F91"/>
      <w:sz w:val="28"/>
      <w:szCs w:val="28"/>
      <w:lang w:val="en-US" w:eastAsia="zh-CN" w:bidi="ar-SA"/>
    </w:rPr>
  </w:style>
  <w:style w:type="paragraph" w:customStyle="1" w:styleId="25">
    <w:name w:val="Table Paragraph"/>
    <w:next w:val="15"/>
    <w:pPr>
      <w:widowControl w:val="0"/>
      <w:autoSpaceDE w:val="0"/>
      <w:autoSpaceDN w:val="0"/>
      <w:jc w:val="center"/>
    </w:pPr>
    <w:rPr>
      <w:rFonts w:ascii="宋体" w:eastAsia="宋体" w:cs="宋体"/>
      <w:sz w:val="22"/>
      <w:szCs w:val="22"/>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image" Target="media/5.jpg"/><Relationship Id="rId8" Type="http://schemas.openxmlformats.org/officeDocument/2006/relationships/image" Target="media/8.jpg"/><Relationship Id="rId9" Type="http://schemas.openxmlformats.org/officeDocument/2006/relationships/footer" Target="footer6.xml"/><Relationship Id="rId10" Type="http://schemas.openxmlformats.org/officeDocument/2006/relationships/image" Target="media/14.png"/><Relationship Id="rId11" Type="http://schemas.openxmlformats.org/officeDocument/2006/relationships/image" Target="media/20.png"/><Relationship Id="rId12" Type="http://schemas.openxmlformats.org/officeDocument/2006/relationships/image" Target="media/26.png"/><Relationship Id="rId13" Type="http://schemas.openxmlformats.org/officeDocument/2006/relationships/image" Target="media/32.png"/><Relationship Id="rId14" Type="http://schemas.openxmlformats.org/officeDocument/2006/relationships/image" Target="media/35.jpg"/><Relationship Id="rId15" Type="http://schemas.openxmlformats.org/officeDocument/2006/relationships/image" Target="media/38.pn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image" Target="media/47.png"/><Relationship Id="rId19" Type="http://schemas.openxmlformats.org/officeDocument/2006/relationships/image" Target="media/50.jpg"/><Relationship Id="rId20" Type="http://schemas.openxmlformats.org/officeDocument/2006/relationships/image" Target="media/53.png"/><Relationship Id="rId21" Type="http://schemas.openxmlformats.org/officeDocument/2006/relationships/image" Target="media/56.png"/><Relationship Id="rId22" Type="http://schemas.openxmlformats.org/officeDocument/2006/relationships/image" Target="media/59.png"/><Relationship Id="rId23" Type="http://schemas.openxmlformats.org/officeDocument/2006/relationships/image" Target="media/62.png"/><Relationship Id="rId24" Type="http://schemas.openxmlformats.org/officeDocument/2006/relationships/image" Target="media/65.png"/><Relationship Id="rId25" Type="http://schemas.openxmlformats.org/officeDocument/2006/relationships/image" Target="media/68.png"/><Relationship Id="rId26" Type="http://schemas.openxmlformats.org/officeDocument/2006/relationships/styles" Target="styles.xml"/><Relationship Id="rId27" Type="http://schemas.openxmlformats.org/officeDocument/2006/relationships/fontTable" Target="fontTable.xml"/></Relationships>
</file>

<file path=docProps/app.xml><?xml version="1.0" encoding="utf-8"?>
<Properties xmlns="http://schemas.openxmlformats.org/officeDocument/2006/extended-properties">
  <Template>Normal.eit</Template>
  <TotalTime>999</TotalTime>
  <Application>Yozo_Office</Application>
  <Pages>77</Pages>
  <Words>31587</Words>
  <Characters>34746</Characters>
  <Lines>2335</Lines>
  <Paragraphs>1212</Paragraphs>
  <CharactersWithSpaces>35132</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Microsoft</dc:creator>
  <cp:lastModifiedBy>zht</cp:lastModifiedBy>
  <cp:revision>1</cp:revision>
  <cp:lastPrinted>2021-12-29T02:17:57Z</cp:lastPrinted>
  <dcterms:created xsi:type="dcterms:W3CDTF">2021-12-28T03:49:15Z</dcterms:created>
  <dcterms:modified xsi:type="dcterms:W3CDTF">2021-12-29T02:27:25Z</dcterms:modified>
</cp:coreProperties>
</file>