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123E9">
      <w:pPr>
        <w:suppressAutoHyphens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</w:rPr>
        <w:t>附件</w:t>
      </w: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1</w:t>
      </w:r>
    </w:p>
    <w:p w14:paraId="39489E38">
      <w:pPr>
        <w:pStyle w:val="2"/>
        <w:rPr>
          <w:rFonts w:hint="eastAsia"/>
          <w:lang w:eastAsia="zh-CN"/>
        </w:rPr>
      </w:pPr>
    </w:p>
    <w:p w14:paraId="6F6BC707">
      <w:pPr>
        <w:suppressAutoHyphens/>
        <w:snapToGrid w:val="0"/>
        <w:spacing w:after="0" w:line="30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福建省群众身边水体保护治理实施方案</w:t>
      </w:r>
    </w:p>
    <w:p w14:paraId="5B86C058">
      <w:pPr>
        <w:suppressAutoHyphens/>
        <w:adjustRightInd w:val="0"/>
        <w:snapToGrid w:val="0"/>
        <w:spacing w:after="0" w:line="360" w:lineRule="auto"/>
        <w:jc w:val="center"/>
        <w:rPr>
          <w:rFonts w:hint="default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征求意见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稿）</w:t>
      </w:r>
    </w:p>
    <w:p w14:paraId="1F91CA16">
      <w:pPr>
        <w:suppressAutoHyphens/>
        <w:adjustRightInd w:val="0"/>
        <w:snapToGrid w:val="0"/>
        <w:spacing w:after="0" w:line="360" w:lineRule="auto"/>
        <w:ind w:firstLine="0" w:firstLineChars="0"/>
        <w:jc w:val="center"/>
        <w:rPr>
          <w:rFonts w:hint="eastAsia" w:ascii="仿宋_GB2312" w:hAnsi="Times New Roman" w:eastAsia="仿宋_GB2312" w:cs="Arial"/>
          <w:sz w:val="32"/>
          <w:szCs w:val="32"/>
        </w:rPr>
      </w:pPr>
    </w:p>
    <w:p w14:paraId="46681FBE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eastAsia" w:ascii="仿宋_GB2312" w:hAnsi="Times New Roman" w:eastAsia="仿宋_GB2312" w:cs="Arial"/>
          <w:sz w:val="32"/>
          <w:szCs w:val="32"/>
        </w:rPr>
        <w:t>为深入贯彻习近平生态文明思想，全面落实《国务院办公厅关于转发生态环境部等部门〈群众身边水体保护治理行动方案〉的通知》（国办函〔</w:t>
      </w:r>
      <w:r>
        <w:rPr>
          <w:rFonts w:ascii="仿宋_GB2312" w:hAnsi="Times New Roman" w:eastAsia="仿宋_GB2312" w:cs="Arial"/>
          <w:sz w:val="32"/>
          <w:szCs w:val="32"/>
        </w:rPr>
        <w:t>2026</w:t>
      </w:r>
      <w:r>
        <w:rPr>
          <w:rFonts w:hint="eastAsia" w:ascii="仿宋_GB2312" w:hAnsi="Times New Roman" w:eastAsia="仿宋_GB2312" w:cs="Arial"/>
          <w:sz w:val="32"/>
          <w:szCs w:val="32"/>
        </w:rPr>
        <w:t>〕</w:t>
      </w:r>
      <w:r>
        <w:rPr>
          <w:rFonts w:ascii="仿宋_GB2312" w:hAnsi="Times New Roman" w:eastAsia="仿宋_GB2312" w:cs="Arial"/>
          <w:sz w:val="32"/>
          <w:szCs w:val="32"/>
        </w:rPr>
        <w:t>65</w:t>
      </w:r>
      <w:r>
        <w:rPr>
          <w:rFonts w:hint="eastAsia" w:ascii="仿宋_GB2312" w:hAnsi="Times New Roman" w:eastAsia="仿宋_GB2312" w:cs="Arial"/>
          <w:sz w:val="32"/>
          <w:szCs w:val="32"/>
        </w:rPr>
        <w:t>号）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Arial"/>
          <w:sz w:val="32"/>
          <w:szCs w:val="32"/>
        </w:rPr>
        <w:t>生态环境部等部门联合印发《关于进一步加强工业等污水污染风险防范 保障农业灌溉用水安全的通知》（环办水体〔</w:t>
      </w:r>
      <w:r>
        <w:rPr>
          <w:rFonts w:ascii="仿宋_GB2312" w:hAnsi="Times New Roman" w:eastAsia="仿宋_GB2312" w:cs="Arial"/>
          <w:sz w:val="32"/>
          <w:szCs w:val="32"/>
        </w:rPr>
        <w:t>2026</w:t>
      </w:r>
      <w:r>
        <w:rPr>
          <w:rFonts w:hint="eastAsia" w:ascii="仿宋_GB2312" w:hAnsi="Times New Roman" w:eastAsia="仿宋_GB2312" w:cs="Arial"/>
          <w:sz w:val="32"/>
          <w:szCs w:val="32"/>
        </w:rPr>
        <w:t>〕13号）等文件部署要求，聚焦群众身边水体保护和突出水环境问题治理，制定本实施方案。</w:t>
      </w:r>
    </w:p>
    <w:p w14:paraId="310FFC99">
      <w:pPr>
        <w:numPr>
          <w:ilvl w:val="0"/>
          <w:numId w:val="0"/>
        </w:num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总体要求</w:t>
      </w:r>
    </w:p>
    <w:p w14:paraId="77C97301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坚持以习近平新时代中国特色社会主义思想为指导，深入贯彻党的二十大和二十届历次全会精神，认真落实四中全会部署，全面贯彻习近平生态文明思想，</w:t>
      </w:r>
      <w:r>
        <w:rPr>
          <w:rFonts w:hint="eastAsia" w:ascii="仿宋_GB2312" w:hAnsi="Times New Roman" w:eastAsia="仿宋_GB2312" w:cs="Arial"/>
          <w:sz w:val="32"/>
          <w:szCs w:val="32"/>
        </w:rPr>
        <w:t>坚持环保为民、问题导向、突出重点、标本兼治，对标美丽中国先行区建设要求抓实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综合</w:t>
      </w:r>
      <w:r>
        <w:rPr>
          <w:rFonts w:hint="eastAsia" w:ascii="仿宋_GB2312" w:hAnsi="Times New Roman" w:eastAsia="仿宋_GB2312" w:cs="Arial"/>
          <w:sz w:val="32"/>
          <w:szCs w:val="32"/>
        </w:rPr>
        <w:t>治理、系统治理、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源头</w:t>
      </w:r>
      <w:r>
        <w:rPr>
          <w:rFonts w:hint="eastAsia" w:ascii="仿宋_GB2312" w:hAnsi="Times New Roman" w:eastAsia="仿宋_GB2312" w:cs="Arial"/>
          <w:sz w:val="32"/>
          <w:szCs w:val="32"/>
        </w:rPr>
        <w:t>治理，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将治理重点进一步向县城、乡村延伸，兼顾地表水和地下水，深入打好碧水保卫战，扎实推进美丽水细胞建设</w:t>
      </w:r>
      <w:r>
        <w:rPr>
          <w:rFonts w:hint="eastAsia" w:ascii="仿宋_GB2312" w:hAnsi="Times New Roman" w:eastAsia="仿宋_GB2312" w:cs="Arial"/>
          <w:sz w:val="32"/>
          <w:szCs w:val="32"/>
        </w:rPr>
        <w:t>。到2030年，基本完成省级以上工业园区水污染排查整治任务，基本消除县乡黑臭水体和农村较大面积劣Ⅴ类水体，全面提升畜禽粪污治理和规范化利用水平，群众身边水体基本实现无异色、无异味、无异物，绘就河湖全域美丽图景。</w:t>
      </w:r>
    </w:p>
    <w:p w14:paraId="40F0B732">
      <w:pPr>
        <w:numPr>
          <w:ilvl w:val="0"/>
          <w:numId w:val="0"/>
        </w:num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开展水污染问题排查溯源</w:t>
      </w:r>
    </w:p>
    <w:p w14:paraId="5F24A40F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1.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排查群众身边的问题水体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以群众反映强烈、基础设施薄弱、畜禽和工业集中、问题多发频发的区域为重点，结合信访投诉、媒体曝光、网络舆情等线索，全面排查群众身边的二级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及</w:t>
      </w:r>
      <w:r>
        <w:rPr>
          <w:rFonts w:hint="eastAsia" w:ascii="仿宋_GB2312" w:hAnsi="Times New Roman" w:eastAsia="仿宋_GB2312" w:cs="Arial"/>
          <w:sz w:val="32"/>
          <w:szCs w:val="32"/>
        </w:rPr>
        <w:t>以下支流和房前屋后坑塘沟渠，摸清底数。2026年10月底前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分别形成县城黑臭水体和问题突出的农村小微水体清单。2027年6月前，查明污染严重的农村小微水体底数，建立全口径清单台账。</w:t>
      </w:r>
    </w:p>
    <w:p w14:paraId="64D9B51C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开展溯源监测。</w:t>
      </w:r>
      <w:r>
        <w:rPr>
          <w:rFonts w:hint="eastAsia" w:ascii="仿宋_GB2312" w:hAnsi="Times New Roman" w:eastAsia="仿宋_GB2312" w:cs="Arial"/>
          <w:sz w:val="32"/>
          <w:szCs w:val="32"/>
        </w:rPr>
        <w:t>按“边排查、边溯源”的原则，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开展上下游、小支流和排污口加密监测，摸清县乡黑臭水体的污染来源、路径和治理主体。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2026年11月底前，依法公布</w:t>
      </w:r>
      <w:r>
        <w:rPr>
          <w:rFonts w:hint="eastAsia" w:ascii="仿宋_GB2312" w:hAnsi="Times New Roman" w:eastAsia="仿宋_GB2312" w:cs="Arial"/>
          <w:sz w:val="32"/>
          <w:szCs w:val="32"/>
        </w:rPr>
        <w:t>县城黑臭水体信息、主责部门和达标期限等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信息</w:t>
      </w:r>
      <w:r>
        <w:rPr>
          <w:rFonts w:hint="eastAsia" w:ascii="仿宋_GB2312" w:hAnsi="Times New Roman" w:eastAsia="仿宋_GB2312" w:cs="Arial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接受群众监督，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广泛发动群众参与共治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D0F5926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3.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开展工业农业专项排查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各地生态环境部门应参照《工业园区水污染问题排查整治工作指南（试行）》，会同有关部门组织开展</w:t>
      </w:r>
      <w:r>
        <w:rPr>
          <w:rFonts w:hint="eastAsia" w:ascii="仿宋_GB2312" w:hAnsi="Times New Roman" w:eastAsia="仿宋_GB2312" w:cs="Arial"/>
          <w:sz w:val="32"/>
          <w:szCs w:val="32"/>
        </w:rPr>
        <w:t>工业园区环境基础设施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建设及</w:t>
      </w:r>
      <w:r>
        <w:rPr>
          <w:rFonts w:hint="eastAsia" w:ascii="仿宋_GB2312" w:hAnsi="Times New Roman" w:eastAsia="仿宋_GB2312" w:cs="Arial"/>
          <w:sz w:val="32"/>
          <w:szCs w:val="32"/>
        </w:rPr>
        <w:t>运维、工业废水收集与排放管控、环境风险防范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、初期雨水收集处理</w:t>
      </w:r>
      <w:r>
        <w:rPr>
          <w:rFonts w:hint="eastAsia" w:ascii="仿宋_GB2312" w:hAnsi="Times New Roman" w:eastAsia="仿宋_GB2312" w:cs="Arial"/>
          <w:sz w:val="32"/>
          <w:szCs w:val="32"/>
        </w:rPr>
        <w:t>等问题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排查，</w:t>
      </w:r>
      <w:r>
        <w:rPr>
          <w:rFonts w:hint="eastAsia" w:ascii="仿宋_GB2312" w:hAnsi="Times New Roman" w:eastAsia="仿宋_GB2312" w:cs="Arial"/>
          <w:sz w:val="32"/>
          <w:szCs w:val="32"/>
          <w:lang w:val="en-US" w:eastAsia="zh-CN"/>
        </w:rPr>
        <w:t>2026年底前形成突出问题清单，2027年6月底前形成全面台账。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完成</w:t>
      </w:r>
      <w:r>
        <w:rPr>
          <w:rFonts w:hint="eastAsia" w:ascii="仿宋_GB2312" w:hAnsi="Times New Roman" w:eastAsia="仿宋_GB2312" w:cs="Arial"/>
          <w:sz w:val="32"/>
          <w:szCs w:val="32"/>
        </w:rPr>
        <w:t>生猪、奶牛等大型规模养殖场粪肥还田利用情况排查，做到全覆盖、底数清、问题明。</w:t>
      </w:r>
    </w:p>
    <w:p w14:paraId="138E5495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开展农业灌溉用水安全排查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以入河排污口排查整治为抓手，全面排查农田周边工业企业及园区、畜禽养殖企业等污水排放和支流沟渠等水质情况，识别污染源和环境风险，2026年底前建立问题清单。</w:t>
      </w:r>
    </w:p>
    <w:p w14:paraId="5E24E038">
      <w:pPr>
        <w:numPr>
          <w:ilvl w:val="0"/>
          <w:numId w:val="0"/>
        </w:num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实施突出问题攻坚行动</w:t>
      </w:r>
    </w:p>
    <w:p w14:paraId="45865B1A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5.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实施工业园区水污染整治攻坚行动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以省级以上开发区（工业园区）新整合区域为重点，持续提升污水收集效能，巩固全分流、全收集、全处理成效。严格化工园区认定的动态管理。加强园区及企业雨洪排口日常监管，严禁通过雨水管网排放工业废水。化工、电镀、皮革和印染园区应完善初期雨水收集和处理设施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持续推进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石化、化工、电镀、印染、</w:t>
      </w:r>
      <w:r>
        <w:rPr>
          <w:rFonts w:hint="eastAsia" w:ascii="仿宋_GB2312" w:hAnsi="Times New Roman" w:eastAsia="仿宋_GB2312" w:cs="Arial"/>
          <w:sz w:val="32"/>
          <w:szCs w:val="32"/>
        </w:rPr>
        <w:t>皮革</w:t>
      </w:r>
      <w:r>
        <w:rPr>
          <w:rFonts w:hint="eastAsia" w:ascii="仿宋_GB2312" w:hAnsi="仿宋_GB2312" w:eastAsia="仿宋_GB2312" w:cs="仿宋_GB2312"/>
          <w:sz w:val="32"/>
          <w:szCs w:val="32"/>
        </w:rPr>
        <w:t>等重点行业</w:t>
      </w:r>
      <w:r>
        <w:rPr>
          <w:rFonts w:hint="eastAsia" w:ascii="仿宋_GB2312" w:hAnsi="Times New Roman" w:eastAsia="仿宋_GB2312" w:cs="Arial"/>
          <w:sz w:val="32"/>
          <w:szCs w:val="32"/>
        </w:rPr>
        <w:t>企业废水</w:t>
      </w:r>
      <w:r>
        <w:rPr>
          <w:rFonts w:hint="eastAsia" w:ascii="仿宋_GB2312" w:hAnsi="仿宋_GB2312" w:eastAsia="仿宋_GB2312" w:cs="仿宋_GB2312"/>
          <w:sz w:val="32"/>
          <w:szCs w:val="32"/>
        </w:rPr>
        <w:t>明管化改造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2029年底前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完成省级及以上开发区（工业园区）问题整改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；</w:t>
      </w:r>
      <w:r>
        <w:rPr>
          <w:rFonts w:hint="eastAsia" w:ascii="仿宋_GB2312" w:hAnsi="Times New Roman" w:eastAsia="仿宋_GB2312" w:cs="Arial"/>
          <w:sz w:val="32"/>
          <w:szCs w:val="32"/>
        </w:rPr>
        <w:t>2030年底前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完成其他工业集聚区问题整改。</w:t>
      </w:r>
    </w:p>
    <w:p w14:paraId="3F2D5584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Times New Roman" w:eastAsia="仿宋_GB2312" w:cs="Arial"/>
          <w:sz w:val="32"/>
          <w:szCs w:val="32"/>
        </w:rPr>
        <w:t>持续推动石化、化工、印染、制药、电子设备制造、能源</w:t>
      </w:r>
      <w:r>
        <w:rPr>
          <w:rFonts w:ascii="仿宋_GB2312" w:hAnsi="仿宋_GB2312" w:eastAsia="仿宋_GB2312" w:cs="仿宋_GB2312"/>
          <w:sz w:val="32"/>
          <w:szCs w:val="32"/>
          <w:lang w:bidi="ar"/>
        </w:rPr>
        <w:t>、钢铁、有色金属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等重点涉水行业企业清洁生产。</w:t>
      </w:r>
      <w:r>
        <w:rPr>
          <w:rFonts w:hint="eastAsia" w:ascii="仿宋_GB2312" w:hAnsi="Times New Roman" w:eastAsia="仿宋_GB2312" w:cs="Arial"/>
          <w:sz w:val="32"/>
          <w:szCs w:val="32"/>
        </w:rPr>
        <w:t>实施重点行业企业污水治理与排放水平绩效分级和差异化管控，对绩效等级高的企业按国家要求予以政策支持。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推动规模以下工业企业入园并实行污水集中收集处理，</w:t>
      </w:r>
      <w:r>
        <w:rPr>
          <w:rFonts w:hint="eastAsia" w:ascii="仿宋_GB2312" w:hAnsi="Times New Roman" w:eastAsia="仿宋_GB2312" w:cs="Arial"/>
          <w:sz w:val="32"/>
          <w:szCs w:val="32"/>
        </w:rPr>
        <w:t>推动不同类别工业废水和生活污水分质分流处理，含重金属、高盐或难降解污染物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的</w:t>
      </w:r>
      <w:r>
        <w:rPr>
          <w:rFonts w:hint="eastAsia" w:ascii="仿宋_GB2312" w:hAnsi="Times New Roman" w:eastAsia="仿宋_GB2312" w:cs="Arial"/>
          <w:sz w:val="32"/>
          <w:szCs w:val="32"/>
        </w:rPr>
        <w:t>废水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且影响城镇污水处理厂处理的，</w:t>
      </w:r>
      <w:r>
        <w:rPr>
          <w:rFonts w:hint="eastAsia" w:ascii="仿宋_GB2312" w:hAnsi="Times New Roman" w:eastAsia="仿宋_GB2312" w:cs="Arial"/>
          <w:sz w:val="32"/>
          <w:szCs w:val="32"/>
        </w:rPr>
        <w:t>严格限制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进入城镇污水处理厂。</w:t>
      </w:r>
      <w:r>
        <w:rPr>
          <w:rFonts w:hint="eastAsia" w:ascii="仿宋_GB2312" w:hAnsi="Times New Roman" w:eastAsia="仿宋_GB2312" w:cs="Arial"/>
          <w:sz w:val="32"/>
          <w:szCs w:val="32"/>
        </w:rPr>
        <w:t>开展涉重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金属</w:t>
      </w:r>
      <w:r>
        <w:rPr>
          <w:rFonts w:hint="eastAsia" w:ascii="仿宋_GB2312" w:hAnsi="Times New Roman" w:eastAsia="仿宋_GB2312" w:cs="Arial"/>
          <w:sz w:val="32"/>
          <w:szCs w:val="32"/>
        </w:rPr>
        <w:t>矿山、尾矿库、堆（渣）场等环境安全隐患排查整治，加强矿洞涌水、渗滤液、淋溶水等收集处理，逐步削减污染存量。分类有序推进绿色矿山建设，加强动态监管。</w:t>
      </w:r>
    </w:p>
    <w:p w14:paraId="5B94EC82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6.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实施县城黑臭水体治理攻坚行动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对排查发现的县城黑臭水体，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各县应</w:t>
      </w:r>
      <w:r>
        <w:rPr>
          <w:rFonts w:hint="eastAsia" w:ascii="仿宋_GB2312" w:hAnsi="Times New Roman" w:eastAsia="仿宋_GB2312" w:cs="Arial"/>
          <w:sz w:val="32"/>
          <w:szCs w:val="32"/>
        </w:rPr>
        <w:t>在立行立改基础上组织制定治理方案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实施控源截污、内源治理、生态修复、活水保质等措施，按达标期限要求完成治理。巩固已完成整治的县城黑臭水体治理成效，健全返黑返臭防范机制，保障污水收集处理和生态修复等治理设施的运行维护。到2030年，基本消除县城黑臭水体，闽江流域水口库区以上、九龙江流域江东大桥和西溪桥闸以上流域县城于2028年底前完成。</w:t>
      </w:r>
    </w:p>
    <w:p w14:paraId="6CE3BA02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7.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实施畜禽粪污综合治理攻坚行动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规模以上的养殖场应严格执行《畜禽养殖业污染排放与控制标准》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Arial"/>
          <w:sz w:val="32"/>
          <w:szCs w:val="32"/>
          <w:lang w:val="en-US" w:eastAsia="zh-CN"/>
        </w:rPr>
        <w:t>DB35/2324—2026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）及相关</w:t>
      </w:r>
      <w:r>
        <w:rPr>
          <w:rFonts w:hint="eastAsia" w:ascii="仿宋_GB2312" w:hAnsi="Times New Roman" w:eastAsia="仿宋_GB2312" w:cs="Arial"/>
          <w:sz w:val="32"/>
          <w:szCs w:val="32"/>
        </w:rPr>
        <w:t>要求，规范粪污收集、贮存、运输、消纳和排放等设施建设和运行。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年出栏</w:t>
      </w:r>
      <w:r>
        <w:rPr>
          <w:rFonts w:hint="eastAsia" w:ascii="仿宋_GB2312" w:hAnsi="Times New Roman" w:eastAsia="仿宋_GB2312" w:cs="Arial"/>
          <w:sz w:val="32"/>
          <w:szCs w:val="32"/>
          <w:lang w:val="en-US" w:eastAsia="zh-CN"/>
        </w:rPr>
        <w:t>100头以上、500头以下的生猪等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中小</w:t>
      </w:r>
      <w:r>
        <w:rPr>
          <w:rFonts w:hint="eastAsia" w:ascii="仿宋_GB2312" w:hAnsi="Times New Roman" w:eastAsia="仿宋_GB2312" w:cs="Arial"/>
          <w:sz w:val="32"/>
          <w:szCs w:val="32"/>
        </w:rPr>
        <w:t>养殖户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应配套粪污贮存和处理设施，按土地承载力粪肥合理还田，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引导</w:t>
      </w:r>
      <w:r>
        <w:rPr>
          <w:rFonts w:hint="eastAsia" w:ascii="仿宋_GB2312" w:hAnsi="Times New Roman" w:eastAsia="仿宋_GB2312" w:cs="Arial"/>
          <w:sz w:val="32"/>
          <w:szCs w:val="32"/>
        </w:rPr>
        <w:t>承载力不足的减少存栏量或采取达标排放方式。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鼓励实行分散分布、适度规模养殖。</w:t>
      </w:r>
      <w:r>
        <w:rPr>
          <w:rFonts w:hint="eastAsia" w:ascii="仿宋_GB2312" w:hAnsi="Times New Roman" w:eastAsia="仿宋_GB2312" w:cs="Arial"/>
          <w:sz w:val="32"/>
          <w:szCs w:val="32"/>
        </w:rPr>
        <w:t>各区县组织确定畜禽</w:t>
      </w:r>
      <w:bookmarkStart w:id="0" w:name="_Hlk240049905"/>
      <w:r>
        <w:rPr>
          <w:rFonts w:hint="eastAsia" w:ascii="仿宋_GB2312" w:hAnsi="Times New Roman" w:eastAsia="仿宋_GB2312" w:cs="Arial"/>
          <w:sz w:val="32"/>
          <w:szCs w:val="32"/>
        </w:rPr>
        <w:t>散养密集区</w:t>
      </w:r>
      <w:bookmarkEnd w:id="0"/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并逐步推行</w:t>
      </w:r>
      <w:bookmarkStart w:id="1" w:name="_Hlk240049910"/>
      <w:r>
        <w:rPr>
          <w:rFonts w:hint="eastAsia" w:ascii="仿宋_GB2312" w:hAnsi="Times New Roman" w:eastAsia="仿宋_GB2312" w:cs="Arial"/>
          <w:sz w:val="32"/>
          <w:szCs w:val="32"/>
        </w:rPr>
        <w:t>粪污分户收集、集中处理利用</w:t>
      </w:r>
      <w:bookmarkEnd w:id="1"/>
      <w:r>
        <w:rPr>
          <w:rFonts w:hint="eastAsia" w:ascii="仿宋_GB2312" w:hAnsi="Times New Roman" w:eastAsia="仿宋_GB2312" w:cs="Arial"/>
          <w:sz w:val="32"/>
          <w:szCs w:val="32"/>
        </w:rPr>
        <w:t>，南安、仙游、南靖、永定等区县要先行开展试点，提升畜禽粪污综合利用水平。</w:t>
      </w:r>
    </w:p>
    <w:p w14:paraId="137935EA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Times New Roman" w:eastAsia="仿宋_GB2312" w:cs="Arial"/>
          <w:sz w:val="32"/>
          <w:szCs w:val="32"/>
        </w:rPr>
        <w:t>优化水产养殖空间布局，科学确定养殖规模和密度，加强水产养殖尾水监测和清塘底泥科学处置。</w:t>
      </w:r>
    </w:p>
    <w:p w14:paraId="44BE8CF1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8.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实施乡村河湖库管护攻坚行动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bookmarkStart w:id="2" w:name="_Hlk240050181"/>
      <w:r>
        <w:rPr>
          <w:rFonts w:hint="eastAsia" w:ascii="仿宋_GB2312" w:hAnsi="Times New Roman" w:eastAsia="仿宋_GB2312" w:cs="Arial"/>
          <w:sz w:val="32"/>
          <w:szCs w:val="32"/>
        </w:rPr>
        <w:t>对纳入攻坚行动的河湖库，坚持问题导向、突出重点，开展水域岸坡整治，规范水域岸线空间管控，恢复河湖库基本功能，修复改善水生态环境。持续推进河湖库“清四乱”、岸线管理和清淤清障工作常态化、规范化</w:t>
      </w:r>
      <w:bookmarkEnd w:id="2"/>
      <w:r>
        <w:rPr>
          <w:rFonts w:hint="eastAsia" w:ascii="仿宋_GB2312" w:hAnsi="Times New Roman" w:eastAsia="仿宋_GB2312" w:cs="Arial"/>
          <w:sz w:val="32"/>
          <w:szCs w:val="32"/>
        </w:rPr>
        <w:t>。鼓励有条件的地区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结合实际进一步扩大整治范围。</w:t>
      </w:r>
    </w:p>
    <w:p w14:paraId="4D255686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Times New Roman" w:hAnsi="Times New Roman" w:eastAsia="仿宋_GB2312" w:cs="仿宋_GB2312"/>
          <w:sz w:val="32"/>
          <w:szCs w:val="32"/>
        </w:rPr>
      </w:pPr>
      <w:bookmarkStart w:id="3" w:name="_Hlk240050324"/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9.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实施农村小微水体排查整治攻坚行动</w:t>
      </w:r>
      <w:bookmarkEnd w:id="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重点整治农村生活污水直排、畜禽养殖污染、垃圾漂浮等问题，因地制宜</w:t>
      </w:r>
      <w:r>
        <w:rPr>
          <w:rFonts w:hint="eastAsia" w:ascii="仿宋_GB2312" w:hAnsi="Times New Roman" w:eastAsia="仿宋_GB2312" w:cs="Arial"/>
          <w:sz w:val="32"/>
          <w:szCs w:val="32"/>
        </w:rPr>
        <w:t>开展清淤、水系连通和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生态修复</w:t>
      </w:r>
      <w:r>
        <w:rPr>
          <w:rFonts w:hint="eastAsia" w:ascii="仿宋_GB2312" w:hAnsi="Times New Roman" w:eastAsia="仿宋_GB2312" w:cs="Arial"/>
          <w:sz w:val="32"/>
          <w:szCs w:val="32"/>
        </w:rPr>
        <w:t>，制定农村小微水体治理方案，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建立专项攻坚台账，</w:t>
      </w:r>
      <w:r>
        <w:rPr>
          <w:rFonts w:hint="eastAsia" w:ascii="仿宋_GB2312" w:hAnsi="Times New Roman" w:eastAsia="仿宋_GB2312" w:cs="Arial"/>
          <w:sz w:val="32"/>
          <w:szCs w:val="32"/>
        </w:rPr>
        <w:t>按水体污染影响程度分级监管、分类治理。</w:t>
      </w:r>
      <w:bookmarkStart w:id="4" w:name="_Hlk240050529"/>
      <w:r>
        <w:rPr>
          <w:rFonts w:hint="eastAsia" w:ascii="仿宋_GB2312" w:hAnsi="Times New Roman" w:eastAsia="仿宋_GB2312" w:cs="Arial"/>
          <w:sz w:val="32"/>
          <w:szCs w:val="32"/>
        </w:rPr>
        <w:t>到2030年，农村生活污水治理率达到90%以上，基本实现清单水体无异色、无异味、无异物，基本消除农村黑臭水体和较大面积劣Ⅴ类水体。</w:t>
      </w:r>
      <w:bookmarkEnd w:id="4"/>
    </w:p>
    <w:p w14:paraId="209C30F6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仿宋_GB2312" w:hAnsi="Times New Roman" w:eastAsia="仿宋_GB2312" w:cs="Arial"/>
          <w:sz w:val="32"/>
          <w:szCs w:val="32"/>
        </w:rPr>
      </w:pPr>
      <w:bookmarkStart w:id="5" w:name="_Hlk240050541"/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10.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补齐城镇环境基础设施短板</w:t>
      </w:r>
      <w:bookmarkEnd w:id="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持续推进</w:t>
      </w:r>
      <w:bookmarkStart w:id="6" w:name="_Hlk240050683"/>
      <w:r>
        <w:rPr>
          <w:rFonts w:hint="eastAsia" w:ascii="仿宋_GB2312" w:hAnsi="Times New Roman" w:eastAsia="仿宋_GB2312" w:cs="Arial"/>
          <w:sz w:val="32"/>
          <w:szCs w:val="32"/>
        </w:rPr>
        <w:t>城中村、老旧城区、</w:t>
      </w:r>
      <w:bookmarkStart w:id="17" w:name="_GoBack"/>
      <w:r>
        <w:rPr>
          <w:rFonts w:hint="eastAsia" w:ascii="仿宋_GB2312" w:hAnsi="Times New Roman" w:eastAsia="仿宋_GB2312" w:cs="Arial"/>
          <w:sz w:val="32"/>
          <w:szCs w:val="32"/>
        </w:rPr>
        <w:t>城乡结合部</w:t>
      </w:r>
      <w:bookmarkEnd w:id="17"/>
      <w:r>
        <w:rPr>
          <w:rFonts w:hint="eastAsia" w:ascii="仿宋_GB2312" w:hAnsi="Times New Roman" w:eastAsia="仿宋_GB2312" w:cs="Arial"/>
          <w:sz w:val="32"/>
          <w:szCs w:val="32"/>
        </w:rPr>
        <w:t>和建制镇</w:t>
      </w:r>
      <w:bookmarkEnd w:id="6"/>
      <w:r>
        <w:rPr>
          <w:rFonts w:hint="eastAsia" w:ascii="仿宋_GB2312" w:hAnsi="Times New Roman" w:eastAsia="仿宋_GB2312" w:cs="Arial"/>
          <w:sz w:val="32"/>
          <w:szCs w:val="32"/>
        </w:rPr>
        <w:t>建成区的污水收集管网建设和病害缺陷修复，基本消除管网空白区。建制镇污水处理设施能力和实际水量应与服务人口匹配，确保设施稳定运行，尾水达标排放。积极推进污水处理差别化收费政策，加强福州、漳州、泉州</w:t>
      </w:r>
      <w:bookmarkStart w:id="7" w:name="_Hlk240050737"/>
      <w:r>
        <w:rPr>
          <w:rFonts w:hint="eastAsia" w:ascii="仿宋_GB2312" w:hAnsi="Times New Roman" w:eastAsia="仿宋_GB2312" w:cs="Arial"/>
          <w:sz w:val="32"/>
          <w:szCs w:val="32"/>
        </w:rPr>
        <w:t>城市水系联排联调和水质保障</w:t>
      </w:r>
      <w:bookmarkEnd w:id="7"/>
      <w:r>
        <w:rPr>
          <w:rFonts w:hint="eastAsia" w:ascii="仿宋_GB2312" w:hAnsi="Times New Roman" w:eastAsia="仿宋_GB2312" w:cs="Arial"/>
          <w:sz w:val="32"/>
          <w:szCs w:val="32"/>
        </w:rPr>
        <w:t>。到2030年，城市生活污水集中收集率达到85%以上。</w:t>
      </w:r>
    </w:p>
    <w:p w14:paraId="6017157F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ascii="仿宋_GB2312" w:hAnsi="Times New Roman" w:eastAsia="仿宋_GB2312" w:cs="Arial"/>
          <w:sz w:val="32"/>
          <w:szCs w:val="32"/>
        </w:rPr>
      </w:pPr>
      <w:bookmarkStart w:id="8" w:name="_Hlk240050757"/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11.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加强农业灌溉用水安全保障</w:t>
      </w:r>
      <w:bookmarkEnd w:id="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加强国土空间规划管控，优化布局农业、生态、城镇等功能空间。深化生态环境分区管控，对工业企业及园区周边存在农田灌溉渠道的，充分考虑全盐量、重金属、氟化物、有毒有害污染物等特征污染物对农业灌溉用水的影响，严格污染物排放和风险防控要求。</w:t>
      </w:r>
    </w:p>
    <w:p w14:paraId="309044EB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ascii="仿宋_GB2312" w:hAnsi="Times New Roman" w:eastAsia="仿宋_GB2312" w:cs="Arial"/>
          <w:sz w:val="32"/>
          <w:szCs w:val="32"/>
        </w:rPr>
      </w:pPr>
      <w:r>
        <w:rPr>
          <w:rFonts w:hint="eastAsia" w:ascii="仿宋_GB2312" w:hAnsi="Times New Roman" w:eastAsia="仿宋_GB2312" w:cs="Arial"/>
          <w:sz w:val="32"/>
          <w:szCs w:val="32"/>
        </w:rPr>
        <w:t>禁止向农田灌溉渠道排放工业废水。向农田灌溉渠道排放农产品加工废水的，应当保证其下游最近的灌溉取水点水质符合农田灌溉水质标准。灌溉用水超标的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采取措施限期达标，达标前应保障其他灌溉水源。2026年底前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对排查发现的农田周边园区和企业、规模养殖场污染问题</w:t>
      </w:r>
      <w:bookmarkStart w:id="9" w:name="_Hlk240051375"/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制定整治方案并明确措施和计划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；</w:t>
      </w:r>
      <w:r>
        <w:rPr>
          <w:rFonts w:hint="eastAsia" w:ascii="仿宋_GB2312" w:hAnsi="Times New Roman" w:eastAsia="仿宋_GB2312" w:cs="Arial"/>
          <w:sz w:val="32"/>
          <w:szCs w:val="32"/>
        </w:rPr>
        <w:t>2027年底前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Arial"/>
          <w:sz w:val="32"/>
          <w:szCs w:val="32"/>
        </w:rPr>
        <w:t>基本完成问题整改</w:t>
      </w:r>
      <w:bookmarkEnd w:id="9"/>
      <w:r>
        <w:rPr>
          <w:rFonts w:hint="eastAsia" w:ascii="仿宋_GB2312" w:hAnsi="Times New Roman" w:eastAsia="仿宋_GB2312" w:cs="Arial"/>
          <w:sz w:val="32"/>
          <w:szCs w:val="32"/>
        </w:rPr>
        <w:t>。</w:t>
      </w:r>
    </w:p>
    <w:p w14:paraId="1611DD5B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仿宋_GB2312" w:hAnsi="Times New Roman" w:eastAsia="仿宋_GB2312" w:cs="Arial"/>
          <w:sz w:val="32"/>
          <w:szCs w:val="32"/>
          <w:lang w:eastAsia="zh-CN"/>
        </w:rPr>
      </w:pPr>
      <w:bookmarkStart w:id="10" w:name="_Hlk240051392"/>
      <w:r>
        <w:rPr>
          <w:rFonts w:hint="default" w:ascii="仿宋_GB2312" w:hAnsi="Times New Roman" w:eastAsia="仿宋_GB2312" w:cs="Arial"/>
          <w:b/>
          <w:bCs/>
          <w:sz w:val="32"/>
          <w:szCs w:val="32"/>
          <w:lang w:val="en"/>
        </w:rPr>
        <w:t>12.</w:t>
      </w:r>
      <w:r>
        <w:rPr>
          <w:rFonts w:hint="eastAsia" w:ascii="仿宋_GB2312" w:hAnsi="Times New Roman" w:eastAsia="仿宋_GB2312" w:cs="Arial"/>
          <w:b/>
          <w:bCs/>
          <w:sz w:val="32"/>
          <w:szCs w:val="32"/>
        </w:rPr>
        <w:t>提升入河污染物管控水平</w:t>
      </w:r>
      <w:bookmarkEnd w:id="1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Arial"/>
          <w:sz w:val="32"/>
          <w:szCs w:val="32"/>
        </w:rPr>
        <w:t>严格落实“有口皆查、应查尽查”要求，将入河排污口</w:t>
      </w:r>
      <w:bookmarkStart w:id="11" w:name="_Hlk240051418"/>
      <w:r>
        <w:rPr>
          <w:rFonts w:hint="eastAsia" w:ascii="仿宋_GB2312" w:hAnsi="Times New Roman" w:eastAsia="仿宋_GB2312" w:cs="Arial"/>
          <w:sz w:val="32"/>
          <w:szCs w:val="32"/>
        </w:rPr>
        <w:t>排查整治范围向二级</w:t>
      </w:r>
      <w:r>
        <w:rPr>
          <w:rFonts w:hint="eastAsia" w:ascii="仿宋_GB2312" w:hAnsi="Times New Roman" w:eastAsia="仿宋_GB2312" w:cs="Arial"/>
          <w:sz w:val="32"/>
          <w:szCs w:val="32"/>
          <w:lang w:eastAsia="zh-CN"/>
        </w:rPr>
        <w:t>及</w:t>
      </w:r>
      <w:r>
        <w:rPr>
          <w:rFonts w:hint="eastAsia" w:ascii="仿宋_GB2312" w:hAnsi="Times New Roman" w:eastAsia="仿宋_GB2312" w:cs="Arial"/>
          <w:sz w:val="32"/>
          <w:szCs w:val="32"/>
        </w:rPr>
        <w:t>以下支流、城市内河等全域延伸</w:t>
      </w:r>
      <w:bookmarkEnd w:id="11"/>
      <w:r>
        <w:rPr>
          <w:rFonts w:hint="eastAsia" w:ascii="仿宋_GB2312" w:hAnsi="Times New Roman" w:eastAsia="仿宋_GB2312" w:cs="Arial"/>
          <w:sz w:val="32"/>
          <w:szCs w:val="32"/>
        </w:rPr>
        <w:t>，建设“一口一码、分级监测、闭环监管”的入河排污口监测监管体系。按照分级监管原则，对规模以上的工矿企业入河排污口、工业及其他各类园区污水处理厂入河排污口、城镇污水处理厂入河排污口等进行重点监管。</w:t>
      </w:r>
    </w:p>
    <w:p w14:paraId="1A915FF9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ascii="仿宋_GB2312" w:hAnsi="Times New Roman" w:eastAsia="仿宋_GB2312" w:cs="Arial"/>
          <w:sz w:val="32"/>
          <w:szCs w:val="32"/>
        </w:rPr>
      </w:pPr>
      <w:bookmarkStart w:id="12" w:name="_Hlk240051436"/>
      <w:r>
        <w:rPr>
          <w:rFonts w:hint="eastAsia" w:ascii="仿宋_GB2312" w:hAnsi="Times New Roman" w:eastAsia="仿宋_GB2312" w:cs="Arial"/>
          <w:sz w:val="32"/>
          <w:szCs w:val="32"/>
        </w:rPr>
        <w:t>福州、厦门试点开展雨污合流污水雨季溢流污染控制</w:t>
      </w:r>
      <w:bookmarkEnd w:id="12"/>
      <w:r>
        <w:rPr>
          <w:rFonts w:hint="eastAsia" w:ascii="仿宋_GB2312" w:hAnsi="Times New Roman" w:eastAsia="仿宋_GB2312" w:cs="Arial"/>
          <w:sz w:val="32"/>
          <w:szCs w:val="32"/>
        </w:rPr>
        <w:t>，调查评估溢流对水环境影响，综合采取雨前降低管网水位、截流井改造、调蓄转运或快速净化等措施，在保障城市排水防涝安全的前提下，降低溢流污染强度。</w:t>
      </w:r>
    </w:p>
    <w:p w14:paraId="0802D2F6">
      <w:pPr>
        <w:numPr>
          <w:ilvl w:val="0"/>
          <w:numId w:val="0"/>
        </w:num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bookmarkStart w:id="13" w:name="_Hlk240051471"/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完善监督管理体系</w:t>
      </w:r>
      <w:bookmarkEnd w:id="13"/>
    </w:p>
    <w:p w14:paraId="633CE179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4" w:name="_Hlk240051686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13.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优化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拓展监测网络</w:t>
      </w:r>
      <w:bookmarkEnd w:id="1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推进水生态环境监测网络向重点入河排污口下游、农业灌溉水体、群众身边水体延伸，将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清单内的县城黑臭和农村小微水体</w:t>
      </w:r>
      <w:r>
        <w:rPr>
          <w:rFonts w:hint="eastAsia" w:ascii="仿宋_GB2312" w:hAnsi="仿宋_GB2312" w:eastAsia="仿宋_GB2312" w:cs="仿宋_GB2312"/>
          <w:sz w:val="32"/>
          <w:szCs w:val="32"/>
        </w:rPr>
        <w:t>纳入常态化监测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。因地制宜制定农业灌溉用水水质监测计划，对</w:t>
      </w:r>
      <w:r>
        <w:rPr>
          <w:rFonts w:hint="eastAsia" w:ascii="仿宋_GB2312" w:hAnsi="仿宋_GB2312" w:eastAsia="仿宋_GB2312" w:cs="仿宋_GB2312"/>
          <w:sz w:val="32"/>
          <w:szCs w:val="32"/>
        </w:rPr>
        <w:t>工业园区周边灌溉用水在灌溉期至少开展2次监测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包括临播种前、作物生长关键期。鼓励工业园区对雨洪排口开展视频监控或水质自动监测，鼓励非排污许可重点管理单位开展自动监测。按照规定明确多个单位和个人共用入河排污口的监测责任主体，开展监控、自动监测。加强水质监测与污染源、入河排污口监督监测联动溯源和数据分析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完善流域污染特征精准画像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1305215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14.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提升督察执法水平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加大对小流域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、农业灌溉水体和</w:t>
      </w:r>
      <w:r>
        <w:rPr>
          <w:rFonts w:hint="eastAsia" w:ascii="仿宋_GB2312" w:hAnsi="仿宋_GB2312" w:eastAsia="仿宋_GB2312" w:cs="仿宋_GB2312"/>
          <w:sz w:val="32"/>
          <w:szCs w:val="32"/>
        </w:rPr>
        <w:t>小微水体周边工业、农业、生活等污染源的执法力度，加强一网统飞无人机平台、卫星遥感、视频识别、大数据等技术在入河排污口、黑臭水体、畜禽养殖等非现场执法监管中的应用。依法打击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造成水体严重污染的</w:t>
      </w:r>
      <w:r>
        <w:rPr>
          <w:rFonts w:hint="eastAsia" w:ascii="仿宋_GB2312" w:hAnsi="仿宋_GB2312" w:eastAsia="仿宋_GB2312" w:cs="仿宋_GB2312"/>
          <w:sz w:val="32"/>
          <w:szCs w:val="32"/>
        </w:rPr>
        <w:t>违法犯罪行为，做实做细行政执法与刑事司法衔接，强化生态环境损害赔偿与检察公益诉讼协同。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推动将群众身边久拖未决的突出水污染问题，作为生态环境保护督察重点。</w:t>
      </w:r>
    </w:p>
    <w:p w14:paraId="78C82391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5" w:name="_Hlk240051695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/>
        </w:rPr>
        <w:t>15.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深化河湖长制</w:t>
      </w:r>
      <w:bookmarkEnd w:id="1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将群众身边水体作为河湖长制工作的重要任务，新发现的问题水体纳入河湖长制开展巡查管护，压实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基层</w:t>
      </w:r>
      <w:r>
        <w:rPr>
          <w:rFonts w:hint="eastAsia" w:ascii="仿宋_GB2312" w:hAnsi="仿宋_GB2312" w:eastAsia="仿宋_GB2312" w:cs="仿宋_GB2312"/>
          <w:sz w:val="32"/>
          <w:szCs w:val="32"/>
        </w:rPr>
        <w:t>河湖长和河道专管员的巡查、管护、问题交办等职责。鼓励全民参与水环境保护治理，将民间河长和特色护河队伍纳入群众身边水体巡查管护机制。</w:t>
      </w:r>
    </w:p>
    <w:p w14:paraId="09894A2D">
      <w:pPr>
        <w:numPr>
          <w:ilvl w:val="-1"/>
          <w:numId w:val="0"/>
        </w:numPr>
        <w:suppressAutoHyphens/>
        <w:adjustRightInd w:val="0"/>
        <w:snapToGrid w:val="0"/>
        <w:spacing w:after="0" w:line="348" w:lineRule="auto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6" w:name="_Hlk240051727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/>
        </w:rPr>
        <w:t>16.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打造群众身边水体治理样板</w:t>
      </w:r>
      <w:bookmarkEnd w:id="1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鼓励各地市建设一批美丽水细胞，将污染治理与生态修复、亲水设施有机结合，协同推进美丽河湖和幸福河湖建设，打造一批“小而美”治理样板，满足群众近水、亲水、乐水需求。</w:t>
      </w:r>
    </w:p>
    <w:p w14:paraId="286DA104">
      <w:pPr>
        <w:suppressAutoHyphens/>
        <w:adjustRightInd w:val="0"/>
        <w:snapToGrid w:val="0"/>
        <w:spacing w:after="0" w:line="348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地各部门要树立和践行正确政绩观，提高思想认识，切实履行主体责任，明确责任部门和任务要求，强化项目统筹和资金保障，有力解决群众反映强烈的水环境突出问题。各有关部门要按职责分工协作、齐抓共管，省级专项资金和各级财政资金积极支持群众身边水体保护治理。畅通12345、信访举报、投诉建议等监督渠道，及时处置涉群众身边水体舆情。重大事项及时按程序请示报告。</w:t>
      </w:r>
    </w:p>
    <w:p w14:paraId="7826A94C">
      <w:pPr>
        <w:suppressAutoHyphens/>
        <w:adjustRightInd w:val="0"/>
        <w:snapToGrid w:val="0"/>
        <w:spacing w:after="16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5B4C71B5">
      <w:pPr>
        <w:suppressAutoHyphens/>
        <w:adjustRightInd w:val="0"/>
        <w:snapToGrid w:val="0"/>
        <w:spacing w:after="16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5106D471">
      <w:pPr>
        <w:suppressAutoHyphens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32"/>
          <w:szCs w:val="22"/>
        </w:rPr>
      </w:pPr>
    </w:p>
    <w:p w14:paraId="76BFB4C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420" w:lineRule="auto"/>
        <w:textAlignment w:val="auto"/>
        <w:rPr>
          <w:rFonts w:hint="eastAsia" w:ascii="仿宋_GB2312" w:eastAsia="仿宋_GB2312" w:cs="仿宋_GB2312"/>
          <w:sz w:val="28"/>
          <w:szCs w:val="28"/>
          <w:lang w:eastAsia="zh-CN" w:bidi="ar-SA"/>
        </w:rPr>
      </w:pPr>
    </w:p>
    <w:sectPr>
      <w:footerReference r:id="rId5" w:type="first"/>
      <w:footerReference r:id="rId3" w:type="default"/>
      <w:footerReference r:id="rId4" w:type="even"/>
      <w:pgSz w:w="11907" w:h="16840"/>
      <w:pgMar w:top="2098" w:right="1588" w:bottom="2098" w:left="1588" w:header="851" w:footer="1701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E9449">
    <w:pPr>
      <w:widowControl w:val="0"/>
      <w:tabs>
        <w:tab w:val="center" w:pos="4153"/>
        <w:tab w:val="right" w:pos="8306"/>
      </w:tabs>
      <w:suppressAutoHyphens/>
      <w:snapToGrid w:val="0"/>
      <w:ind w:right="280"/>
      <w:jc w:val="right"/>
      <w:rPr>
        <w:rFonts w:hint="eastAsia" w:ascii="宋体" w:eastAsia="宋体" w:cs="Times New Roman"/>
        <w:sz w:val="28"/>
        <w:szCs w:val="28"/>
        <w:lang w:bidi="ar-S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CE187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uppressAutoHyphens/>
                            <w:snapToGrid w:val="0"/>
                            <w:ind w:right="280"/>
                            <w:jc w:val="right"/>
                          </w:pP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t>- 3 -</w:t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CE187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uppressAutoHyphens/>
                      <w:snapToGrid w:val="0"/>
                      <w:ind w:right="280"/>
                      <w:jc w:val="right"/>
                    </w:pP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begin"/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instrText xml:space="preserve"> PAGE </w:instrText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separate"/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t>- 3 -</w:t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F2D67">
    <w:pPr>
      <w:widowControl w:val="0"/>
      <w:tabs>
        <w:tab w:val="center" w:pos="4153"/>
        <w:tab w:val="right" w:pos="8306"/>
      </w:tabs>
      <w:suppressAutoHyphens/>
      <w:snapToGrid w:val="0"/>
      <w:ind w:firstLine="280" w:firstLineChars="100"/>
      <w:jc w:val="left"/>
      <w:rPr>
        <w:rFonts w:hint="eastAsia" w:ascii="宋体" w:eastAsia="宋体" w:cs="Times New Roman"/>
        <w:sz w:val="28"/>
        <w:szCs w:val="28"/>
        <w:lang w:eastAsia="ar-SA" w:bidi="ar-S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A87361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uppressAutoHyphens/>
                            <w:snapToGrid w:val="0"/>
                            <w:ind w:firstLine="280" w:firstLineChars="100"/>
                            <w:jc w:val="left"/>
                          </w:pP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t>- 2 -</w:t>
                          </w:r>
                          <w:r>
                            <w:rPr>
                              <w:rFonts w:hint="eastAsia" w:ascii="宋体" w:eastAsia="宋体" w:cs="Times New Roman"/>
                              <w:sz w:val="28"/>
                              <w:szCs w:val="28"/>
                              <w:lang w:eastAsia="ar-SA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A87361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uppressAutoHyphens/>
                      <w:snapToGrid w:val="0"/>
                      <w:ind w:firstLine="280" w:firstLineChars="100"/>
                      <w:jc w:val="left"/>
                    </w:pP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begin"/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instrText xml:space="preserve"> PAGE </w:instrText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separate"/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t>- 2 -</w:t>
                    </w:r>
                    <w:r>
                      <w:rPr>
                        <w:rFonts w:hint="eastAsia" w:ascii="宋体" w:eastAsia="宋体" w:cs="Times New Roman"/>
                        <w:sz w:val="28"/>
                        <w:szCs w:val="28"/>
                        <w:lang w:eastAsia="ar-SA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D191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evenAndOddHeaders w:val="1"/>
  <w:drawingGridHorizontalSpacing w:val="160"/>
  <w:drawingGridVerticalSpacing w:val="435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10"/>
    <w:rsid w:val="176D3825"/>
    <w:rsid w:val="2709414B"/>
    <w:rsid w:val="2FBACB1E"/>
    <w:rsid w:val="318215CA"/>
    <w:rsid w:val="33FEC142"/>
    <w:rsid w:val="3CF7F4D2"/>
    <w:rsid w:val="3DE3476C"/>
    <w:rsid w:val="3F3E4439"/>
    <w:rsid w:val="3F77F26E"/>
    <w:rsid w:val="3FDB67AD"/>
    <w:rsid w:val="426B31E3"/>
    <w:rsid w:val="54942232"/>
    <w:rsid w:val="577AAB81"/>
    <w:rsid w:val="5C493CAF"/>
    <w:rsid w:val="64B50A31"/>
    <w:rsid w:val="6F6BB2C3"/>
    <w:rsid w:val="6FFFB87C"/>
    <w:rsid w:val="745039B0"/>
    <w:rsid w:val="77BDCBEB"/>
    <w:rsid w:val="78F184A1"/>
    <w:rsid w:val="7CFD1A54"/>
    <w:rsid w:val="7FEE2E5E"/>
    <w:rsid w:val="9ADBF0BA"/>
    <w:rsid w:val="A7FF1EBA"/>
    <w:rsid w:val="C5FF346D"/>
    <w:rsid w:val="CDB2513C"/>
    <w:rsid w:val="DFB63BD8"/>
    <w:rsid w:val="E7D5854C"/>
    <w:rsid w:val="ED8B9D5F"/>
    <w:rsid w:val="EFE675D8"/>
    <w:rsid w:val="F5F6E9CB"/>
    <w:rsid w:val="F8CF84F3"/>
    <w:rsid w:val="FB8E77B6"/>
    <w:rsid w:val="FDF774A2"/>
    <w:rsid w:val="FEDB2215"/>
    <w:rsid w:val="FF3FC048"/>
    <w:rsid w:val="FF4A6FA7"/>
    <w:rsid w:val="FF9302D9"/>
    <w:rsid w:val="FFFFF7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Arial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ind w:firstLine="640" w:firstLineChars="200"/>
    </w:pPr>
    <w:rPr>
      <w:rFonts w:ascii="仿宋_GB2312" w:hAnsi="仿宋" w:eastAsia="仿宋_GB2312" w:cs="仿宋"/>
      <w:sz w:val="32"/>
      <w:szCs w:val="32"/>
    </w:rPr>
  </w:style>
  <w:style w:type="paragraph" w:styleId="3">
    <w:name w:val="Body Text Indent"/>
    <w:basedOn w:val="1"/>
    <w:next w:val="1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560" w:lineRule="exact"/>
      <w:ind w:left="0" w:right="0" w:firstLine="200" w:firstLineChars="200"/>
      <w:jc w:val="both"/>
      <w:textAlignment w:val="auto"/>
      <w:outlineLvl w:val="9"/>
    </w:pPr>
    <w:rPr>
      <w:rFonts w:ascii="Times New Roman" w:hAnsi="Times New Roman" w:eastAsia="仿宋_GB2312" w:cs="Times New Roman"/>
      <w:snapToGrid/>
      <w:color w:val="auto"/>
      <w:spacing w:val="0"/>
      <w:w w:val="100"/>
      <w:kern w:val="2"/>
      <w:position w:val="0"/>
      <w:sz w:val="32"/>
      <w:szCs w:val="24"/>
      <w:u w:val="none" w:color="auto"/>
      <w:vertAlign w:val="baseline"/>
      <w:lang w:val="en-US" w:eastAsia="zh-CN" w:bidi="ar-SA"/>
    </w:r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next w:val="1"/>
    <w:qFormat/>
    <w:uiPriority w:val="0"/>
    <w:pPr>
      <w:widowControl w:val="0"/>
      <w:spacing w:after="120" w:line="240" w:lineRule="atLeast"/>
      <w:ind w:left="200" w:leftChars="200" w:firstLine="420"/>
      <w:jc w:val="both"/>
    </w:pPr>
    <w:rPr>
      <w:rFonts w:ascii="Calibri" w:hAnsi="Calibri" w:eastAsia="仿宋_GB2312" w:cs="Times New Roman"/>
      <w:spacing w:val="-6"/>
      <w:kern w:val="2"/>
      <w:sz w:val="32"/>
      <w:szCs w:val="24"/>
      <w:lang w:val="en-US" w:eastAsia="zh-CN" w:bidi="ar-SA"/>
    </w:rPr>
  </w:style>
  <w:style w:type="paragraph" w:customStyle="1" w:styleId="10">
    <w:name w:val="Style 2"/>
    <w:basedOn w:val="1"/>
    <w:qFormat/>
    <w:uiPriority w:val="0"/>
    <w:pPr>
      <w:widowControl w:val="0"/>
      <w:spacing w:after="80" w:line="240" w:lineRule="auto"/>
      <w:ind w:firstLine="140"/>
    </w:pPr>
    <w:rPr>
      <w:rFonts w:cs="宋体"/>
      <w:sz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evecom</Company>
  <Pages>8</Pages>
  <Words>3831</Words>
  <Characters>3932</Characters>
  <TotalTime>2</TotalTime>
  <ScaleCrop>false</ScaleCrop>
  <LinksUpToDate>false</LinksUpToDate>
  <CharactersWithSpaces>3933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2014-08-29T16:34:00Z</dcterms:created>
  <dc:creator>超级管理员</dc:creator>
  <cp:lastModifiedBy>彩虹</cp:lastModifiedBy>
  <cp:lastPrinted>2022-10-26T06:56:00Z</cp:lastPrinted>
  <dcterms:modified xsi:type="dcterms:W3CDTF">2026-10-12T08:59:36Z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">
    <vt:lpwstr>2052-10.8.2.6837</vt:lpwstr>
  </property>
  <property fmtid="{D5CDD505-2E9C-101B-9397-08002B2CF9AE}" pid="3" name="KSOProductBuildVer">
    <vt:lpwstr>2052-12.1.0.28505</vt:lpwstr>
  </property>
  <property fmtid="{D5CDD505-2E9C-101B-9397-08002B2CF9AE}" pid="4" name="ICV">
    <vt:lpwstr>18B5DB7051254CD293FAE70F15D0EF66_13</vt:lpwstr>
  </property>
</Properties>
</file>