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rFonts w:ascii="Times New Roman" w:hAnsi="Times New Roman"/>
          <w:b/>
          <w:sz w:val="36"/>
          <w:szCs w:val="36"/>
        </w:rPr>
      </w:pPr>
    </w:p>
    <w:p>
      <w:pPr>
        <w:jc w:val="center"/>
        <w:rPr>
          <w:rFonts w:ascii="Times New Roman" w:hAnsi="Times New Roman"/>
          <w:b/>
          <w:sz w:val="36"/>
          <w:szCs w:val="36"/>
        </w:rPr>
      </w:pPr>
    </w:p>
    <w:p>
      <w:pPr>
        <w:jc w:val="center"/>
        <w:rPr>
          <w:rFonts w:ascii="Times New Roman" w:hAnsi="Times New Roman"/>
          <w:b/>
          <w:sz w:val="36"/>
          <w:szCs w:val="36"/>
        </w:rPr>
      </w:pPr>
    </w:p>
    <w:p>
      <w:pPr>
        <w:jc w:val="center"/>
        <w:rPr>
          <w:rFonts w:ascii="Times New Roman" w:hAnsi="Times New Roman"/>
          <w:b/>
          <w:sz w:val="36"/>
          <w:szCs w:val="36"/>
        </w:rPr>
      </w:pPr>
    </w:p>
    <w:p>
      <w:pPr>
        <w:spacing w:line="240" w:lineRule="auto"/>
        <w:ind w:firstLineChars="0" w:firstLine="0"/>
        <w:jc w:val="center"/>
        <w:rPr>
          <w:rFonts w:ascii="Times New Roman" w:eastAsia="华文中宋" w:hAnsi="Times New Roman"/>
          <w:b/>
          <w:sz w:val="52"/>
          <w:szCs w:val="52"/>
        </w:rPr>
      </w:pPr>
      <w:r>
        <w:rPr>
          <w:rFonts w:ascii="Times New Roman" w:eastAsia="华文中宋" w:hAnsi="Times New Roman"/>
          <w:b/>
          <w:sz w:val="52"/>
          <w:szCs w:val="52"/>
        </w:rPr>
        <w:t>福建省“十四五”空气质量改善</w:t>
      </w:r>
    </w:p>
    <w:p>
      <w:pPr>
        <w:spacing w:line="240" w:lineRule="auto"/>
        <w:ind w:firstLineChars="0" w:firstLine="0"/>
        <w:jc w:val="center"/>
        <w:rPr>
          <w:rFonts w:ascii="Times New Roman" w:eastAsia="华文中宋" w:hAnsi="Times New Roman"/>
          <w:b/>
          <w:sz w:val="52"/>
          <w:szCs w:val="52"/>
        </w:rPr>
      </w:pPr>
      <w:r>
        <w:rPr>
          <w:rFonts w:ascii="Times New Roman" w:eastAsia="华文中宋" w:hAnsi="Times New Roman"/>
          <w:b/>
          <w:sz w:val="52"/>
          <w:szCs w:val="52"/>
        </w:rPr>
        <w:t>规划</w:t>
      </w:r>
    </w:p>
    <w:p>
      <w:pPr>
        <w:spacing w:line="240" w:lineRule="auto"/>
        <w:ind w:firstLineChars="0" w:firstLine="0"/>
        <w:jc w:val="center"/>
        <w:rPr>
          <w:rFonts w:ascii="Times New Roman" w:eastAsia="楷体_GB2312" w:hAnsi="Times New Roman"/>
          <w:b/>
          <w:sz w:val="32"/>
          <w:szCs w:val="32"/>
        </w:rPr>
      </w:pPr>
    </w:p>
    <w:p>
      <w:pPr>
        <w:rPr>
          <w:rFonts w:ascii="Times New Roman" w:hAnsi="Times New Roman"/>
          <w:sz w:val="36"/>
          <w:szCs w:val="36"/>
        </w:rPr>
      </w:pPr>
    </w:p>
    <w:p>
      <w:pPr>
        <w:rPr>
          <w:rFonts w:ascii="Times New Roman" w:hAnsi="Times New Roman"/>
          <w:sz w:val="36"/>
          <w:szCs w:val="36"/>
        </w:rPr>
      </w:pPr>
    </w:p>
    <w:p>
      <w:pPr>
        <w:rPr>
          <w:rFonts w:ascii="Times New Roman" w:hAnsi="Times New Roman"/>
          <w:sz w:val="36"/>
          <w:szCs w:val="36"/>
        </w:rPr>
      </w:pPr>
    </w:p>
    <w:p>
      <w:pPr>
        <w:rPr>
          <w:rFonts w:ascii="Times New Roman" w:hAnsi="Times New Roman"/>
          <w:sz w:val="36"/>
          <w:szCs w:val="36"/>
        </w:rPr>
      </w:pPr>
    </w:p>
    <w:p>
      <w:pPr>
        <w:rPr>
          <w:rFonts w:ascii="Times New Roman" w:hAnsi="Times New Roman"/>
          <w:sz w:val="36"/>
          <w:szCs w:val="36"/>
        </w:rPr>
      </w:pPr>
    </w:p>
    <w:p>
      <w:pPr>
        <w:rPr>
          <w:rFonts w:ascii="Times New Roman" w:hAnsi="Times New Roman"/>
          <w:sz w:val="36"/>
          <w:szCs w:val="36"/>
        </w:rPr>
      </w:pPr>
    </w:p>
    <w:p>
      <w:pPr>
        <w:rPr>
          <w:rFonts w:ascii="Times New Roman" w:hAnsi="Times New Roman"/>
          <w:sz w:val="36"/>
          <w:szCs w:val="36"/>
        </w:rPr>
      </w:pPr>
    </w:p>
    <w:p>
      <w:pPr>
        <w:rPr>
          <w:rFonts w:ascii="Times New Roman" w:hAnsi="Times New Roman"/>
          <w:sz w:val="36"/>
          <w:szCs w:val="36"/>
        </w:rPr>
      </w:pPr>
      <w:bookmarkStart w:id="0" w:name="_GoBack"/>
      <w:bookmarkEnd w:id="0"/>
    </w:p>
    <w:p>
      <w:pPr>
        <w:rPr>
          <w:rFonts w:ascii="Times New Roman" w:hAnsi="Times New Roman"/>
          <w:sz w:val="36"/>
          <w:szCs w:val="36"/>
        </w:rPr>
      </w:pPr>
    </w:p>
    <w:p>
      <w:pPr>
        <w:rPr>
          <w:rFonts w:ascii="Times New Roman" w:hAnsi="Times New Roman"/>
          <w:sz w:val="36"/>
          <w:szCs w:val="36"/>
        </w:rPr>
      </w:pPr>
    </w:p>
    <w:p>
      <w:pPr>
        <w:rPr>
          <w:rFonts w:ascii="Times New Roman" w:hAnsi="Times New Roman"/>
          <w:sz w:val="36"/>
          <w:szCs w:val="36"/>
        </w:rPr>
      </w:pPr>
    </w:p>
    <w:p>
      <w:pPr>
        <w:rPr>
          <w:rFonts w:ascii="Times New Roman" w:hAnsi="Times New Roman"/>
          <w:sz w:val="36"/>
          <w:szCs w:val="36"/>
        </w:rPr>
      </w:pPr>
    </w:p>
    <w:p>
      <w:pPr>
        <w:spacing w:line="240" w:lineRule="auto"/>
        <w:ind w:firstLineChars="0" w:firstLine="0"/>
        <w:jc w:val="center"/>
        <w:rPr>
          <w:rFonts w:ascii="Times New Roman" w:eastAsia="黑体" w:hAnsi="Times New Roman"/>
          <w:b/>
          <w:sz w:val="36"/>
          <w:szCs w:val="36"/>
        </w:rPr>
      </w:pPr>
    </w:p>
    <w:p>
      <w:pPr>
        <w:spacing w:line="240" w:lineRule="auto"/>
        <w:ind w:firstLineChars="0" w:firstLine="0"/>
        <w:jc w:val="center"/>
        <w:rPr>
          <w:rFonts w:ascii="Times New Roman" w:eastAsia="黑体" w:hAnsi="Times New Roman"/>
          <w:b/>
          <w:sz w:val="36"/>
          <w:szCs w:val="36"/>
        </w:rPr>
      </w:pPr>
      <w:r>
        <w:rPr>
          <w:rFonts w:ascii="Times New Roman" w:eastAsia="黑体" w:hAnsi="Times New Roman"/>
          <w:b/>
          <w:sz w:val="36"/>
          <w:szCs w:val="36"/>
        </w:rPr>
        <w:t>二〇二二年一月</w:t>
      </w:r>
    </w:p>
    <w:p>
      <w:pPr>
        <w:pStyle w:val="1"/>
        <w:keepNext w:val="0"/>
        <w:keepLines w:val="0"/>
        <w:widowControl w:val="0"/>
        <w:jc w:val="center"/>
        <w:rPr>
          <w:rFonts w:ascii="Times New Roman" w:cs="Times New Roman" w:hAnsi="Times New Roman"/>
          <w:b w:val="0"/>
          <w:bCs w:val="0"/>
          <w:kern w:val="2"/>
          <w:sz w:val="36"/>
          <w:szCs w:val="36"/>
        </w:rPr>
      </w:pPr>
      <w:r>
        <w:rPr>
          <w:rFonts w:ascii="Times New Roman" w:cs="Times New Roman" w:hAnsi="Times New Roman"/>
        </w:rPr>
        <w:br w:type="page"/>
      </w:r>
      <w:bookmarkStart w:id="1" w:name="_Toc89691233"/>
      <w:r>
        <w:rPr>
          <w:rFonts w:ascii="Times New Roman" w:cs="Times New Roman" w:hAnsi="Times New Roman"/>
          <w:b w:val="0"/>
          <w:bCs w:val="0"/>
          <w:kern w:val="2"/>
          <w:sz w:val="36"/>
          <w:szCs w:val="36"/>
        </w:rPr>
        <w:t>前   言</w:t>
      </w:r>
      <w:bookmarkEnd w:id="1"/>
    </w:p>
    <w:p>
      <w:pPr>
        <w:rPr>
          <w:rFonts w:ascii="Times New Roman" w:hAnsi="Times New Roman"/>
          <w:sz w:val="32"/>
          <w:szCs w:val="32"/>
        </w:rPr>
      </w:pPr>
    </w:p>
    <w:p>
      <w:pPr>
        <w:rPr>
          <w:rFonts w:ascii="仿宋_GB2312"/>
          <w:sz w:val="32"/>
          <w:szCs w:val="32"/>
        </w:rPr>
      </w:pPr>
      <w:r>
        <w:rPr>
          <w:rFonts w:ascii="仿宋_GB2312" w:hint="eastAsia"/>
          <w:sz w:val="32"/>
          <w:szCs w:val="32"/>
        </w:rPr>
        <w:t>福建地处台湾海峡西岸，山海相连、美丽清新，是首个国家生态文明试验区。2020年地区生产总值达到4.39万亿元，位居全国第七位，细颗粒物（PM</w:t>
      </w:r>
      <w:r>
        <w:rPr>
          <w:rFonts w:ascii="仿宋_GB2312" w:hint="eastAsia"/>
          <w:sz w:val="32"/>
          <w:szCs w:val="32"/>
          <w:vertAlign w:val="subscript"/>
        </w:rPr>
        <w:t>2.5</w:t>
      </w:r>
      <w:r>
        <w:rPr>
          <w:rFonts w:ascii="仿宋_GB2312" w:hint="eastAsia"/>
          <w:sz w:val="32"/>
          <w:szCs w:val="32"/>
        </w:rPr>
        <w:t>）浓度20微克/立方米，优于世界卫生组织第二阶段标准（25微克/立方米）。大气环境质量持续保持全国领先，初步实现了经济社会“高素质”和生态环境“高颜值”协同发展。</w:t>
      </w:r>
    </w:p>
    <w:p>
      <w:pPr>
        <w:rPr>
          <w:rFonts w:ascii="仿宋_GB2312"/>
          <w:sz w:val="32"/>
          <w:szCs w:val="32"/>
        </w:rPr>
      </w:pPr>
      <w:r>
        <w:rPr>
          <w:rFonts w:ascii="仿宋_GB2312" w:hint="eastAsia"/>
          <w:sz w:val="32"/>
          <w:szCs w:val="32"/>
        </w:rPr>
        <w:t>“十三五”期间，福建始终坚持以习近平新时代中国特色社会主义思想为指导，持之以恒推进生态文明建设，深入实施《大气污染防治行动计划》和《打赢蓝天保卫战三年行动计划》，圆满完成污染防治攻坚战阶段性目标任务，PM</w:t>
      </w:r>
      <w:r>
        <w:rPr>
          <w:rFonts w:ascii="仿宋_GB2312" w:hint="eastAsia"/>
          <w:sz w:val="32"/>
          <w:szCs w:val="32"/>
          <w:vertAlign w:val="subscript"/>
        </w:rPr>
        <w:t>2.5</w:t>
      </w:r>
      <w:r>
        <w:rPr>
          <w:rFonts w:ascii="仿宋_GB2312" w:hint="eastAsia"/>
          <w:sz w:val="32"/>
          <w:szCs w:val="32"/>
        </w:rPr>
        <w:t>浓度持续下降，环境空气质量优良天数比例达98.8%，空气质量持续改善，人民群众蓝天获得感显著提升。但是，近年来臭氧（O</w:t>
      </w:r>
      <w:r>
        <w:rPr>
          <w:rFonts w:ascii="仿宋_GB2312" w:hint="eastAsia"/>
          <w:sz w:val="32"/>
          <w:szCs w:val="32"/>
          <w:vertAlign w:val="subscript"/>
        </w:rPr>
        <w:t>3</w:t>
      </w:r>
      <w:r>
        <w:rPr>
          <w:rFonts w:ascii="仿宋_GB2312" w:hint="eastAsia"/>
          <w:sz w:val="32"/>
          <w:szCs w:val="32"/>
        </w:rPr>
        <w:t>）浓度呈缓慢上升趋势，特别是沿海区域产业布局集中，海陆交错大气污染机制复杂，臭氧和细颗粒物污染协同防治面临新的挑战。</w:t>
      </w:r>
    </w:p>
    <w:p>
      <w:pPr>
        <w:rPr>
          <w:rFonts w:ascii="仿宋_GB2312"/>
          <w:sz w:val="32"/>
          <w:szCs w:val="32"/>
        </w:rPr>
      </w:pPr>
      <w:r>
        <w:rPr>
          <w:rFonts w:ascii="仿宋_GB2312" w:hint="eastAsia"/>
          <w:sz w:val="32"/>
          <w:szCs w:val="32"/>
        </w:rPr>
        <w:t>“十四五”时期是福建省全方位推进高质量发展超越的关键时期。为巩固提升蓝天保卫战成果，不断增强人民群众蓝天白云幸福感，按照减污降碳协同增效总要求，以臭氧和细颗粒物协同控制为目标，持续加大能源结构、产业结构、运输结构、用地结构调整优化力度，强化挥发性有机物（VOCs）和氮氧化物（NOx）协同减排，全面推进大气环境治理体系和治理能力现代化，深入打好蓝天保卫战，以“福建蓝”助推全省经济高质量发展，助力美丽福建建设，制定本规划。</w:t>
      </w:r>
    </w:p>
    <w:p>
      <w:pPr>
        <w:rPr>
          <w:rFonts w:ascii="仿宋_GB2312"/>
          <w:sz w:val="32"/>
          <w:szCs w:val="32"/>
        </w:rPr>
      </w:pPr>
      <w:r>
        <w:rPr>
          <w:rFonts w:ascii="仿宋_GB2312" w:hint="eastAsia"/>
          <w:sz w:val="32"/>
          <w:szCs w:val="32"/>
        </w:rPr>
        <w:t>本规划基准年为2020年，规划期为2021-2025年。</w:t>
      </w:r>
    </w:p>
    <w:p>
      <w:pPr>
        <w:rPr>
          <w:rFonts w:ascii="Times New Roman" w:hAnsi="Times New Roman"/>
        </w:rPr>
      </w:pPr>
      <w:r>
        <w:rPr>
          <w:rFonts w:ascii="Times New Roman" w:hAnsi="Times New Roman"/>
        </w:rPr>
        <w:br w:type="page"/>
      </w:r>
    </w:p>
    <w:p>
      <w:pPr>
        <w:pStyle w:val="57"/>
        <w:adjustRightInd w:val="0"/>
        <w:snapToGrid w:val="0"/>
        <w:spacing w:before="0" w:line="360" w:lineRule="auto"/>
        <w:jc w:val="center"/>
        <w:rPr>
          <w:rFonts w:ascii="Times New Roman" w:eastAsia="黑体" w:cs="Times New Roman" w:hAnsi="Times New Roman"/>
          <w:bCs/>
          <w:color w:val="auto"/>
          <w:sz w:val="36"/>
          <w:szCs w:val="36"/>
        </w:rPr>
      </w:pPr>
      <w:r>
        <w:rPr>
          <w:rFonts w:ascii="Times New Roman" w:eastAsia="黑体" w:cs="Times New Roman" w:hAnsi="Times New Roman"/>
          <w:bCs/>
          <w:color w:val="auto"/>
          <w:sz w:val="36"/>
          <w:szCs w:val="36"/>
          <w:lang w:val="zh-CN"/>
        </w:rPr>
        <w:t>目   录</w:t>
      </w:r>
    </w:p>
    <w:p>
      <w:pPr>
        <w:pStyle w:val="37"/>
        <w:tabs>
          <w:tab w:val="right" w:leader="dot" w:pos="8296"/>
        </w:tabs>
        <w:spacing w:line="336" w:lineRule="auto"/>
        <w:rPr>
          <w:rFonts w:ascii="Times New Roman" w:hAnsi="Times New Roman"/>
          <w:b w:val="0"/>
          <w:bCs w:val="0"/>
          <w:caps w:val="0"/>
          <w:smallCaps w:val="0"/>
          <w:sz w:val="24"/>
          <w:szCs w:val="24"/>
        </w:rPr>
      </w:pPr>
      <w:r>
        <w:rPr>
          <w:rFonts w:ascii="Times New Roman" w:eastAsia="楷体_GB2312" w:hAnsi="Times New Roman"/>
          <w:sz w:val="30"/>
          <w:szCs w:val="30"/>
        </w:rPr>
        <w:fldChar w:fldCharType="begin"/>
      </w:r>
      <w:r>
        <w:rPr>
          <w:rFonts w:ascii="Times New Roman" w:eastAsia="楷体_GB2312" w:hAnsi="Times New Roman"/>
          <w:sz w:val="30"/>
          <w:szCs w:val="30"/>
        </w:rPr>
        <w:instrText xml:space="preserve"> TOC \o "1-3" \h \z \u </w:instrText>
      </w:r>
      <w:r>
        <w:rPr>
          <w:rFonts w:ascii="Times New Roman" w:eastAsia="楷体_GB2312" w:hAnsi="Times New Roman"/>
          <w:sz w:val="30"/>
          <w:szCs w:val="30"/>
        </w:rPr>
        <w:fldChar w:fldCharType="separate"/>
      </w:r>
    </w:p>
    <w:p>
      <w:pPr>
        <w:pStyle w:val="37"/>
        <w:tabs>
          <w:tab w:val="right" w:leader="dot" w:pos="8296"/>
        </w:tabs>
        <w:spacing w:line="336" w:lineRule="auto"/>
        <w:rPr>
          <w:rFonts w:ascii="黑体" w:eastAsia="黑体"/>
          <w:b w:val="0"/>
          <w:bCs w:val="0"/>
          <w:caps w:val="0"/>
          <w:smallCaps w:val="0"/>
          <w:sz w:val="28"/>
          <w:szCs w:val="28"/>
        </w:rPr>
      </w:pPr>
      <w:r>
        <w:fldChar w:fldCharType="begin"/>
      </w:r>
      <w:r>
        <w:instrText>Hyperlink \l "_Toc89691234"</w:instrText>
      </w:r>
      <w:r>
        <w:fldChar w:fldCharType="separate"/>
      </w:r>
      <w:r>
        <w:rPr>
          <w:rFonts w:ascii="黑体" w:eastAsia="黑体"/>
          <w:sz w:val="28"/>
          <w:szCs w:val="28"/>
        </w:rPr>
        <w:t>第一章 形势与挑战</w:t>
        <w:tab/>
      </w:r>
      <w:r>
        <w:rPr>
          <w:rFonts w:ascii="黑体" w:eastAsia="黑体"/>
          <w:sz w:val="28"/>
          <w:szCs w:val="28"/>
        </w:rPr>
        <w:fldChar w:fldCharType="begin"/>
      </w:r>
      <w:r>
        <w:rPr>
          <w:rFonts w:ascii="黑体" w:eastAsia="黑体"/>
          <w:sz w:val="28"/>
          <w:szCs w:val="28"/>
        </w:rPr>
        <w:instrText xml:space="preserve"> PAGEREF _Toc89691234 \h </w:instrText>
      </w:r>
      <w:r>
        <w:rPr>
          <w:rFonts w:ascii="黑体" w:eastAsia="黑体"/>
          <w:sz w:val="28"/>
          <w:szCs w:val="28"/>
        </w:rPr>
        <w:fldChar w:fldCharType="separate"/>
      </w:r>
      <w:r>
        <w:rPr>
          <w:rFonts w:ascii="黑体" w:eastAsia="黑体"/>
          <w:sz w:val="28"/>
          <w:szCs w:val="28"/>
        </w:rPr>
        <w:t>1</w:t>
      </w:r>
      <w:r>
        <w:rPr>
          <w:rFonts w:ascii="黑体" w:eastAsia="黑体"/>
          <w:sz w:val="28"/>
          <w:szCs w:val="28"/>
        </w:rPr>
        <w:fldChar w:fldCharType="end"/>
      </w:r>
      <w:r>
        <w:fldChar w:fldCharType="end"/>
      </w:r>
    </w:p>
    <w:p>
      <w:pPr>
        <w:pStyle w:val="44"/>
        <w:tabs>
          <w:tab w:val="right" w:leader="dot" w:pos="8296"/>
        </w:tabs>
        <w:spacing w:line="336" w:lineRule="auto"/>
        <w:rPr>
          <w:rFonts w:ascii="仿宋_GB2312"/>
          <w:b w:val="0"/>
          <w:bCs/>
          <w:caps w:val="0"/>
          <w:smallCaps w:val="0"/>
          <w:sz w:val="24"/>
          <w:szCs w:val="24"/>
        </w:rPr>
      </w:pPr>
      <w:r>
        <w:fldChar w:fldCharType="begin"/>
      </w:r>
      <w:r>
        <w:instrText>Hyperlink \l "_Toc89691235"</w:instrText>
      </w:r>
      <w:r>
        <w:fldChar w:fldCharType="separate"/>
      </w:r>
      <w:r>
        <w:rPr>
          <w:rFonts w:ascii="仿宋_GB2312" w:hint="eastAsia"/>
          <w:b w:val="0"/>
          <w:bCs/>
          <w:sz w:val="24"/>
          <w:szCs w:val="24"/>
        </w:rPr>
        <w:t>第一节 “十三五”工作成效</w:t>
        <w:tab/>
      </w:r>
      <w:r>
        <w:rPr>
          <w:rFonts w:ascii="仿宋_GB2312" w:hint="eastAsia"/>
          <w:b w:val="0"/>
          <w:bCs/>
          <w:sz w:val="24"/>
          <w:szCs w:val="24"/>
        </w:rPr>
        <w:fldChar w:fldCharType="begin"/>
      </w:r>
      <w:r>
        <w:rPr>
          <w:rFonts w:ascii="仿宋_GB2312" w:hint="eastAsia"/>
          <w:b w:val="0"/>
          <w:bCs/>
          <w:sz w:val="24"/>
          <w:szCs w:val="24"/>
        </w:rPr>
        <w:instrText xml:space="preserve"> PAGEREF _Toc89691235 \h </w:instrText>
      </w:r>
      <w:r>
        <w:rPr>
          <w:rFonts w:ascii="仿宋_GB2312" w:hint="eastAsia"/>
          <w:b w:val="0"/>
          <w:bCs/>
          <w:sz w:val="24"/>
          <w:szCs w:val="24"/>
        </w:rPr>
        <w:fldChar w:fldCharType="separate"/>
      </w:r>
      <w:r>
        <w:rPr>
          <w:rFonts w:ascii="仿宋_GB2312"/>
          <w:b w:val="0"/>
          <w:bCs/>
          <w:sz w:val="24"/>
          <w:szCs w:val="24"/>
        </w:rPr>
        <w:t>1</w:t>
      </w:r>
      <w:r>
        <w:rPr>
          <w:rFonts w:ascii="仿宋_GB2312" w:hint="eastAsia"/>
          <w:b w:val="0"/>
          <w:bCs/>
          <w:sz w:val="24"/>
          <w:szCs w:val="24"/>
        </w:rPr>
        <w:fldChar w:fldCharType="end"/>
      </w:r>
      <w:r>
        <w:fldChar w:fldCharType="end"/>
      </w:r>
    </w:p>
    <w:p>
      <w:pPr>
        <w:pStyle w:val="44"/>
        <w:tabs>
          <w:tab w:val="right" w:leader="dot" w:pos="8296"/>
        </w:tabs>
        <w:spacing w:line="336" w:lineRule="auto"/>
        <w:rPr>
          <w:rFonts w:ascii="仿宋_GB2312"/>
          <w:b w:val="0"/>
          <w:bCs/>
          <w:caps w:val="0"/>
          <w:smallCaps w:val="0"/>
          <w:sz w:val="24"/>
          <w:szCs w:val="24"/>
        </w:rPr>
      </w:pPr>
      <w:r>
        <w:fldChar w:fldCharType="begin"/>
      </w:r>
      <w:r>
        <w:instrText>Hyperlink \l "_Toc89691236"</w:instrText>
      </w:r>
      <w:r>
        <w:fldChar w:fldCharType="separate"/>
      </w:r>
      <w:r>
        <w:rPr>
          <w:rFonts w:ascii="仿宋_GB2312" w:hint="eastAsia"/>
          <w:b w:val="0"/>
          <w:bCs/>
          <w:sz w:val="24"/>
          <w:szCs w:val="24"/>
        </w:rPr>
        <w:t>第二节 存在问题与挑战</w:t>
        <w:tab/>
      </w:r>
      <w:r>
        <w:rPr>
          <w:rFonts w:ascii="仿宋_GB2312" w:hint="eastAsia"/>
          <w:b w:val="0"/>
          <w:bCs/>
          <w:sz w:val="24"/>
          <w:szCs w:val="24"/>
        </w:rPr>
        <w:fldChar w:fldCharType="begin"/>
      </w:r>
      <w:r>
        <w:rPr>
          <w:rFonts w:ascii="仿宋_GB2312" w:hint="eastAsia"/>
          <w:b w:val="0"/>
          <w:bCs/>
          <w:sz w:val="24"/>
          <w:szCs w:val="24"/>
        </w:rPr>
        <w:instrText xml:space="preserve"> PAGEREF _Toc89691236 \h </w:instrText>
      </w:r>
      <w:r>
        <w:rPr>
          <w:rFonts w:ascii="仿宋_GB2312" w:hint="eastAsia"/>
          <w:b w:val="0"/>
          <w:bCs/>
          <w:sz w:val="24"/>
          <w:szCs w:val="24"/>
        </w:rPr>
        <w:fldChar w:fldCharType="separate"/>
      </w:r>
      <w:r>
        <w:rPr>
          <w:rFonts w:ascii="仿宋_GB2312"/>
          <w:b w:val="0"/>
          <w:bCs/>
          <w:sz w:val="24"/>
          <w:szCs w:val="24"/>
        </w:rPr>
        <w:t>3</w:t>
      </w:r>
      <w:r>
        <w:rPr>
          <w:rFonts w:ascii="仿宋_GB2312" w:hint="eastAsia"/>
          <w:b w:val="0"/>
          <w:bCs/>
          <w:sz w:val="24"/>
          <w:szCs w:val="24"/>
        </w:rPr>
        <w:fldChar w:fldCharType="end"/>
      </w:r>
      <w:r>
        <w:fldChar w:fldCharType="end"/>
      </w:r>
    </w:p>
    <w:p>
      <w:pPr>
        <w:pStyle w:val="37"/>
        <w:tabs>
          <w:tab w:val="right" w:leader="dot" w:pos="8296"/>
        </w:tabs>
        <w:spacing w:line="336" w:lineRule="auto"/>
        <w:rPr>
          <w:rStyle w:val="54"/>
          <w:rFonts w:ascii="黑体" w:eastAsia="黑体"/>
          <w:sz w:val="28"/>
          <w:szCs w:val="28"/>
        </w:rPr>
      </w:pPr>
      <w:r>
        <w:fldChar w:fldCharType="begin"/>
      </w:r>
      <w:r>
        <w:instrText>Hyperlink \l "_Toc89691237"</w:instrText>
      </w:r>
      <w:r>
        <w:fldChar w:fldCharType="separate"/>
      </w:r>
      <w:r>
        <w:rPr>
          <w:rFonts w:ascii="黑体" w:eastAsia="黑体"/>
          <w:sz w:val="28"/>
          <w:szCs w:val="28"/>
        </w:rPr>
        <w:t>第二章 总体要求</w:t>
        <w:tab/>
      </w:r>
      <w:r>
        <w:rPr>
          <w:rStyle w:val="54"/>
          <w:rFonts w:ascii="黑体" w:eastAsia="黑体"/>
          <w:sz w:val="28"/>
          <w:szCs w:val="28"/>
        </w:rPr>
        <w:fldChar w:fldCharType="begin"/>
      </w:r>
      <w:r>
        <w:rPr>
          <w:rStyle w:val="54"/>
          <w:rFonts w:ascii="黑体" w:eastAsia="黑体"/>
          <w:sz w:val="28"/>
          <w:szCs w:val="28"/>
        </w:rPr>
        <w:instrText xml:space="preserve"> PAGEREF _Toc89691237 \h </w:instrText>
      </w:r>
      <w:r>
        <w:rPr>
          <w:rStyle w:val="54"/>
          <w:rFonts w:ascii="黑体" w:eastAsia="黑体"/>
          <w:sz w:val="28"/>
          <w:szCs w:val="28"/>
        </w:rPr>
        <w:fldChar w:fldCharType="separate"/>
      </w:r>
      <w:r>
        <w:rPr>
          <w:rFonts w:ascii="黑体" w:eastAsia="黑体"/>
          <w:sz w:val="28"/>
          <w:szCs w:val="28"/>
        </w:rPr>
        <w:t>6</w:t>
      </w:r>
      <w:r>
        <w:rPr>
          <w:rStyle w:val="54"/>
          <w:rFonts w:ascii="黑体" w:eastAsia="黑体"/>
          <w:sz w:val="28"/>
          <w:szCs w:val="28"/>
        </w:rPr>
        <w:fldChar w:fldCharType="end"/>
      </w:r>
      <w:r>
        <w:fldChar w:fldCharType="end"/>
      </w:r>
    </w:p>
    <w:p>
      <w:pPr>
        <w:pStyle w:val="44"/>
        <w:tabs>
          <w:tab w:val="right" w:leader="dot" w:pos="8296"/>
        </w:tabs>
        <w:spacing w:line="336" w:lineRule="auto"/>
        <w:rPr>
          <w:rStyle w:val="54"/>
          <w:rFonts w:ascii="仿宋_GB2312" w:hAnsi="仿宋_GB2312"/>
          <w:b w:val="0"/>
          <w:bCs/>
          <w:sz w:val="24"/>
          <w:szCs w:val="24"/>
        </w:rPr>
      </w:pPr>
      <w:r>
        <w:fldChar w:fldCharType="begin"/>
      </w:r>
      <w:r>
        <w:instrText>Hyperlink \l "_Toc89691238"</w:instrText>
      </w:r>
      <w:r>
        <w:fldChar w:fldCharType="separate"/>
      </w:r>
      <w:r>
        <w:rPr>
          <w:rFonts w:ascii="仿宋_GB2312"/>
          <w:b w:val="0"/>
          <w:bCs/>
          <w:sz w:val="24"/>
          <w:szCs w:val="24"/>
        </w:rPr>
        <w:t>第一节 指导思想</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_Toc89691238 \h </w:instrText>
      </w:r>
      <w:r>
        <w:rPr>
          <w:rStyle w:val="54"/>
          <w:rFonts w:ascii="仿宋_GB2312" w:hAnsi="仿宋_GB2312"/>
          <w:b w:val="0"/>
          <w:bCs/>
          <w:sz w:val="24"/>
          <w:szCs w:val="24"/>
        </w:rPr>
        <w:fldChar w:fldCharType="separate"/>
      </w:r>
      <w:r>
        <w:rPr>
          <w:rFonts w:ascii="仿宋_GB2312"/>
          <w:b w:val="0"/>
          <w:bCs/>
          <w:sz w:val="24"/>
          <w:szCs w:val="24"/>
        </w:rPr>
        <w:t>6</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 w:val="0"/>
          <w:bCs/>
          <w:sz w:val="24"/>
          <w:szCs w:val="24"/>
        </w:rPr>
      </w:pPr>
      <w:r>
        <w:fldChar w:fldCharType="begin"/>
      </w:r>
      <w:r>
        <w:instrText>Hyperlink \l "_Toc89691239"</w:instrText>
      </w:r>
      <w:r>
        <w:fldChar w:fldCharType="separate"/>
      </w:r>
      <w:r>
        <w:rPr>
          <w:rFonts w:ascii="仿宋_GB2312"/>
          <w:b w:val="0"/>
          <w:bCs/>
          <w:sz w:val="24"/>
          <w:szCs w:val="24"/>
        </w:rPr>
        <w:t>第二节 基本原则</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_Toc89691239 \h </w:instrText>
      </w:r>
      <w:r>
        <w:rPr>
          <w:rStyle w:val="54"/>
          <w:rFonts w:ascii="仿宋_GB2312" w:hAnsi="仿宋_GB2312"/>
          <w:b w:val="0"/>
          <w:bCs/>
          <w:sz w:val="24"/>
          <w:szCs w:val="24"/>
        </w:rPr>
        <w:fldChar w:fldCharType="separate"/>
      </w:r>
      <w:r>
        <w:rPr>
          <w:rFonts w:ascii="仿宋_GB2312"/>
          <w:b w:val="0"/>
          <w:bCs/>
          <w:sz w:val="24"/>
          <w:szCs w:val="24"/>
        </w:rPr>
        <w:t>6</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 w:val="0"/>
          <w:bCs/>
          <w:sz w:val="24"/>
          <w:szCs w:val="24"/>
        </w:rPr>
      </w:pPr>
      <w:r>
        <w:fldChar w:fldCharType="begin"/>
      </w:r>
      <w:r>
        <w:instrText>Hyperlink \l "_Toc89691240"</w:instrText>
      </w:r>
      <w:r>
        <w:fldChar w:fldCharType="separate"/>
      </w:r>
      <w:r>
        <w:rPr>
          <w:rFonts w:ascii="仿宋_GB2312"/>
          <w:b w:val="0"/>
          <w:bCs/>
          <w:sz w:val="24"/>
          <w:szCs w:val="24"/>
        </w:rPr>
        <w:t>第三节 目标指标</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_Toc89691240 \h </w:instrText>
      </w:r>
      <w:r>
        <w:rPr>
          <w:rStyle w:val="54"/>
          <w:rFonts w:ascii="仿宋_GB2312" w:hAnsi="仿宋_GB2312"/>
          <w:b w:val="0"/>
          <w:bCs/>
          <w:sz w:val="24"/>
          <w:szCs w:val="24"/>
        </w:rPr>
        <w:fldChar w:fldCharType="separate"/>
      </w:r>
      <w:r>
        <w:rPr>
          <w:rFonts w:ascii="仿宋_GB2312"/>
          <w:b w:val="0"/>
          <w:bCs/>
          <w:sz w:val="24"/>
          <w:szCs w:val="24"/>
        </w:rPr>
        <w:t>7</w:t>
      </w:r>
      <w:r>
        <w:rPr>
          <w:rStyle w:val="54"/>
          <w:rFonts w:ascii="仿宋_GB2312" w:hAnsi="仿宋_GB2312"/>
          <w:b w:val="0"/>
          <w:bCs/>
          <w:sz w:val="24"/>
          <w:szCs w:val="24"/>
        </w:rPr>
        <w:fldChar w:fldCharType="end"/>
      </w:r>
      <w:r>
        <w:fldChar w:fldCharType="end"/>
      </w:r>
    </w:p>
    <w:p>
      <w:pPr>
        <w:pStyle w:val="37"/>
        <w:tabs>
          <w:tab w:val="right" w:leader="dot" w:pos="8296"/>
        </w:tabs>
        <w:spacing w:line="336" w:lineRule="auto"/>
        <w:rPr>
          <w:rStyle w:val="54"/>
          <w:rFonts w:ascii="黑体" w:eastAsia="黑体"/>
          <w:sz w:val="28"/>
          <w:szCs w:val="28"/>
        </w:rPr>
      </w:pPr>
      <w:r>
        <w:fldChar w:fldCharType="begin"/>
      </w:r>
      <w:r>
        <w:instrText>Hyperlink \l "_Toc89691241"</w:instrText>
      </w:r>
      <w:r>
        <w:fldChar w:fldCharType="separate"/>
      </w:r>
      <w:r>
        <w:rPr>
          <w:rFonts w:ascii="黑体" w:eastAsia="黑体"/>
          <w:sz w:val="28"/>
          <w:szCs w:val="28"/>
        </w:rPr>
        <w:t>第三章 优化产业结构，促进产业产品绿色升级</w:t>
        <w:tab/>
      </w:r>
      <w:r>
        <w:rPr>
          <w:rStyle w:val="54"/>
          <w:rFonts w:ascii="黑体" w:eastAsia="黑体"/>
          <w:sz w:val="28"/>
          <w:szCs w:val="28"/>
        </w:rPr>
        <w:fldChar w:fldCharType="begin"/>
      </w:r>
      <w:r>
        <w:rPr>
          <w:rStyle w:val="54"/>
          <w:rFonts w:ascii="黑体" w:eastAsia="黑体"/>
          <w:sz w:val="28"/>
          <w:szCs w:val="28"/>
        </w:rPr>
        <w:instrText xml:space="preserve"> PAGEREF _Toc89691241 \h </w:instrText>
      </w:r>
      <w:r>
        <w:rPr>
          <w:rStyle w:val="54"/>
          <w:rFonts w:ascii="黑体" w:eastAsia="黑体"/>
          <w:sz w:val="28"/>
          <w:szCs w:val="28"/>
        </w:rPr>
        <w:fldChar w:fldCharType="separate"/>
      </w:r>
      <w:r>
        <w:rPr>
          <w:rFonts w:ascii="黑体" w:eastAsia="黑体"/>
          <w:sz w:val="28"/>
          <w:szCs w:val="28"/>
        </w:rPr>
        <w:t>10</w:t>
      </w:r>
      <w:r>
        <w:rPr>
          <w:rStyle w:val="54"/>
          <w:rFonts w:ascii="黑体" w:eastAsia="黑体"/>
          <w:sz w:val="28"/>
          <w:szCs w:val="28"/>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"_Toc89691242"</w:instrText>
      </w:r>
      <w:r>
        <w:fldChar w:fldCharType="separate"/>
      </w:r>
      <w:r>
        <w:rPr>
          <w:rFonts w:ascii="仿宋_GB2312"/>
          <w:b w:val="0"/>
          <w:bCs/>
          <w:sz w:val="24"/>
          <w:szCs w:val="24"/>
        </w:rPr>
        <w:t>第一节 严格环境准入要求</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_Toc89691242 \h </w:instrText>
      </w:r>
      <w:r>
        <w:rPr>
          <w:rStyle w:val="54"/>
          <w:rFonts w:ascii="仿宋_GB2312" w:hAnsi="仿宋_GB2312"/>
          <w:b w:val="0"/>
          <w:bCs/>
          <w:sz w:val="24"/>
          <w:szCs w:val="24"/>
        </w:rPr>
        <w:fldChar w:fldCharType="separate"/>
      </w:r>
      <w:r>
        <w:rPr>
          <w:rFonts w:ascii="仿宋_GB2312"/>
          <w:b w:val="0"/>
          <w:bCs/>
          <w:sz w:val="24"/>
          <w:szCs w:val="24"/>
        </w:rPr>
        <w:t>10</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"_Toc89691243"</w:instrText>
      </w:r>
      <w:r>
        <w:fldChar w:fldCharType="separate"/>
      </w:r>
      <w:r>
        <w:rPr>
          <w:rFonts w:ascii="仿宋_GB2312"/>
          <w:b w:val="0"/>
          <w:bCs/>
          <w:sz w:val="24"/>
          <w:szCs w:val="24"/>
        </w:rPr>
        <w:t>第二节 优化产业布局</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_Toc89691243 \h </w:instrText>
      </w:r>
      <w:r>
        <w:rPr>
          <w:rStyle w:val="54"/>
          <w:rFonts w:ascii="仿宋_GB2312" w:hAnsi="仿宋_GB2312"/>
          <w:b w:val="0"/>
          <w:bCs/>
          <w:sz w:val="24"/>
          <w:szCs w:val="24"/>
        </w:rPr>
        <w:fldChar w:fldCharType="separate"/>
      </w:r>
      <w:r>
        <w:rPr>
          <w:rFonts w:ascii="仿宋_GB2312"/>
          <w:b w:val="0"/>
          <w:bCs/>
          <w:sz w:val="24"/>
          <w:szCs w:val="24"/>
        </w:rPr>
        <w:t>10</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"_Toc89691244"</w:instrText>
      </w:r>
      <w:r>
        <w:fldChar w:fldCharType="separate"/>
      </w:r>
      <w:r>
        <w:rPr>
          <w:rFonts w:ascii="仿宋_GB2312"/>
          <w:b w:val="0"/>
          <w:bCs/>
          <w:sz w:val="24"/>
          <w:szCs w:val="24"/>
        </w:rPr>
        <w:t>第三节 加快现有产能绿色升级</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_Toc89691244 \h </w:instrText>
      </w:r>
      <w:r>
        <w:rPr>
          <w:rStyle w:val="54"/>
          <w:rFonts w:ascii="仿宋_GB2312" w:hAnsi="仿宋_GB2312"/>
          <w:b w:val="0"/>
          <w:bCs/>
          <w:sz w:val="24"/>
          <w:szCs w:val="24"/>
        </w:rPr>
        <w:fldChar w:fldCharType="separate"/>
      </w:r>
      <w:r>
        <w:rPr>
          <w:rFonts w:ascii="仿宋_GB2312"/>
          <w:b w:val="0"/>
          <w:bCs/>
          <w:sz w:val="24"/>
          <w:szCs w:val="24"/>
        </w:rPr>
        <w:t>11</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"_Toc89691245"</w:instrText>
      </w:r>
      <w:r>
        <w:fldChar w:fldCharType="separate"/>
      </w:r>
      <w:r>
        <w:rPr>
          <w:rFonts w:ascii="仿宋_GB2312"/>
          <w:b w:val="0"/>
          <w:bCs/>
          <w:sz w:val="24"/>
          <w:szCs w:val="24"/>
        </w:rPr>
        <w:t>第四节 持续推进产业集群绿色低碳化改造</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_Toc89691245 \h </w:instrText>
      </w:r>
      <w:r>
        <w:rPr>
          <w:rStyle w:val="54"/>
          <w:rFonts w:ascii="仿宋_GB2312" w:hAnsi="仿宋_GB2312"/>
          <w:b w:val="0"/>
          <w:bCs/>
          <w:sz w:val="24"/>
          <w:szCs w:val="24"/>
        </w:rPr>
        <w:fldChar w:fldCharType="separate"/>
      </w:r>
      <w:r>
        <w:rPr>
          <w:rFonts w:ascii="仿宋_GB2312"/>
          <w:b w:val="0"/>
          <w:bCs/>
          <w:sz w:val="24"/>
          <w:szCs w:val="24"/>
        </w:rPr>
        <w:t>11</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"_Toc89691246"</w:instrText>
      </w:r>
      <w:r>
        <w:fldChar w:fldCharType="separate"/>
      </w:r>
      <w:r>
        <w:rPr>
          <w:rFonts w:ascii="仿宋_GB2312"/>
          <w:b w:val="0"/>
          <w:bCs/>
          <w:sz w:val="24"/>
          <w:szCs w:val="24"/>
        </w:rPr>
        <w:t>第五节 推进美丽园区建设</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_Toc89691246 \h </w:instrText>
      </w:r>
      <w:r>
        <w:rPr>
          <w:rStyle w:val="54"/>
          <w:rFonts w:ascii="仿宋_GB2312" w:hAnsi="仿宋_GB2312"/>
          <w:b w:val="0"/>
          <w:bCs/>
          <w:sz w:val="24"/>
          <w:szCs w:val="24"/>
        </w:rPr>
        <w:fldChar w:fldCharType="separate"/>
      </w:r>
      <w:r>
        <w:rPr>
          <w:rFonts w:ascii="仿宋_GB2312"/>
          <w:b w:val="0"/>
          <w:bCs/>
          <w:sz w:val="24"/>
          <w:szCs w:val="24"/>
        </w:rPr>
        <w:t>12</w:t>
      </w:r>
      <w:r>
        <w:rPr>
          <w:rStyle w:val="54"/>
          <w:rFonts w:ascii="仿宋_GB2312" w:hAnsi="仿宋_GB2312"/>
          <w:b w:val="0"/>
          <w:bCs/>
          <w:sz w:val="24"/>
          <w:szCs w:val="24"/>
        </w:rPr>
        <w:fldChar w:fldCharType="end"/>
      </w:r>
      <w:r>
        <w:fldChar w:fldCharType="end"/>
      </w:r>
    </w:p>
    <w:p>
      <w:pPr>
        <w:pStyle w:val="37"/>
        <w:tabs>
          <w:tab w:val="right" w:leader="dot" w:pos="8296"/>
        </w:tabs>
        <w:spacing w:line="336" w:lineRule="auto"/>
        <w:rPr>
          <w:rStyle w:val="54"/>
          <w:rFonts w:ascii="黑体" w:eastAsia="黑体"/>
          <w:sz w:val="28"/>
          <w:szCs w:val="28"/>
        </w:rPr>
      </w:pPr>
      <w:r>
        <w:fldChar w:fldCharType="begin"/>
      </w:r>
      <w:r>
        <w:instrText>Hyperlink \l "_Toc89691247"</w:instrText>
      </w:r>
      <w:r>
        <w:fldChar w:fldCharType="separate"/>
      </w:r>
      <w:r>
        <w:rPr>
          <w:rFonts w:ascii="黑体" w:eastAsia="黑体"/>
          <w:sz w:val="28"/>
          <w:szCs w:val="28"/>
        </w:rPr>
        <w:t>第四章 优化能源结构，加速能源清洁低碳高效发展</w:t>
        <w:tab/>
      </w:r>
      <w:r>
        <w:rPr>
          <w:rStyle w:val="54"/>
          <w:rFonts w:ascii="黑体" w:eastAsia="黑体"/>
          <w:sz w:val="28"/>
          <w:szCs w:val="28"/>
        </w:rPr>
        <w:fldChar w:fldCharType="begin"/>
      </w:r>
      <w:r>
        <w:rPr>
          <w:rStyle w:val="54"/>
          <w:rFonts w:ascii="黑体" w:eastAsia="黑体"/>
          <w:sz w:val="28"/>
          <w:szCs w:val="28"/>
        </w:rPr>
        <w:instrText xml:space="preserve"> PAGEREF _Toc89691247 \h </w:instrText>
      </w:r>
      <w:r>
        <w:rPr>
          <w:rStyle w:val="54"/>
          <w:rFonts w:ascii="黑体" w:eastAsia="黑体"/>
          <w:sz w:val="28"/>
          <w:szCs w:val="28"/>
        </w:rPr>
        <w:fldChar w:fldCharType="separate"/>
      </w:r>
      <w:r>
        <w:rPr>
          <w:rFonts w:ascii="黑体" w:eastAsia="黑体"/>
          <w:sz w:val="28"/>
          <w:szCs w:val="28"/>
        </w:rPr>
        <w:t>14</w:t>
      </w:r>
      <w:r>
        <w:rPr>
          <w:rStyle w:val="54"/>
          <w:rFonts w:ascii="黑体" w:eastAsia="黑体"/>
          <w:sz w:val="28"/>
          <w:szCs w:val="28"/>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"_Toc89691248"</w:instrText>
      </w:r>
      <w:r>
        <w:fldChar w:fldCharType="separate"/>
      </w:r>
      <w:r>
        <w:rPr>
          <w:rFonts w:ascii="仿宋_GB2312"/>
          <w:b w:val="0"/>
          <w:bCs/>
          <w:sz w:val="24"/>
          <w:szCs w:val="24"/>
        </w:rPr>
        <w:t>第一节 加快推进能源结构优化</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_Toc89691248 \h </w:instrText>
      </w:r>
      <w:r>
        <w:rPr>
          <w:rStyle w:val="54"/>
          <w:rFonts w:ascii="仿宋_GB2312" w:hAnsi="仿宋_GB2312"/>
          <w:b w:val="0"/>
          <w:bCs/>
          <w:sz w:val="24"/>
          <w:szCs w:val="24"/>
        </w:rPr>
        <w:fldChar w:fldCharType="separate"/>
      </w:r>
      <w:r>
        <w:rPr>
          <w:rFonts w:ascii="仿宋_GB2312"/>
          <w:b w:val="0"/>
          <w:bCs/>
          <w:sz w:val="24"/>
          <w:szCs w:val="24"/>
        </w:rPr>
        <w:t>14</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"_Toc89691249"</w:instrText>
      </w:r>
      <w:r>
        <w:fldChar w:fldCharType="separate"/>
      </w:r>
      <w:r>
        <w:rPr>
          <w:rFonts w:ascii="仿宋_GB2312"/>
          <w:b w:val="0"/>
          <w:bCs/>
          <w:sz w:val="24"/>
          <w:szCs w:val="24"/>
        </w:rPr>
        <w:t>第二节 严格控制煤炭消费总量</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_Toc89691249 \h </w:instrText>
      </w:r>
      <w:r>
        <w:rPr>
          <w:rStyle w:val="54"/>
          <w:rFonts w:ascii="仿宋_GB2312" w:hAnsi="仿宋_GB2312"/>
          <w:b w:val="0"/>
          <w:bCs/>
          <w:sz w:val="24"/>
          <w:szCs w:val="24"/>
        </w:rPr>
        <w:fldChar w:fldCharType="separate"/>
      </w:r>
      <w:r>
        <w:rPr>
          <w:rFonts w:ascii="仿宋_GB2312"/>
          <w:b w:val="0"/>
          <w:bCs/>
          <w:sz w:val="24"/>
          <w:szCs w:val="24"/>
        </w:rPr>
        <w:t>14</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"_Toc89691250"</w:instrText>
      </w:r>
      <w:r>
        <w:fldChar w:fldCharType="separate"/>
      </w:r>
      <w:r>
        <w:rPr>
          <w:rFonts w:ascii="仿宋_GB2312"/>
          <w:b w:val="0"/>
          <w:bCs/>
          <w:sz w:val="24"/>
          <w:szCs w:val="24"/>
        </w:rPr>
        <w:t>第三节 积极推进燃煤锅炉淘汰</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_Toc89691250 \h </w:instrText>
      </w:r>
      <w:r>
        <w:rPr>
          <w:rStyle w:val="54"/>
          <w:rFonts w:ascii="仿宋_GB2312" w:hAnsi="仿宋_GB2312"/>
          <w:b w:val="0"/>
          <w:bCs/>
          <w:sz w:val="24"/>
          <w:szCs w:val="24"/>
        </w:rPr>
        <w:fldChar w:fldCharType="separate"/>
      </w:r>
      <w:r>
        <w:rPr>
          <w:rFonts w:ascii="仿宋_GB2312"/>
          <w:b w:val="0"/>
          <w:bCs/>
          <w:sz w:val="24"/>
          <w:szCs w:val="24"/>
        </w:rPr>
        <w:t>15</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"_Toc89691251"</w:instrText>
      </w:r>
      <w:r>
        <w:fldChar w:fldCharType="separate"/>
      </w:r>
      <w:r>
        <w:rPr>
          <w:rFonts w:ascii="仿宋_GB2312"/>
          <w:b w:val="0"/>
          <w:bCs/>
          <w:sz w:val="24"/>
          <w:szCs w:val="24"/>
        </w:rPr>
        <w:t>第四节 实施工业炉窑清洁能源替代</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_Toc89691251 \h </w:instrText>
      </w:r>
      <w:r>
        <w:rPr>
          <w:rStyle w:val="54"/>
          <w:rFonts w:ascii="仿宋_GB2312" w:hAnsi="仿宋_GB2312"/>
          <w:b w:val="0"/>
          <w:bCs/>
          <w:sz w:val="24"/>
          <w:szCs w:val="24"/>
        </w:rPr>
        <w:fldChar w:fldCharType="separate"/>
      </w:r>
      <w:r>
        <w:rPr>
          <w:rFonts w:ascii="仿宋_GB2312"/>
          <w:b w:val="0"/>
          <w:bCs/>
          <w:sz w:val="24"/>
          <w:szCs w:val="24"/>
        </w:rPr>
        <w:t>15</w:t>
      </w:r>
      <w:r>
        <w:rPr>
          <w:rStyle w:val="54"/>
          <w:rFonts w:ascii="仿宋_GB2312" w:hAnsi="仿宋_GB2312"/>
          <w:b w:val="0"/>
          <w:bCs/>
          <w:sz w:val="24"/>
          <w:szCs w:val="24"/>
        </w:rPr>
        <w:fldChar w:fldCharType="end"/>
      </w:r>
      <w:r>
        <w:fldChar w:fldCharType="end"/>
      </w:r>
    </w:p>
    <w:p>
      <w:pPr>
        <w:pStyle w:val="37"/>
        <w:tabs>
          <w:tab w:val="right" w:leader="dot" w:pos="8296"/>
        </w:tabs>
        <w:spacing w:line="336" w:lineRule="auto"/>
        <w:rPr>
          <w:rStyle w:val="54"/>
          <w:rFonts w:ascii="黑体" w:eastAsia="黑体"/>
          <w:sz w:val="28"/>
          <w:szCs w:val="28"/>
        </w:rPr>
      </w:pPr>
      <w:r>
        <w:fldChar w:fldCharType="begin"/>
      </w:r>
      <w:r>
        <w:instrText>Hyperlink \l "_Toc89691252"</w:instrText>
      </w:r>
      <w:r>
        <w:fldChar w:fldCharType="separate"/>
      </w:r>
      <w:r>
        <w:rPr>
          <w:rFonts w:ascii="黑体" w:eastAsia="黑体"/>
          <w:sz w:val="28"/>
          <w:szCs w:val="28"/>
        </w:rPr>
        <w:t>第五章 优化交通结构，大力发展绿色运输体系</w:t>
        <w:tab/>
      </w:r>
      <w:r>
        <w:rPr>
          <w:rStyle w:val="54"/>
          <w:rFonts w:ascii="黑体" w:eastAsia="黑体"/>
          <w:sz w:val="28"/>
          <w:szCs w:val="28"/>
        </w:rPr>
        <w:fldChar w:fldCharType="begin"/>
      </w:r>
      <w:r>
        <w:rPr>
          <w:rStyle w:val="54"/>
          <w:rFonts w:ascii="黑体" w:eastAsia="黑体"/>
          <w:sz w:val="28"/>
          <w:szCs w:val="28"/>
        </w:rPr>
        <w:instrText xml:space="preserve"> PAGEREF _Toc89691252 \h </w:instrText>
      </w:r>
      <w:r>
        <w:rPr>
          <w:rStyle w:val="54"/>
          <w:rFonts w:ascii="黑体" w:eastAsia="黑体"/>
          <w:sz w:val="28"/>
          <w:szCs w:val="28"/>
        </w:rPr>
        <w:fldChar w:fldCharType="separate"/>
      </w:r>
      <w:r>
        <w:rPr>
          <w:rFonts w:ascii="黑体" w:eastAsia="黑体"/>
          <w:sz w:val="28"/>
          <w:szCs w:val="28"/>
        </w:rPr>
        <w:t>17</w:t>
      </w:r>
      <w:r>
        <w:rPr>
          <w:rStyle w:val="54"/>
          <w:rFonts w:ascii="黑体" w:eastAsia="黑体"/>
          <w:sz w:val="28"/>
          <w:szCs w:val="28"/>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"_Toc89691253"</w:instrText>
      </w:r>
      <w:r>
        <w:fldChar w:fldCharType="separate"/>
      </w:r>
      <w:r>
        <w:rPr>
          <w:rFonts w:ascii="仿宋_GB2312"/>
          <w:b w:val="0"/>
          <w:bCs/>
          <w:sz w:val="24"/>
          <w:szCs w:val="24"/>
        </w:rPr>
        <w:t>第一节 持续深化运输结构调整</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_Toc89691253 \h </w:instrText>
      </w:r>
      <w:r>
        <w:rPr>
          <w:rStyle w:val="54"/>
          <w:rFonts w:ascii="仿宋_GB2312" w:hAnsi="仿宋_GB2312"/>
          <w:b w:val="0"/>
          <w:bCs/>
          <w:sz w:val="24"/>
          <w:szCs w:val="24"/>
        </w:rPr>
        <w:fldChar w:fldCharType="separate"/>
      </w:r>
      <w:r>
        <w:rPr>
          <w:rFonts w:ascii="仿宋_GB2312"/>
          <w:b w:val="0"/>
          <w:bCs/>
          <w:sz w:val="24"/>
          <w:szCs w:val="24"/>
        </w:rPr>
        <w:t>17</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"_Toc89691254"</w:instrText>
      </w:r>
      <w:r>
        <w:fldChar w:fldCharType="separate"/>
      </w:r>
      <w:r>
        <w:rPr>
          <w:rFonts w:ascii="仿宋_GB2312"/>
          <w:b w:val="0"/>
          <w:bCs/>
          <w:sz w:val="24"/>
          <w:szCs w:val="24"/>
        </w:rPr>
        <w:t>第二节 加快促进车船结构升级优化</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_Toc89691254 \h </w:instrText>
      </w:r>
      <w:r>
        <w:rPr>
          <w:rStyle w:val="54"/>
          <w:rFonts w:ascii="仿宋_GB2312" w:hAnsi="仿宋_GB2312"/>
          <w:b w:val="0"/>
          <w:bCs/>
          <w:sz w:val="24"/>
          <w:szCs w:val="24"/>
        </w:rPr>
        <w:fldChar w:fldCharType="separate"/>
      </w:r>
      <w:r>
        <w:rPr>
          <w:rFonts w:ascii="仿宋_GB2312"/>
          <w:b w:val="0"/>
          <w:bCs/>
          <w:sz w:val="24"/>
          <w:szCs w:val="24"/>
        </w:rPr>
        <w:t>18</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"_Toc89691255"</w:instrText>
      </w:r>
      <w:r>
        <w:fldChar w:fldCharType="separate"/>
      </w:r>
      <w:r>
        <w:rPr>
          <w:rFonts w:ascii="仿宋_GB2312"/>
          <w:b w:val="0"/>
          <w:bCs/>
          <w:sz w:val="24"/>
          <w:szCs w:val="24"/>
        </w:rPr>
        <w:t>第三节 大力推广新能源车船</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_Toc89691255 \h </w:instrText>
      </w:r>
      <w:r>
        <w:rPr>
          <w:rStyle w:val="54"/>
          <w:rFonts w:ascii="仿宋_GB2312" w:hAnsi="仿宋_GB2312"/>
          <w:b w:val="0"/>
          <w:bCs/>
          <w:sz w:val="24"/>
          <w:szCs w:val="24"/>
        </w:rPr>
        <w:fldChar w:fldCharType="separate"/>
      </w:r>
      <w:r>
        <w:rPr>
          <w:rFonts w:ascii="仿宋_GB2312"/>
          <w:b w:val="0"/>
          <w:bCs/>
          <w:sz w:val="24"/>
          <w:szCs w:val="24"/>
        </w:rPr>
        <w:t>18</w:t>
      </w:r>
      <w:r>
        <w:rPr>
          <w:rStyle w:val="54"/>
          <w:rFonts w:ascii="仿宋_GB2312" w:hAnsi="仿宋_GB2312"/>
          <w:b w:val="0"/>
          <w:bCs/>
          <w:sz w:val="24"/>
          <w:szCs w:val="24"/>
        </w:rPr>
        <w:fldChar w:fldCharType="end"/>
      </w:r>
      <w:r>
        <w:fldChar w:fldCharType="end"/>
      </w:r>
    </w:p>
    <w:p>
      <w:pPr>
        <w:pStyle w:val="37"/>
        <w:tabs>
          <w:tab w:val="right" w:leader="dot" w:pos="8296"/>
        </w:tabs>
        <w:spacing w:line="336" w:lineRule="auto"/>
        <w:rPr>
          <w:rStyle w:val="54"/>
          <w:rFonts w:ascii="黑体" w:eastAsia="黑体"/>
          <w:sz w:val="28"/>
          <w:szCs w:val="28"/>
        </w:rPr>
      </w:pPr>
      <w:r>
        <w:fldChar w:fldCharType="begin"/>
      </w:r>
      <w:r>
        <w:instrText>Hyperlink \l "_Toc89691256"</w:instrText>
      </w:r>
      <w:r>
        <w:fldChar w:fldCharType="separate"/>
      </w:r>
      <w:r>
        <w:rPr>
          <w:rFonts w:ascii="黑体" w:eastAsia="黑体"/>
          <w:sz w:val="28"/>
          <w:szCs w:val="28"/>
        </w:rPr>
        <w:t>第六章 强化VOC</w:t>
      </w:r>
      <w:r>
        <w:rPr>
          <w:rFonts w:ascii="黑体" w:eastAsia="黑体"/>
          <w:sz w:val="28"/>
          <w:szCs w:val="28"/>
          <w:vertAlign w:val="subscript"/>
        </w:rPr>
        <w:t>s</w:t>
      </w:r>
      <w:r>
        <w:rPr>
          <w:rFonts w:ascii="黑体" w:eastAsia="黑体"/>
          <w:sz w:val="28"/>
          <w:szCs w:val="28"/>
        </w:rPr>
        <w:t>和NO</w:t>
      </w:r>
      <w:r>
        <w:rPr>
          <w:rFonts w:ascii="黑体" w:eastAsia="黑体"/>
          <w:sz w:val="28"/>
          <w:szCs w:val="28"/>
          <w:vertAlign w:val="subscript"/>
        </w:rPr>
        <w:t>x</w:t>
      </w:r>
      <w:r>
        <w:rPr>
          <w:rFonts w:ascii="黑体" w:eastAsia="黑体"/>
          <w:sz w:val="28"/>
          <w:szCs w:val="28"/>
        </w:rPr>
        <w:t>减排，推进PM</w:t>
      </w:r>
      <w:r>
        <w:rPr>
          <w:rFonts w:ascii="黑体" w:eastAsia="黑体"/>
          <w:sz w:val="28"/>
          <w:szCs w:val="28"/>
          <w:vertAlign w:val="subscript"/>
        </w:rPr>
        <w:t>2.5</w:t>
      </w:r>
      <w:r>
        <w:rPr>
          <w:rFonts w:ascii="黑体" w:eastAsia="黑体"/>
          <w:sz w:val="28"/>
          <w:szCs w:val="28"/>
        </w:rPr>
        <w:t>与O</w:t>
      </w:r>
      <w:r>
        <w:rPr>
          <w:rFonts w:ascii="黑体" w:eastAsia="黑体"/>
          <w:sz w:val="28"/>
          <w:szCs w:val="28"/>
          <w:vertAlign w:val="subscript"/>
        </w:rPr>
        <w:t>3</w:t>
      </w:r>
      <w:r>
        <w:rPr>
          <w:rFonts w:ascii="黑体" w:eastAsia="黑体"/>
          <w:sz w:val="28"/>
          <w:szCs w:val="28"/>
        </w:rPr>
        <w:t>协同控制</w:t>
        <w:tab/>
      </w:r>
      <w:r>
        <w:rPr>
          <w:rStyle w:val="54"/>
          <w:rFonts w:ascii="黑体" w:eastAsia="黑体"/>
          <w:sz w:val="28"/>
          <w:szCs w:val="28"/>
        </w:rPr>
        <w:fldChar w:fldCharType="begin"/>
      </w:r>
      <w:r>
        <w:rPr>
          <w:rStyle w:val="54"/>
          <w:rFonts w:ascii="黑体" w:eastAsia="黑体"/>
          <w:sz w:val="28"/>
          <w:szCs w:val="28"/>
        </w:rPr>
        <w:instrText xml:space="preserve"> PAGEREF _Toc89691256 \h </w:instrText>
      </w:r>
      <w:r>
        <w:rPr>
          <w:rStyle w:val="54"/>
          <w:rFonts w:ascii="黑体" w:eastAsia="黑体"/>
          <w:sz w:val="28"/>
          <w:szCs w:val="28"/>
        </w:rPr>
        <w:fldChar w:fldCharType="separate"/>
      </w:r>
      <w:r>
        <w:rPr>
          <w:rFonts w:ascii="黑体" w:eastAsia="黑体"/>
          <w:sz w:val="28"/>
          <w:szCs w:val="28"/>
        </w:rPr>
        <w:t>21</w:t>
      </w:r>
      <w:r>
        <w:rPr>
          <w:rStyle w:val="54"/>
          <w:rFonts w:ascii="黑体" w:eastAsia="黑体"/>
          <w:sz w:val="28"/>
          <w:szCs w:val="28"/>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"_Toc89691257"</w:instrText>
      </w:r>
      <w:r>
        <w:fldChar w:fldCharType="separate"/>
      </w:r>
      <w:r>
        <w:rPr>
          <w:rFonts w:ascii="仿宋_GB2312"/>
          <w:b w:val="0"/>
          <w:bCs/>
          <w:sz w:val="24"/>
          <w:szCs w:val="24"/>
        </w:rPr>
        <w:t>第一节 积极推进低VOCs含量原辅材料和产品源头替代</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_Toc89691257 \h </w:instrText>
      </w:r>
      <w:r>
        <w:rPr>
          <w:rStyle w:val="54"/>
          <w:rFonts w:ascii="仿宋_GB2312" w:hAnsi="仿宋_GB2312"/>
          <w:b w:val="0"/>
          <w:bCs/>
          <w:sz w:val="24"/>
          <w:szCs w:val="24"/>
        </w:rPr>
        <w:fldChar w:fldCharType="separate"/>
      </w:r>
      <w:r>
        <w:rPr>
          <w:rFonts w:ascii="仿宋_GB2312"/>
          <w:b w:val="0"/>
          <w:bCs/>
          <w:sz w:val="24"/>
          <w:szCs w:val="24"/>
        </w:rPr>
        <w:t>21</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"_Toc89691258"</w:instrText>
      </w:r>
      <w:r>
        <w:fldChar w:fldCharType="separate"/>
      </w:r>
      <w:r>
        <w:rPr>
          <w:rFonts w:ascii="仿宋_GB2312"/>
          <w:b w:val="0"/>
          <w:bCs/>
          <w:sz w:val="24"/>
          <w:szCs w:val="24"/>
        </w:rPr>
        <w:t>第二节 深化涉VOCs重点行业整治</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_Toc89691258 \h </w:instrText>
      </w:r>
      <w:r>
        <w:rPr>
          <w:rStyle w:val="54"/>
          <w:rFonts w:ascii="仿宋_GB2312" w:hAnsi="仿宋_GB2312"/>
          <w:b w:val="0"/>
          <w:bCs/>
          <w:sz w:val="24"/>
          <w:szCs w:val="24"/>
        </w:rPr>
        <w:fldChar w:fldCharType="separate"/>
      </w:r>
      <w:r>
        <w:rPr>
          <w:rFonts w:ascii="仿宋_GB2312"/>
          <w:b w:val="0"/>
          <w:bCs/>
          <w:sz w:val="24"/>
          <w:szCs w:val="24"/>
        </w:rPr>
        <w:t>21</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"_Toc89691259"</w:instrText>
      </w:r>
      <w:r>
        <w:fldChar w:fldCharType="separate"/>
      </w:r>
      <w:r>
        <w:rPr>
          <w:rFonts w:ascii="仿宋_GB2312"/>
          <w:b w:val="0"/>
          <w:bCs/>
          <w:sz w:val="24"/>
          <w:szCs w:val="24"/>
        </w:rPr>
        <w:t>第三节 推进重点行业污染深度治理</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_Toc89691259 \h </w:instrText>
      </w:r>
      <w:r>
        <w:rPr>
          <w:rStyle w:val="54"/>
          <w:rFonts w:ascii="仿宋_GB2312" w:hAnsi="仿宋_GB2312"/>
          <w:b w:val="0"/>
          <w:bCs/>
          <w:sz w:val="24"/>
          <w:szCs w:val="24"/>
        </w:rPr>
        <w:fldChar w:fldCharType="separate"/>
      </w:r>
      <w:r>
        <w:rPr>
          <w:rFonts w:ascii="仿宋_GB2312"/>
          <w:b w:val="0"/>
          <w:bCs/>
          <w:sz w:val="24"/>
          <w:szCs w:val="24"/>
        </w:rPr>
        <w:t>23</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"_Toc89691260"</w:instrText>
      </w:r>
      <w:r>
        <w:fldChar w:fldCharType="separate"/>
      </w:r>
      <w:r>
        <w:rPr>
          <w:rFonts w:ascii="仿宋_GB2312"/>
          <w:b w:val="0"/>
          <w:bCs/>
          <w:sz w:val="24"/>
          <w:szCs w:val="24"/>
        </w:rPr>
        <w:t>第四节 强化移动源综合治理</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_Toc89691260 \h </w:instrText>
      </w:r>
      <w:r>
        <w:rPr>
          <w:rStyle w:val="54"/>
          <w:rFonts w:ascii="仿宋_GB2312" w:hAnsi="仿宋_GB2312"/>
          <w:b w:val="0"/>
          <w:bCs/>
          <w:sz w:val="24"/>
          <w:szCs w:val="24"/>
        </w:rPr>
        <w:fldChar w:fldCharType="separate"/>
      </w:r>
      <w:r>
        <w:rPr>
          <w:rFonts w:ascii="仿宋_GB2312"/>
          <w:b w:val="0"/>
          <w:bCs/>
          <w:sz w:val="24"/>
          <w:szCs w:val="24"/>
        </w:rPr>
        <w:t>24</w:t>
      </w:r>
      <w:r>
        <w:rPr>
          <w:rStyle w:val="54"/>
          <w:rFonts w:ascii="仿宋_GB2312" w:hAnsi="仿宋_GB2312"/>
          <w:b w:val="0"/>
          <w:bCs/>
          <w:sz w:val="24"/>
          <w:szCs w:val="24"/>
        </w:rPr>
        <w:fldChar w:fldCharType="end"/>
      </w:r>
      <w:r>
        <w:fldChar w:fldCharType="end"/>
      </w:r>
    </w:p>
    <w:p>
      <w:pPr>
        <w:pStyle w:val="37"/>
        <w:tabs>
          <w:tab w:val="right" w:leader="dot" w:pos="8296"/>
        </w:tabs>
        <w:spacing w:line="336" w:lineRule="auto"/>
        <w:rPr>
          <w:rStyle w:val="54"/>
          <w:rFonts w:ascii="黑体" w:eastAsia="黑体"/>
          <w:sz w:val="28"/>
          <w:szCs w:val="28"/>
        </w:rPr>
      </w:pPr>
      <w:r>
        <w:fldChar w:fldCharType="begin"/>
      </w:r>
      <w:r>
        <w:instrText>Hyperlink \l "_Toc89691261"</w:instrText>
      </w:r>
      <w:r>
        <w:fldChar w:fldCharType="separate"/>
      </w:r>
      <w:r>
        <w:rPr>
          <w:rFonts w:ascii="黑体" w:eastAsia="黑体"/>
          <w:sz w:val="28"/>
          <w:szCs w:val="28"/>
        </w:rPr>
        <w:t>第七章 建设美丽家园，解决群众关切的大气环境问题</w:t>
        <w:tab/>
      </w:r>
      <w:r>
        <w:rPr>
          <w:rStyle w:val="54"/>
          <w:rFonts w:ascii="黑体" w:eastAsia="黑体"/>
          <w:sz w:val="28"/>
          <w:szCs w:val="28"/>
        </w:rPr>
        <w:fldChar w:fldCharType="begin"/>
      </w:r>
      <w:r>
        <w:rPr>
          <w:rStyle w:val="54"/>
          <w:rFonts w:ascii="黑体" w:eastAsia="黑体"/>
          <w:sz w:val="28"/>
          <w:szCs w:val="28"/>
        </w:rPr>
        <w:instrText xml:space="preserve"> PAGEREF _Toc89691261 \h </w:instrText>
      </w:r>
      <w:r>
        <w:rPr>
          <w:rStyle w:val="54"/>
          <w:rFonts w:ascii="黑体" w:eastAsia="黑体"/>
          <w:sz w:val="28"/>
          <w:szCs w:val="28"/>
        </w:rPr>
        <w:fldChar w:fldCharType="separate"/>
      </w:r>
      <w:r>
        <w:rPr>
          <w:rFonts w:ascii="黑体" w:eastAsia="黑体"/>
          <w:sz w:val="28"/>
          <w:szCs w:val="28"/>
        </w:rPr>
        <w:t>27</w:t>
      </w:r>
      <w:r>
        <w:rPr>
          <w:rStyle w:val="54"/>
          <w:rFonts w:ascii="黑体" w:eastAsia="黑体"/>
          <w:sz w:val="28"/>
          <w:szCs w:val="28"/>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"_Toc89691262"</w:instrText>
      </w:r>
      <w:r>
        <w:fldChar w:fldCharType="separate"/>
      </w:r>
      <w:r>
        <w:rPr>
          <w:rFonts w:ascii="仿宋_GB2312"/>
          <w:b w:val="0"/>
          <w:bCs/>
          <w:sz w:val="24"/>
          <w:szCs w:val="24"/>
        </w:rPr>
        <w:t>第一节 推进扬尘精细化管控</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_Toc89691262 \h </w:instrText>
      </w:r>
      <w:r>
        <w:rPr>
          <w:rStyle w:val="54"/>
          <w:rFonts w:ascii="仿宋_GB2312" w:hAnsi="仿宋_GB2312"/>
          <w:b w:val="0"/>
          <w:bCs/>
          <w:sz w:val="24"/>
          <w:szCs w:val="24"/>
        </w:rPr>
        <w:fldChar w:fldCharType="separate"/>
      </w:r>
      <w:r>
        <w:rPr>
          <w:rFonts w:ascii="仿宋_GB2312"/>
          <w:b w:val="0"/>
          <w:bCs/>
          <w:sz w:val="24"/>
          <w:szCs w:val="24"/>
        </w:rPr>
        <w:t>27</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"_Toc89691263"</w:instrText>
      </w:r>
      <w:r>
        <w:fldChar w:fldCharType="separate"/>
      </w:r>
      <w:r>
        <w:rPr>
          <w:rFonts w:ascii="仿宋_GB2312"/>
          <w:b w:val="0"/>
          <w:bCs/>
          <w:sz w:val="24"/>
          <w:szCs w:val="24"/>
        </w:rPr>
        <w:t>第二节 开展餐饮油烟治理</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_Toc89691263 \h </w:instrText>
      </w:r>
      <w:r>
        <w:rPr>
          <w:rStyle w:val="54"/>
          <w:rFonts w:ascii="仿宋_GB2312" w:hAnsi="仿宋_GB2312"/>
          <w:b w:val="0"/>
          <w:bCs/>
          <w:sz w:val="24"/>
          <w:szCs w:val="24"/>
        </w:rPr>
        <w:fldChar w:fldCharType="separate"/>
      </w:r>
      <w:r>
        <w:rPr>
          <w:rFonts w:ascii="仿宋_GB2312"/>
          <w:b w:val="0"/>
          <w:bCs/>
          <w:sz w:val="24"/>
          <w:szCs w:val="24"/>
        </w:rPr>
        <w:t>28</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"_Toc89691264"</w:instrText>
      </w:r>
      <w:r>
        <w:fldChar w:fldCharType="separate"/>
      </w:r>
      <w:r>
        <w:rPr>
          <w:rFonts w:ascii="仿宋_GB2312"/>
          <w:b w:val="0"/>
          <w:bCs/>
          <w:sz w:val="24"/>
          <w:szCs w:val="24"/>
        </w:rPr>
        <w:t>第三节 推进恶臭异味专项整治</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_Toc89691264 \h </w:instrText>
      </w:r>
      <w:r>
        <w:rPr>
          <w:rStyle w:val="54"/>
          <w:rFonts w:ascii="仿宋_GB2312" w:hAnsi="仿宋_GB2312"/>
          <w:b w:val="0"/>
          <w:bCs/>
          <w:sz w:val="24"/>
          <w:szCs w:val="24"/>
        </w:rPr>
        <w:fldChar w:fldCharType="separate"/>
      </w:r>
      <w:r>
        <w:rPr>
          <w:rFonts w:ascii="仿宋_GB2312"/>
          <w:b w:val="0"/>
          <w:bCs/>
          <w:sz w:val="24"/>
          <w:szCs w:val="24"/>
        </w:rPr>
        <w:t>29</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"_Toc89691265"</w:instrText>
      </w:r>
      <w:r>
        <w:fldChar w:fldCharType="separate"/>
      </w:r>
      <w:r>
        <w:rPr>
          <w:rFonts w:ascii="仿宋_GB2312"/>
          <w:b w:val="0"/>
          <w:bCs/>
          <w:sz w:val="24"/>
          <w:szCs w:val="24"/>
        </w:rPr>
        <w:t>第四节 加强秸秆综合利用</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_Toc89691265 \h </w:instrText>
      </w:r>
      <w:r>
        <w:rPr>
          <w:rStyle w:val="54"/>
          <w:rFonts w:ascii="仿宋_GB2312" w:hAnsi="仿宋_GB2312"/>
          <w:b w:val="0"/>
          <w:bCs/>
          <w:sz w:val="24"/>
          <w:szCs w:val="24"/>
        </w:rPr>
        <w:fldChar w:fldCharType="separate"/>
      </w:r>
      <w:r>
        <w:rPr>
          <w:rFonts w:ascii="仿宋_GB2312"/>
          <w:b w:val="0"/>
          <w:bCs/>
          <w:sz w:val="24"/>
          <w:szCs w:val="24"/>
        </w:rPr>
        <w:t>29</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"_Toc89691266"</w:instrText>
      </w:r>
      <w:r>
        <w:fldChar w:fldCharType="separate"/>
      </w:r>
      <w:r>
        <w:rPr>
          <w:rFonts w:ascii="仿宋_GB2312"/>
          <w:b w:val="0"/>
          <w:bCs/>
          <w:sz w:val="24"/>
          <w:szCs w:val="24"/>
        </w:rPr>
        <w:t>第五节 稳步推进大气氨污染防控</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_Toc89691266 \h </w:instrText>
      </w:r>
      <w:r>
        <w:rPr>
          <w:rStyle w:val="54"/>
          <w:rFonts w:ascii="仿宋_GB2312" w:hAnsi="仿宋_GB2312"/>
          <w:b w:val="0"/>
          <w:bCs/>
          <w:sz w:val="24"/>
          <w:szCs w:val="24"/>
        </w:rPr>
        <w:fldChar w:fldCharType="separate"/>
      </w:r>
      <w:r>
        <w:rPr>
          <w:rFonts w:ascii="仿宋_GB2312"/>
          <w:b w:val="0"/>
          <w:bCs/>
          <w:sz w:val="24"/>
          <w:szCs w:val="24"/>
        </w:rPr>
        <w:t>30</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"_Toc89691267"</w:instrText>
      </w:r>
      <w:r>
        <w:fldChar w:fldCharType="separate"/>
      </w:r>
      <w:r>
        <w:rPr>
          <w:rFonts w:ascii="仿宋_GB2312"/>
          <w:b w:val="0"/>
          <w:bCs/>
          <w:sz w:val="24"/>
          <w:szCs w:val="24"/>
        </w:rPr>
        <w:t>第六节 加强多污染物控制</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_Toc89691267 \h </w:instrText>
      </w:r>
      <w:r>
        <w:rPr>
          <w:rStyle w:val="54"/>
          <w:rFonts w:ascii="仿宋_GB2312" w:hAnsi="仿宋_GB2312"/>
          <w:b w:val="0"/>
          <w:bCs/>
          <w:sz w:val="24"/>
          <w:szCs w:val="24"/>
        </w:rPr>
        <w:fldChar w:fldCharType="separate"/>
      </w:r>
      <w:r>
        <w:rPr>
          <w:rFonts w:ascii="仿宋_GB2312"/>
          <w:b w:val="0"/>
          <w:bCs/>
          <w:sz w:val="24"/>
          <w:szCs w:val="24"/>
        </w:rPr>
        <w:t>30</w:t>
      </w:r>
      <w:r>
        <w:rPr>
          <w:rStyle w:val="54"/>
          <w:rFonts w:ascii="仿宋_GB2312" w:hAnsi="仿宋_GB2312"/>
          <w:b w:val="0"/>
          <w:bCs/>
          <w:sz w:val="24"/>
          <w:szCs w:val="24"/>
        </w:rPr>
        <w:fldChar w:fldCharType="end"/>
      </w:r>
      <w:r>
        <w:fldChar w:fldCharType="end"/>
      </w:r>
    </w:p>
    <w:p>
      <w:pPr>
        <w:pStyle w:val="37"/>
        <w:tabs>
          <w:tab w:val="right" w:leader="dot" w:pos="8296"/>
        </w:tabs>
        <w:spacing w:line="336" w:lineRule="auto"/>
        <w:rPr>
          <w:rStyle w:val="54"/>
          <w:rFonts w:ascii="黑体" w:eastAsia="黑体"/>
          <w:sz w:val="28"/>
          <w:szCs w:val="28"/>
        </w:rPr>
      </w:pPr>
      <w:r>
        <w:fldChar w:fldCharType="begin"/>
      </w:r>
      <w:r>
        <w:instrText>Hyperlink \l "_Toc89691268"</w:instrText>
      </w:r>
      <w:r>
        <w:fldChar w:fldCharType="separate"/>
      </w:r>
      <w:r>
        <w:rPr>
          <w:rFonts w:ascii="黑体" w:eastAsia="黑体"/>
          <w:sz w:val="28"/>
          <w:szCs w:val="28"/>
        </w:rPr>
        <w:t>第八章 推进数字治气，提升区域联防联控水平</w:t>
        <w:tab/>
      </w:r>
      <w:r>
        <w:rPr>
          <w:rStyle w:val="54"/>
          <w:rFonts w:ascii="黑体" w:eastAsia="黑体"/>
          <w:sz w:val="28"/>
          <w:szCs w:val="28"/>
        </w:rPr>
        <w:fldChar w:fldCharType="begin"/>
      </w:r>
      <w:r>
        <w:rPr>
          <w:rStyle w:val="54"/>
          <w:rFonts w:ascii="黑体" w:eastAsia="黑体"/>
          <w:sz w:val="28"/>
          <w:szCs w:val="28"/>
        </w:rPr>
        <w:instrText xml:space="preserve"> PAGEREF _Toc89691268 \h </w:instrText>
      </w:r>
      <w:r>
        <w:rPr>
          <w:rStyle w:val="54"/>
          <w:rFonts w:ascii="黑体" w:eastAsia="黑体"/>
          <w:sz w:val="28"/>
          <w:szCs w:val="28"/>
        </w:rPr>
        <w:fldChar w:fldCharType="separate"/>
      </w:r>
      <w:r>
        <w:rPr>
          <w:rFonts w:ascii="黑体" w:eastAsia="黑体"/>
          <w:sz w:val="28"/>
          <w:szCs w:val="28"/>
        </w:rPr>
        <w:t>32</w:t>
      </w:r>
      <w:r>
        <w:rPr>
          <w:rStyle w:val="54"/>
          <w:rFonts w:ascii="黑体" w:eastAsia="黑体"/>
          <w:sz w:val="28"/>
          <w:szCs w:val="28"/>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"_Toc89691269"</w:instrText>
      </w:r>
      <w:r>
        <w:fldChar w:fldCharType="separate"/>
      </w:r>
      <w:r>
        <w:rPr>
          <w:rFonts w:ascii="仿宋_GB2312"/>
          <w:b w:val="0"/>
          <w:bCs/>
          <w:sz w:val="24"/>
          <w:szCs w:val="24"/>
        </w:rPr>
        <w:t>第一节 夯实福建生态云大气模块功能</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_Toc89691269 \h </w:instrText>
      </w:r>
      <w:r>
        <w:rPr>
          <w:rStyle w:val="54"/>
          <w:rFonts w:ascii="仿宋_GB2312" w:hAnsi="仿宋_GB2312"/>
          <w:b w:val="0"/>
          <w:bCs/>
          <w:sz w:val="24"/>
          <w:szCs w:val="24"/>
        </w:rPr>
        <w:fldChar w:fldCharType="separate"/>
      </w:r>
      <w:r>
        <w:rPr>
          <w:rFonts w:ascii="仿宋_GB2312"/>
          <w:b w:val="0"/>
          <w:bCs/>
          <w:sz w:val="24"/>
          <w:szCs w:val="24"/>
        </w:rPr>
        <w:t>32</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"_Toc89691270"</w:instrText>
      </w:r>
      <w:r>
        <w:fldChar w:fldCharType="separate"/>
      </w:r>
      <w:r>
        <w:rPr>
          <w:rFonts w:ascii="仿宋_GB2312"/>
          <w:b w:val="0"/>
          <w:bCs/>
          <w:sz w:val="24"/>
          <w:szCs w:val="24"/>
        </w:rPr>
        <w:t>第二节 提升空气质量预警预报能力</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_Toc89691270 \h </w:instrText>
      </w:r>
      <w:r>
        <w:rPr>
          <w:rStyle w:val="54"/>
          <w:rFonts w:ascii="仿宋_GB2312" w:hAnsi="仿宋_GB2312"/>
          <w:b w:val="0"/>
          <w:bCs/>
          <w:sz w:val="24"/>
          <w:szCs w:val="24"/>
        </w:rPr>
        <w:fldChar w:fldCharType="separate"/>
      </w:r>
      <w:r>
        <w:rPr>
          <w:rFonts w:ascii="仿宋_GB2312"/>
          <w:b w:val="0"/>
          <w:bCs/>
          <w:sz w:val="24"/>
          <w:szCs w:val="24"/>
        </w:rPr>
        <w:t>32</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"_Toc89691271"</w:instrText>
      </w:r>
      <w:r>
        <w:fldChar w:fldCharType="separate"/>
      </w:r>
      <w:r>
        <w:rPr>
          <w:rFonts w:ascii="仿宋_GB2312"/>
          <w:b w:val="0"/>
          <w:bCs/>
          <w:sz w:val="24"/>
          <w:szCs w:val="24"/>
        </w:rPr>
        <w:t>第三节 建立健全大气环境感知网络</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_Toc89691271 \h </w:instrText>
      </w:r>
      <w:r>
        <w:rPr>
          <w:rStyle w:val="54"/>
          <w:rFonts w:ascii="仿宋_GB2312" w:hAnsi="仿宋_GB2312"/>
          <w:b w:val="0"/>
          <w:bCs/>
          <w:sz w:val="24"/>
          <w:szCs w:val="24"/>
        </w:rPr>
        <w:fldChar w:fldCharType="separate"/>
      </w:r>
      <w:r>
        <w:rPr>
          <w:rFonts w:ascii="仿宋_GB2312"/>
          <w:b w:val="0"/>
          <w:bCs/>
          <w:sz w:val="24"/>
          <w:szCs w:val="24"/>
        </w:rPr>
        <w:t>33</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"_Toc89691272"</w:instrText>
      </w:r>
      <w:r>
        <w:fldChar w:fldCharType="separate"/>
      </w:r>
      <w:r>
        <w:rPr>
          <w:rFonts w:ascii="仿宋_GB2312"/>
          <w:b w:val="0"/>
          <w:bCs/>
          <w:sz w:val="24"/>
          <w:szCs w:val="24"/>
        </w:rPr>
        <w:t>第四节 强化大气环境执法</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_Toc89691272 \h </w:instrText>
      </w:r>
      <w:r>
        <w:rPr>
          <w:rStyle w:val="54"/>
          <w:rFonts w:ascii="仿宋_GB2312" w:hAnsi="仿宋_GB2312"/>
          <w:b w:val="0"/>
          <w:bCs/>
          <w:sz w:val="24"/>
          <w:szCs w:val="24"/>
        </w:rPr>
        <w:fldChar w:fldCharType="separate"/>
      </w:r>
      <w:r>
        <w:rPr>
          <w:rFonts w:ascii="仿宋_GB2312"/>
          <w:b w:val="0"/>
          <w:bCs/>
          <w:sz w:val="24"/>
          <w:szCs w:val="24"/>
        </w:rPr>
        <w:t>34</w:t>
      </w:r>
      <w:r>
        <w:rPr>
          <w:rStyle w:val="54"/>
          <w:rFonts w:ascii="仿宋_GB2312" w:hAnsi="仿宋_GB2312"/>
          <w:b w:val="0"/>
          <w:bCs/>
          <w:sz w:val="24"/>
          <w:szCs w:val="24"/>
        </w:rPr>
        <w:fldChar w:fldCharType="end"/>
      </w:r>
      <w:r>
        <w:fldChar w:fldCharType="end"/>
      </w:r>
    </w:p>
    <w:p>
      <w:pPr>
        <w:pStyle w:val="37"/>
        <w:tabs>
          <w:tab w:val="right" w:leader="dot" w:pos="8296"/>
        </w:tabs>
        <w:spacing w:line="336" w:lineRule="auto"/>
        <w:rPr>
          <w:rStyle w:val="54"/>
          <w:rFonts w:ascii="黑体" w:eastAsia="黑体"/>
          <w:sz w:val="28"/>
          <w:szCs w:val="28"/>
        </w:rPr>
      </w:pPr>
      <w:r>
        <w:fldChar w:fldCharType="begin"/>
      </w:r>
      <w:r>
        <w:instrText>Hyperlink \l "_Toc89691273"</w:instrText>
      </w:r>
      <w:r>
        <w:fldChar w:fldCharType="separate"/>
      </w:r>
      <w:r>
        <w:rPr>
          <w:rFonts w:ascii="黑体" w:eastAsia="黑体"/>
          <w:sz w:val="28"/>
          <w:szCs w:val="28"/>
        </w:rPr>
        <w:t>第九章 完善制度机制，推进大气治理体系现代化</w:t>
        <w:tab/>
      </w:r>
      <w:r>
        <w:rPr>
          <w:rStyle w:val="54"/>
          <w:rFonts w:ascii="黑体" w:eastAsia="黑体"/>
          <w:sz w:val="28"/>
          <w:szCs w:val="28"/>
        </w:rPr>
        <w:fldChar w:fldCharType="begin"/>
      </w:r>
      <w:r>
        <w:rPr>
          <w:rStyle w:val="54"/>
          <w:rFonts w:ascii="黑体" w:eastAsia="黑体"/>
          <w:sz w:val="28"/>
          <w:szCs w:val="28"/>
        </w:rPr>
        <w:instrText xml:space="preserve"> PAGEREF _Toc89691273 \h </w:instrText>
      </w:r>
      <w:r>
        <w:rPr>
          <w:rStyle w:val="54"/>
          <w:rFonts w:ascii="黑体" w:eastAsia="黑体"/>
          <w:sz w:val="28"/>
          <w:szCs w:val="28"/>
        </w:rPr>
        <w:fldChar w:fldCharType="separate"/>
      </w:r>
      <w:r>
        <w:rPr>
          <w:rFonts w:ascii="黑体" w:eastAsia="黑体"/>
          <w:sz w:val="28"/>
          <w:szCs w:val="28"/>
        </w:rPr>
        <w:t>36</w:t>
      </w:r>
      <w:r>
        <w:rPr>
          <w:rStyle w:val="54"/>
          <w:rFonts w:ascii="黑体" w:eastAsia="黑体"/>
          <w:sz w:val="28"/>
          <w:szCs w:val="28"/>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"_Toc89691274"</w:instrText>
      </w:r>
      <w:r>
        <w:fldChar w:fldCharType="separate"/>
      </w:r>
      <w:r>
        <w:rPr>
          <w:rFonts w:ascii="仿宋_GB2312"/>
          <w:b w:val="0"/>
          <w:bCs/>
          <w:sz w:val="24"/>
          <w:szCs w:val="24"/>
        </w:rPr>
        <w:t>第一节 健全污染过程预警应急响应机制</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_Toc89691274 \h </w:instrText>
      </w:r>
      <w:r>
        <w:rPr>
          <w:rStyle w:val="54"/>
          <w:rFonts w:ascii="仿宋_GB2312" w:hAnsi="仿宋_GB2312"/>
          <w:b w:val="0"/>
          <w:bCs/>
          <w:sz w:val="24"/>
          <w:szCs w:val="24"/>
        </w:rPr>
        <w:fldChar w:fldCharType="separate"/>
      </w:r>
      <w:r>
        <w:rPr>
          <w:rFonts w:ascii="仿宋_GB2312"/>
          <w:b w:val="0"/>
          <w:bCs/>
          <w:sz w:val="24"/>
          <w:szCs w:val="24"/>
        </w:rPr>
        <w:t>36</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"_Toc89691275"</w:instrText>
      </w:r>
      <w:r>
        <w:fldChar w:fldCharType="separate"/>
      </w:r>
      <w:r>
        <w:rPr>
          <w:rFonts w:ascii="仿宋_GB2312"/>
          <w:b w:val="0"/>
          <w:bCs/>
          <w:sz w:val="24"/>
          <w:szCs w:val="24"/>
        </w:rPr>
        <w:t>第二节 强化精细化管理机制</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_Toc89691275 \h </w:instrText>
      </w:r>
      <w:r>
        <w:rPr>
          <w:rStyle w:val="54"/>
          <w:rFonts w:ascii="仿宋_GB2312" w:hAnsi="仿宋_GB2312"/>
          <w:b w:val="0"/>
          <w:bCs/>
          <w:sz w:val="24"/>
          <w:szCs w:val="24"/>
        </w:rPr>
        <w:fldChar w:fldCharType="separate"/>
      </w:r>
      <w:r>
        <w:rPr>
          <w:rFonts w:ascii="仿宋_GB2312"/>
          <w:b w:val="0"/>
          <w:bCs/>
          <w:sz w:val="24"/>
          <w:szCs w:val="24"/>
        </w:rPr>
        <w:t>36</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"_Toc89691276"</w:instrText>
      </w:r>
      <w:r>
        <w:fldChar w:fldCharType="separate"/>
      </w:r>
      <w:r>
        <w:rPr>
          <w:rFonts w:ascii="仿宋_GB2312"/>
          <w:b w:val="0"/>
          <w:bCs/>
          <w:sz w:val="24"/>
          <w:szCs w:val="24"/>
        </w:rPr>
        <w:t>第三节 完善固定污染源排污许可制度</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_Toc89691276 \h </w:instrText>
      </w:r>
      <w:r>
        <w:rPr>
          <w:rStyle w:val="54"/>
          <w:rFonts w:ascii="仿宋_GB2312" w:hAnsi="仿宋_GB2312"/>
          <w:b w:val="0"/>
          <w:bCs/>
          <w:sz w:val="24"/>
          <w:szCs w:val="24"/>
        </w:rPr>
        <w:fldChar w:fldCharType="separate"/>
      </w:r>
      <w:r>
        <w:rPr>
          <w:rFonts w:ascii="仿宋_GB2312"/>
          <w:b w:val="0"/>
          <w:bCs/>
          <w:sz w:val="24"/>
          <w:szCs w:val="24"/>
        </w:rPr>
        <w:t>37</w:t>
      </w:r>
      <w:r>
        <w:rPr>
          <w:rStyle w:val="54"/>
          <w:rFonts w:ascii="仿宋_GB2312" w:hAnsi="仿宋_GB2312"/>
          <w:b w:val="0"/>
          <w:bCs/>
          <w:sz w:val="24"/>
          <w:szCs w:val="24"/>
        </w:rPr>
        <w:fldChar w:fldCharType="end"/>
      </w:r>
      <w:r>
        <w:fldChar w:fldCharType="end"/>
      </w:r>
    </w:p>
    <w:p>
      <w:pPr>
        <w:pStyle w:val="37"/>
        <w:tabs>
          <w:tab w:val="right" w:leader="dot" w:pos="8296"/>
        </w:tabs>
        <w:spacing w:line="336" w:lineRule="auto"/>
        <w:rPr>
          <w:rStyle w:val="54"/>
          <w:rFonts w:ascii="黑体" w:eastAsia="黑体"/>
          <w:sz w:val="28"/>
          <w:szCs w:val="28"/>
        </w:rPr>
      </w:pPr>
      <w:r>
        <w:fldChar w:fldCharType="begin"/>
      </w:r>
      <w:r>
        <w:instrText>Hyperlink \l "_Toc89691277"</w:instrText>
      </w:r>
      <w:r>
        <w:fldChar w:fldCharType="separate"/>
      </w:r>
      <w:r>
        <w:rPr>
          <w:rFonts w:ascii="黑体" w:eastAsia="黑体"/>
          <w:sz w:val="28"/>
          <w:szCs w:val="28"/>
        </w:rPr>
        <w:t>第十章 强化“一区一策”，推动区域精细化管控</w:t>
        <w:tab/>
      </w:r>
      <w:r>
        <w:rPr>
          <w:rStyle w:val="54"/>
          <w:rFonts w:ascii="黑体" w:eastAsia="黑体"/>
          <w:sz w:val="28"/>
          <w:szCs w:val="28"/>
        </w:rPr>
        <w:fldChar w:fldCharType="begin"/>
      </w:r>
      <w:r>
        <w:rPr>
          <w:rStyle w:val="54"/>
          <w:rFonts w:ascii="黑体" w:eastAsia="黑体"/>
          <w:sz w:val="28"/>
          <w:szCs w:val="28"/>
        </w:rPr>
        <w:instrText xml:space="preserve"> PAGEREF _Toc89691277 \h </w:instrText>
      </w:r>
      <w:r>
        <w:rPr>
          <w:rStyle w:val="54"/>
          <w:rFonts w:ascii="黑体" w:eastAsia="黑体"/>
          <w:sz w:val="28"/>
          <w:szCs w:val="28"/>
        </w:rPr>
        <w:fldChar w:fldCharType="separate"/>
      </w:r>
      <w:r>
        <w:rPr>
          <w:rFonts w:ascii="黑体" w:eastAsia="黑体"/>
          <w:sz w:val="28"/>
          <w:szCs w:val="28"/>
        </w:rPr>
        <w:t>38</w:t>
      </w:r>
      <w:r>
        <w:rPr>
          <w:rStyle w:val="54"/>
          <w:rFonts w:ascii="黑体" w:eastAsia="黑体"/>
          <w:sz w:val="28"/>
          <w:szCs w:val="28"/>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"_Toc89691278"</w:instrText>
      </w:r>
      <w:r>
        <w:fldChar w:fldCharType="separate"/>
      </w:r>
      <w:r>
        <w:rPr>
          <w:rFonts w:ascii="仿宋_GB2312"/>
          <w:b w:val="0"/>
          <w:bCs/>
          <w:sz w:val="24"/>
          <w:szCs w:val="24"/>
        </w:rPr>
        <w:t>第一节 环罗源湾—三都澳区</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_Toc89691278 \h </w:instrText>
      </w:r>
      <w:r>
        <w:rPr>
          <w:rStyle w:val="54"/>
          <w:rFonts w:ascii="仿宋_GB2312" w:hAnsi="仿宋_GB2312"/>
          <w:b w:val="0"/>
          <w:bCs/>
          <w:sz w:val="24"/>
          <w:szCs w:val="24"/>
        </w:rPr>
        <w:fldChar w:fldCharType="separate"/>
      </w:r>
      <w:r>
        <w:rPr>
          <w:rFonts w:ascii="仿宋_GB2312"/>
          <w:b w:val="0"/>
          <w:bCs/>
          <w:sz w:val="24"/>
          <w:szCs w:val="24"/>
        </w:rPr>
        <w:t>38</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"_Toc89691279"</w:instrText>
      </w:r>
      <w:r>
        <w:fldChar w:fldCharType="separate"/>
      </w:r>
      <w:r>
        <w:rPr>
          <w:rFonts w:ascii="仿宋_GB2312"/>
          <w:b w:val="0"/>
          <w:bCs/>
          <w:sz w:val="24"/>
          <w:szCs w:val="24"/>
        </w:rPr>
        <w:t>第二节 环湄洲湾区</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_Toc89691279 \h </w:instrText>
      </w:r>
      <w:r>
        <w:rPr>
          <w:rStyle w:val="54"/>
          <w:rFonts w:ascii="仿宋_GB2312" w:hAnsi="仿宋_GB2312"/>
          <w:b w:val="0"/>
          <w:bCs/>
          <w:sz w:val="24"/>
          <w:szCs w:val="24"/>
        </w:rPr>
        <w:fldChar w:fldCharType="separate"/>
      </w:r>
      <w:r>
        <w:rPr>
          <w:rFonts w:ascii="仿宋_GB2312"/>
          <w:b w:val="0"/>
          <w:bCs/>
          <w:sz w:val="24"/>
          <w:szCs w:val="24"/>
        </w:rPr>
        <w:t>39</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"_Toc89691280"</w:instrText>
      </w:r>
      <w:r>
        <w:fldChar w:fldCharType="separate"/>
      </w:r>
      <w:r>
        <w:rPr>
          <w:rFonts w:ascii="仿宋_GB2312"/>
          <w:b w:val="0"/>
          <w:bCs/>
          <w:sz w:val="24"/>
          <w:szCs w:val="24"/>
        </w:rPr>
        <w:t>第三节 闽南三角区</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_Toc89691280 \h </w:instrText>
      </w:r>
      <w:r>
        <w:rPr>
          <w:rStyle w:val="54"/>
          <w:rFonts w:ascii="仿宋_GB2312" w:hAnsi="仿宋_GB2312"/>
          <w:b w:val="0"/>
          <w:bCs/>
          <w:sz w:val="24"/>
          <w:szCs w:val="24"/>
        </w:rPr>
        <w:fldChar w:fldCharType="separate"/>
      </w:r>
      <w:r>
        <w:rPr>
          <w:rFonts w:ascii="仿宋_GB2312"/>
          <w:b w:val="0"/>
          <w:bCs/>
          <w:sz w:val="24"/>
          <w:szCs w:val="24"/>
        </w:rPr>
        <w:t>40</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"_Toc89691281"</w:instrText>
      </w:r>
      <w:r>
        <w:fldChar w:fldCharType="separate"/>
      </w:r>
      <w:r>
        <w:rPr>
          <w:rFonts w:ascii="仿宋_GB2312"/>
          <w:b w:val="0"/>
          <w:bCs/>
          <w:sz w:val="24"/>
          <w:szCs w:val="24"/>
        </w:rPr>
        <w:t>第四节 漳州内陆-龙岩区</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_Toc89691281 \h </w:instrText>
      </w:r>
      <w:r>
        <w:rPr>
          <w:rStyle w:val="54"/>
          <w:rFonts w:ascii="仿宋_GB2312" w:hAnsi="仿宋_GB2312"/>
          <w:b w:val="0"/>
          <w:bCs/>
          <w:sz w:val="24"/>
          <w:szCs w:val="24"/>
        </w:rPr>
        <w:fldChar w:fldCharType="separate"/>
      </w:r>
      <w:r>
        <w:rPr>
          <w:rFonts w:ascii="仿宋_GB2312"/>
          <w:b w:val="0"/>
          <w:bCs/>
          <w:sz w:val="24"/>
          <w:szCs w:val="24"/>
        </w:rPr>
        <w:t>41</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"_Toc89691282"</w:instrText>
      </w:r>
      <w:r>
        <w:fldChar w:fldCharType="separate"/>
      </w:r>
      <w:r>
        <w:rPr>
          <w:rFonts w:ascii="仿宋_GB2312"/>
          <w:b w:val="0"/>
          <w:bCs/>
          <w:sz w:val="24"/>
          <w:szCs w:val="24"/>
        </w:rPr>
        <w:t>第五节 南平三明山区</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_Toc89691282 \h </w:instrText>
      </w:r>
      <w:r>
        <w:rPr>
          <w:rStyle w:val="54"/>
          <w:rFonts w:ascii="仿宋_GB2312" w:hAnsi="仿宋_GB2312"/>
          <w:b w:val="0"/>
          <w:bCs/>
          <w:sz w:val="24"/>
          <w:szCs w:val="24"/>
        </w:rPr>
        <w:fldChar w:fldCharType="separate"/>
      </w:r>
      <w:r>
        <w:rPr>
          <w:rFonts w:ascii="仿宋_GB2312"/>
          <w:b w:val="0"/>
          <w:bCs/>
          <w:sz w:val="24"/>
          <w:szCs w:val="24"/>
        </w:rPr>
        <w:t>42</w:t>
      </w:r>
      <w:r>
        <w:rPr>
          <w:rStyle w:val="54"/>
          <w:rFonts w:ascii="仿宋_GB2312" w:hAnsi="仿宋_GB2312"/>
          <w:b w:val="0"/>
          <w:bCs/>
          <w:sz w:val="24"/>
          <w:szCs w:val="24"/>
        </w:rPr>
        <w:fldChar w:fldCharType="end"/>
      </w:r>
      <w:r>
        <w:fldChar w:fldCharType="end"/>
      </w:r>
    </w:p>
    <w:p>
      <w:pPr>
        <w:pStyle w:val="37"/>
        <w:tabs>
          <w:tab w:val="right" w:leader="dot" w:pos="8296"/>
        </w:tabs>
        <w:spacing w:line="336" w:lineRule="auto"/>
        <w:rPr>
          <w:rStyle w:val="54"/>
          <w:rFonts w:ascii="黑体" w:eastAsia="黑体"/>
          <w:sz w:val="28"/>
          <w:szCs w:val="28"/>
        </w:rPr>
      </w:pPr>
      <w:r>
        <w:fldChar w:fldCharType="begin"/>
      </w:r>
      <w:r>
        <w:instrText>Hyperlink \l "_Toc89691283"</w:instrText>
      </w:r>
      <w:r>
        <w:fldChar w:fldCharType="separate"/>
      </w:r>
      <w:r>
        <w:rPr>
          <w:rFonts w:ascii="黑体" w:eastAsia="黑体"/>
          <w:sz w:val="28"/>
          <w:szCs w:val="28"/>
        </w:rPr>
        <w:t>第十一章 保障措施</w:t>
        <w:tab/>
      </w:r>
      <w:r>
        <w:rPr>
          <w:rStyle w:val="54"/>
          <w:rFonts w:ascii="黑体" w:eastAsia="黑体"/>
          <w:sz w:val="28"/>
          <w:szCs w:val="28"/>
        </w:rPr>
        <w:fldChar w:fldCharType="begin"/>
      </w:r>
      <w:r>
        <w:rPr>
          <w:rStyle w:val="54"/>
          <w:rFonts w:ascii="黑体" w:eastAsia="黑体"/>
          <w:sz w:val="28"/>
          <w:szCs w:val="28"/>
        </w:rPr>
        <w:instrText xml:space="preserve"> PAGEREF _Toc89691283 \h </w:instrText>
      </w:r>
      <w:r>
        <w:rPr>
          <w:rStyle w:val="54"/>
          <w:rFonts w:ascii="黑体" w:eastAsia="黑体"/>
          <w:sz w:val="28"/>
          <w:szCs w:val="28"/>
        </w:rPr>
        <w:fldChar w:fldCharType="separate"/>
      </w:r>
      <w:r>
        <w:rPr>
          <w:rFonts w:ascii="黑体" w:eastAsia="黑体"/>
          <w:sz w:val="28"/>
          <w:szCs w:val="28"/>
        </w:rPr>
        <w:t>44</w:t>
      </w:r>
      <w:r>
        <w:rPr>
          <w:rStyle w:val="54"/>
          <w:rFonts w:ascii="黑体" w:eastAsia="黑体"/>
          <w:sz w:val="28"/>
          <w:szCs w:val="28"/>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"_Toc89691284"</w:instrText>
      </w:r>
      <w:r>
        <w:fldChar w:fldCharType="separate"/>
      </w:r>
      <w:r>
        <w:rPr>
          <w:rFonts w:ascii="仿宋_GB2312"/>
          <w:b w:val="0"/>
          <w:bCs/>
          <w:sz w:val="24"/>
          <w:szCs w:val="24"/>
        </w:rPr>
        <w:t>第一节 加强组织领导</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_Toc89691284 \h </w:instrText>
      </w:r>
      <w:r>
        <w:rPr>
          <w:rStyle w:val="54"/>
          <w:rFonts w:ascii="仿宋_GB2312" w:hAnsi="仿宋_GB2312"/>
          <w:b w:val="0"/>
          <w:bCs/>
          <w:sz w:val="24"/>
          <w:szCs w:val="24"/>
        </w:rPr>
        <w:fldChar w:fldCharType="separate"/>
      </w:r>
      <w:r>
        <w:rPr>
          <w:rFonts w:ascii="仿宋_GB2312"/>
          <w:b w:val="0"/>
          <w:bCs/>
          <w:sz w:val="24"/>
          <w:szCs w:val="24"/>
        </w:rPr>
        <w:t>44</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"_Toc89691285"</w:instrText>
      </w:r>
      <w:r>
        <w:fldChar w:fldCharType="separate"/>
      </w:r>
      <w:r>
        <w:rPr>
          <w:rFonts w:ascii="仿宋_GB2312"/>
          <w:b w:val="0"/>
          <w:bCs/>
          <w:sz w:val="24"/>
          <w:szCs w:val="24"/>
        </w:rPr>
        <w:t>第二节 健全法规标准</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_Toc89691285 \h </w:instrText>
      </w:r>
      <w:r>
        <w:rPr>
          <w:rStyle w:val="54"/>
          <w:rFonts w:ascii="仿宋_GB2312" w:hAnsi="仿宋_GB2312"/>
          <w:b w:val="0"/>
          <w:bCs/>
          <w:sz w:val="24"/>
          <w:szCs w:val="24"/>
        </w:rPr>
        <w:fldChar w:fldCharType="separate"/>
      </w:r>
      <w:r>
        <w:rPr>
          <w:rFonts w:ascii="仿宋_GB2312"/>
          <w:b w:val="0"/>
          <w:bCs/>
          <w:sz w:val="24"/>
          <w:szCs w:val="24"/>
        </w:rPr>
        <w:t>44</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"_Toc89691286"</w:instrText>
      </w:r>
      <w:r>
        <w:fldChar w:fldCharType="separate"/>
      </w:r>
      <w:r>
        <w:rPr>
          <w:rFonts w:ascii="仿宋_GB2312"/>
          <w:b w:val="0"/>
          <w:bCs/>
          <w:sz w:val="24"/>
          <w:szCs w:val="24"/>
        </w:rPr>
        <w:t>第三节 完善政策激励</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_Toc89691286 \h </w:instrText>
      </w:r>
      <w:r>
        <w:rPr>
          <w:rStyle w:val="54"/>
          <w:rFonts w:ascii="仿宋_GB2312" w:hAnsi="仿宋_GB2312"/>
          <w:b w:val="0"/>
          <w:bCs/>
          <w:sz w:val="24"/>
          <w:szCs w:val="24"/>
        </w:rPr>
        <w:fldChar w:fldCharType="separate"/>
      </w:r>
      <w:r>
        <w:rPr>
          <w:rFonts w:ascii="仿宋_GB2312"/>
          <w:b w:val="0"/>
          <w:bCs/>
          <w:sz w:val="24"/>
          <w:szCs w:val="24"/>
        </w:rPr>
        <w:t>45</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"_Toc89691287"</w:instrText>
      </w:r>
      <w:r>
        <w:fldChar w:fldCharType="separate"/>
      </w:r>
      <w:r>
        <w:rPr>
          <w:rFonts w:ascii="仿宋_GB2312"/>
          <w:b w:val="0"/>
          <w:bCs/>
          <w:sz w:val="24"/>
          <w:szCs w:val="24"/>
        </w:rPr>
        <w:t>第四节 严格监督考核</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_Toc89691287 \h </w:instrText>
      </w:r>
      <w:r>
        <w:rPr>
          <w:rStyle w:val="54"/>
          <w:rFonts w:ascii="仿宋_GB2312" w:hAnsi="仿宋_GB2312"/>
          <w:b w:val="0"/>
          <w:bCs/>
          <w:sz w:val="24"/>
          <w:szCs w:val="24"/>
        </w:rPr>
        <w:fldChar w:fldCharType="separate"/>
      </w:r>
      <w:r>
        <w:rPr>
          <w:rFonts w:ascii="仿宋_GB2312"/>
          <w:b w:val="0"/>
          <w:bCs/>
          <w:sz w:val="24"/>
          <w:szCs w:val="24"/>
        </w:rPr>
        <w:t>45</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"_Toc89691288"</w:instrText>
      </w:r>
      <w:r>
        <w:fldChar w:fldCharType="separate"/>
      </w:r>
      <w:r>
        <w:rPr>
          <w:rFonts w:ascii="仿宋_GB2312"/>
          <w:b w:val="0"/>
          <w:bCs/>
          <w:sz w:val="24"/>
          <w:szCs w:val="24"/>
        </w:rPr>
        <w:t>第五节 强化科技支撑</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_Toc89691288 \h </w:instrText>
      </w:r>
      <w:r>
        <w:rPr>
          <w:rStyle w:val="54"/>
          <w:rFonts w:ascii="仿宋_GB2312" w:hAnsi="仿宋_GB2312"/>
          <w:b w:val="0"/>
          <w:bCs/>
          <w:sz w:val="24"/>
          <w:szCs w:val="24"/>
        </w:rPr>
        <w:fldChar w:fldCharType="separate"/>
      </w:r>
      <w:r>
        <w:rPr>
          <w:rFonts w:ascii="仿宋_GB2312"/>
          <w:b w:val="0"/>
          <w:bCs/>
          <w:sz w:val="24"/>
          <w:szCs w:val="24"/>
        </w:rPr>
        <w:t>46</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"_Toc89691289"</w:instrText>
      </w:r>
      <w:r>
        <w:fldChar w:fldCharType="separate"/>
      </w:r>
      <w:r>
        <w:rPr>
          <w:rFonts w:ascii="仿宋_GB2312"/>
          <w:b w:val="0"/>
          <w:bCs/>
          <w:sz w:val="24"/>
          <w:szCs w:val="24"/>
        </w:rPr>
        <w:t>第六节 引导公众参与</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_Toc89691289 \h </w:instrText>
      </w:r>
      <w:r>
        <w:rPr>
          <w:rStyle w:val="54"/>
          <w:rFonts w:ascii="仿宋_GB2312" w:hAnsi="仿宋_GB2312"/>
          <w:b w:val="0"/>
          <w:bCs/>
          <w:sz w:val="24"/>
          <w:szCs w:val="24"/>
        </w:rPr>
        <w:fldChar w:fldCharType="separate"/>
      </w:r>
      <w:r>
        <w:rPr>
          <w:rFonts w:ascii="仿宋_GB2312"/>
          <w:b w:val="0"/>
          <w:bCs/>
          <w:sz w:val="24"/>
          <w:szCs w:val="24"/>
        </w:rPr>
        <w:t>46</w:t>
      </w:r>
      <w:r>
        <w:rPr>
          <w:rStyle w:val="54"/>
          <w:rFonts w:ascii="仿宋_GB2312" w:hAnsi="仿宋_GB2312"/>
          <w:b w:val="0"/>
          <w:bCs/>
          <w:sz w:val="24"/>
          <w:szCs w:val="24"/>
        </w:rPr>
        <w:fldChar w:fldCharType="end"/>
      </w:r>
      <w:r>
        <w:fldChar w:fldCharType="end"/>
      </w:r>
    </w:p>
    <w:p>
      <w:pPr>
        <w:pStyle w:val="37"/>
        <w:tabs>
          <w:tab w:val="right" w:leader="dot" w:pos="8296"/>
        </w:tabs>
        <w:spacing w:line="336" w:lineRule="auto"/>
        <w:rPr>
          <w:rStyle w:val="54"/>
          <w:rFonts w:ascii="黑体" w:eastAsia="黑体"/>
          <w:sz w:val="28"/>
          <w:szCs w:val="28"/>
        </w:rPr>
      </w:pPr>
      <w:r>
        <w:fldChar w:fldCharType="begin"/>
      </w:r>
      <w:r>
        <w:instrText>Hyperlink \l "_Toc89691290"</w:instrText>
      </w:r>
      <w:r>
        <w:fldChar w:fldCharType="separate"/>
      </w:r>
      <w:r>
        <w:rPr>
          <w:rFonts w:ascii="黑体" w:eastAsia="黑体"/>
          <w:sz w:val="28"/>
          <w:szCs w:val="28"/>
        </w:rPr>
        <w:t>附表</w:t>
        <w:tab/>
      </w:r>
      <w:r>
        <w:rPr>
          <w:rStyle w:val="54"/>
          <w:rFonts w:ascii="黑体" w:eastAsia="黑体"/>
          <w:sz w:val="28"/>
          <w:szCs w:val="28"/>
        </w:rPr>
        <w:fldChar w:fldCharType="begin"/>
      </w:r>
      <w:r>
        <w:rPr>
          <w:rStyle w:val="54"/>
          <w:rFonts w:ascii="黑体" w:eastAsia="黑体"/>
          <w:sz w:val="28"/>
          <w:szCs w:val="28"/>
        </w:rPr>
        <w:instrText xml:space="preserve"> PAGEREF _Toc89691290 \h </w:instrText>
      </w:r>
      <w:r>
        <w:rPr>
          <w:rStyle w:val="54"/>
          <w:rFonts w:ascii="黑体" w:eastAsia="黑体"/>
          <w:sz w:val="28"/>
          <w:szCs w:val="28"/>
        </w:rPr>
        <w:fldChar w:fldCharType="separate"/>
      </w:r>
      <w:r>
        <w:rPr>
          <w:rFonts w:ascii="黑体" w:eastAsia="黑体"/>
          <w:sz w:val="28"/>
          <w:szCs w:val="28"/>
        </w:rPr>
        <w:t>48</w:t>
      </w:r>
      <w:r>
        <w:rPr>
          <w:rStyle w:val="54"/>
          <w:rFonts w:ascii="黑体" w:eastAsia="黑体"/>
          <w:sz w:val="28"/>
          <w:szCs w:val="28"/>
        </w:rPr>
        <w:fldChar w:fldCharType="end"/>
      </w:r>
      <w:r>
        <w:fldChar w:fldCharType="end"/>
      </w:r>
    </w:p>
    <w:p>
      <w:pPr>
        <w:pStyle w:val="44"/>
        <w:tabs>
          <w:tab w:val="right" w:leader="dot" w:pos="8296"/>
        </w:tabs>
        <w:spacing w:line="336" w:lineRule="auto"/>
        <w:rPr>
          <w:rStyle w:val="54"/>
          <w:rFonts w:ascii="仿宋_GB2312" w:hAnsi="仿宋_GB2312"/>
          <w:bCs/>
          <w:sz w:val="24"/>
          <w:szCs w:val="24"/>
        </w:rPr>
      </w:pPr>
      <w:r>
        <w:fldChar w:fldCharType="begin"/>
      </w:r>
      <w:r>
        <w:instrText>Hyperlink \l "_Toc89691291"</w:instrText>
      </w:r>
      <w:r>
        <w:fldChar w:fldCharType="separate"/>
      </w:r>
      <w:r>
        <w:rPr>
          <w:rFonts w:ascii="仿宋_GB2312"/>
          <w:b w:val="0"/>
          <w:bCs/>
          <w:sz w:val="24"/>
          <w:szCs w:val="24"/>
        </w:rPr>
        <w:t>附表1 福建省“十四五”空气质量改善分区重点任务统计表</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_Toc89691291 \h </w:instrText>
      </w:r>
      <w:r>
        <w:rPr>
          <w:rStyle w:val="54"/>
          <w:rFonts w:ascii="仿宋_GB2312" w:hAnsi="仿宋_GB2312"/>
          <w:b w:val="0"/>
          <w:bCs/>
          <w:sz w:val="24"/>
          <w:szCs w:val="24"/>
        </w:rPr>
        <w:fldChar w:fldCharType="separate"/>
      </w:r>
      <w:r>
        <w:rPr>
          <w:rFonts w:ascii="仿宋_GB2312"/>
          <w:b w:val="0"/>
          <w:bCs/>
          <w:sz w:val="24"/>
          <w:szCs w:val="24"/>
        </w:rPr>
        <w:t>48</w:t>
      </w:r>
      <w:r>
        <w:rPr>
          <w:rStyle w:val="54"/>
          <w:rFonts w:ascii="仿宋_GB2312" w:hAnsi="仿宋_GB2312"/>
          <w:b w:val="0"/>
          <w:bCs/>
          <w:sz w:val="24"/>
          <w:szCs w:val="24"/>
        </w:rPr>
        <w:fldChar w:fldCharType="end"/>
      </w:r>
      <w:r>
        <w:fldChar w:fldCharType="end"/>
      </w:r>
    </w:p>
    <w:p>
      <w:pPr>
        <w:pStyle w:val="44"/>
        <w:tabs>
          <w:tab w:val="right" w:leader="dot" w:pos="8296"/>
        </w:tabs>
        <w:spacing w:line="336" w:lineRule="auto"/>
        <w:rPr>
          <w:rFonts w:ascii="Times New Roman" w:hAnsi="Times New Roman"/>
          <w:lang w:val="zh-CN"/>
        </w:rPr>
      </w:pPr>
      <w:r>
        <w:fldChar w:fldCharType="begin"/>
      </w:r>
      <w:r>
        <w:instrText>Hyperlink \l "_Toc89691292"</w:instrText>
      </w:r>
      <w:r>
        <w:fldChar w:fldCharType="separate"/>
      </w:r>
      <w:r>
        <w:rPr>
          <w:rFonts w:ascii="仿宋_GB2312"/>
          <w:b w:val="0"/>
          <w:bCs/>
          <w:sz w:val="24"/>
          <w:szCs w:val="24"/>
        </w:rPr>
        <w:t>附表2  福建省“十四五”空气质量改善重点项目清单</w:t>
        <w:tab/>
      </w:r>
      <w:r>
        <w:rPr>
          <w:rStyle w:val="54"/>
          <w:rFonts w:ascii="仿宋_GB2312" w:hAnsi="仿宋_GB2312"/>
          <w:b w:val="0"/>
          <w:bCs/>
          <w:sz w:val="24"/>
          <w:szCs w:val="24"/>
        </w:rPr>
        <w:fldChar w:fldCharType="begin"/>
      </w:r>
      <w:r>
        <w:rPr>
          <w:rStyle w:val="54"/>
          <w:rFonts w:ascii="仿宋_GB2312" w:hAnsi="仿宋_GB2312"/>
          <w:b w:val="0"/>
          <w:bCs/>
          <w:sz w:val="24"/>
          <w:szCs w:val="24"/>
        </w:rPr>
        <w:instrText xml:space="preserve"> PAGEREF _Toc89691292 \h </w:instrText>
      </w:r>
      <w:r>
        <w:rPr>
          <w:rStyle w:val="54"/>
          <w:rFonts w:ascii="仿宋_GB2312" w:hAnsi="仿宋_GB2312"/>
          <w:b w:val="0"/>
          <w:bCs/>
          <w:sz w:val="24"/>
          <w:szCs w:val="24"/>
        </w:rPr>
        <w:fldChar w:fldCharType="separate"/>
      </w:r>
      <w:r>
        <w:rPr>
          <w:rFonts w:ascii="仿宋_GB2312"/>
          <w:b w:val="0"/>
          <w:bCs/>
          <w:sz w:val="24"/>
          <w:szCs w:val="24"/>
        </w:rPr>
        <w:t>50</w:t>
      </w:r>
      <w:r>
        <w:rPr>
          <w:rStyle w:val="54"/>
          <w:rFonts w:ascii="仿宋_GB2312" w:hAnsi="仿宋_GB2312"/>
          <w:b w:val="0"/>
          <w:bCs/>
          <w:sz w:val="24"/>
          <w:szCs w:val="24"/>
        </w:rPr>
        <w:fldChar w:fldCharType="end"/>
      </w:r>
      <w:r>
        <w:fldChar w:fldCharType="end"/>
      </w:r>
      <w:r>
        <w:rPr>
          <w:rFonts w:ascii="Times New Roman" w:eastAsia="楷体_GB2312" w:hAnsi="Times New Roman"/>
          <w:b w:val="0"/>
          <w:bCs w:val="0"/>
          <w:sz w:val="30"/>
          <w:szCs w:val="30"/>
          <w:lang w:val="zh-CN"/>
        </w:rPr>
        <w:fldChar w:fldCharType="end"/>
      </w:r>
    </w:p>
    <w:p>
      <w:pPr>
        <w:rPr>
          <w:rFonts w:ascii="Times New Roman" w:hAnsi="Times New Roman"/>
          <w:b/>
          <w:bCs/>
          <w:caps/>
          <w:smallCaps w:val="0"/>
          <w:szCs w:val="30"/>
        </w:rPr>
        <w:sectPr>
          <w:headerReference w:type="default" r:id="rId2"/>
          <w:footerReference w:type="default" r:id="rId3"/>
          <w:pgSz w:w="11906" w:h="16838"/>
          <w:pgMar w:top="1440" w:right="1800" w:bottom="1440" w:left="1800" w:header="851" w:footer="992" w:gutter="0"/>
          <w:pgNumType w:start="1"/>
          <w:docGrid w:type="lines" w:linePitch="312" w:charSpace="0"/>
        </w:sectPr>
      </w:pPr>
      <w:bookmarkStart w:id="2" w:name="_Hlk83685413"/>
    </w:p>
    <w:p>
      <w:pPr>
        <w:pStyle w:val="400"/>
        <w:widowControl w:val="0"/>
        <w:overflowPunct w:val="0"/>
        <w:adjustRightInd w:val="0"/>
        <w:snapToGrid w:val="0"/>
        <w:spacing w:beforeLines="0" w:before="200" w:afterLines="0" w:after="200"/>
        <w:jc w:val="center"/>
        <w:rPr>
          <w:rFonts w:ascii="Times New Roman" w:hAnsi="Times New Roman"/>
          <w:bCs w:val="0"/>
        </w:rPr>
      </w:pPr>
      <w:bookmarkStart w:id="3" w:name="_Toc89691234"/>
      <w:bookmarkStart w:id="4" w:name="_Toc29937845"/>
      <w:bookmarkStart w:id="5" w:name="_Toc62333423"/>
      <w:bookmarkStart w:id="6" w:name="_Toc62053346"/>
      <w:bookmarkStart w:id="7" w:name="_Toc71716890"/>
      <w:bookmarkStart w:id="8" w:name="_Toc18453150"/>
      <w:bookmarkStart w:id="9" w:name="_Toc62053095"/>
      <w:bookmarkStart w:id="10" w:name="_Toc46637901"/>
      <w:bookmarkStart w:id="11" w:name="_Toc17785503"/>
      <w:bookmarkStart w:id="12" w:name="_Toc32234319"/>
      <w:bookmarkEnd w:id="2"/>
      <w:r>
        <w:rPr>
          <w:rFonts w:ascii="Times New Roman" w:hAnsi="Times New Roman"/>
          <w:bCs w:val="0"/>
        </w:rPr>
        <w:t>第一章 形势与挑战</w:t>
      </w:r>
      <w:bookmarkEnd w:id="3"/>
    </w:p>
    <w:p>
      <w:pPr>
        <w:pStyle w:val="402"/>
        <w:overflowPunct w:val="0"/>
        <w:spacing w:beforeLines="0" w:before="468" w:afterLines="0" w:after="468"/>
        <w:rPr>
          <w:rFonts w:ascii="Times New Roman" w:cs="Times New Roman" w:hAnsi="Times New Roman"/>
          <w:bCs/>
        </w:rPr>
      </w:pPr>
      <w:bookmarkStart w:id="13" w:name="_Toc89691235"/>
      <w:bookmarkEnd w:id="4"/>
      <w:bookmarkEnd w:id="5"/>
      <w:bookmarkEnd w:id="6"/>
      <w:bookmarkEnd w:id="7"/>
      <w:bookmarkEnd w:id="8"/>
      <w:bookmarkEnd w:id="9"/>
      <w:bookmarkEnd w:id="10"/>
      <w:bookmarkEnd w:id="11"/>
      <w:bookmarkEnd w:id="12"/>
      <w:r>
        <w:rPr>
          <w:rFonts w:ascii="Times New Roman" w:cs="Times New Roman" w:hAnsi="Times New Roman"/>
          <w:bCs/>
        </w:rPr>
        <w:t>第一节 “十三五”工作成效</w:t>
      </w:r>
      <w:bookmarkEnd w:id="13"/>
    </w:p>
    <w:p>
      <w:pPr>
        <w:rPr>
          <w:rFonts w:ascii="仿宋_GB2312"/>
          <w:sz w:val="32"/>
          <w:szCs w:val="32"/>
        </w:rPr>
      </w:pPr>
      <w:r>
        <w:rPr>
          <w:rFonts w:ascii="仿宋_GB2312" w:hint="eastAsia"/>
          <w:sz w:val="32"/>
          <w:szCs w:val="32"/>
        </w:rPr>
        <w:t>“十三五”期间，我省以习近平新时代中国特色社会主义思想为指导，健全完善法规标准体系，深入实施大气污染防治行动，全方位推进蓝天保卫战，全面调整优化产业、能源、交通和用地四大结构，开展“长空亮剑”大气污染强化监督帮扶专项行动，强化大数据治气运用，大气污染防治工作取得明显成效。</w:t>
      </w:r>
    </w:p>
    <w:p>
      <w:pPr>
        <w:rPr>
          <w:rFonts w:ascii="仿宋_GB2312"/>
          <w:sz w:val="32"/>
          <w:szCs w:val="32"/>
        </w:rPr>
      </w:pPr>
      <w:r>
        <w:rPr>
          <w:rFonts w:ascii="仿宋_GB2312" w:hint="eastAsia"/>
          <w:b/>
          <w:sz w:val="32"/>
          <w:szCs w:val="32"/>
        </w:rPr>
        <w:t>一是环境空气质量持续改善。</w:t>
      </w:r>
      <w:r>
        <w:rPr>
          <w:rFonts w:ascii="仿宋_GB2312" w:hint="eastAsia"/>
          <w:sz w:val="32"/>
          <w:szCs w:val="32"/>
        </w:rPr>
        <w:t>“十三五”期间，全省大气环境质量继续保持全国领先。2020年，</w:t>
      </w:r>
      <w:r>
        <w:rPr>
          <w:rFonts w:ascii="仿宋_GB2312"/>
          <w:sz w:val="32"/>
          <w:szCs w:val="32"/>
        </w:rPr>
        <w:t>九个设区</w:t>
      </w:r>
      <w:r>
        <w:rPr>
          <w:rFonts w:ascii="仿宋_GB2312" w:hint="eastAsia"/>
          <w:sz w:val="32"/>
          <w:szCs w:val="32"/>
        </w:rPr>
        <w:t>城市空气质量优良天数比例98.8%，比2015</w:t>
      </w:r>
      <w:r>
        <w:rPr>
          <w:rFonts w:ascii="仿宋_GB2312"/>
          <w:sz w:val="32"/>
          <w:szCs w:val="32"/>
        </w:rPr>
        <w:t>年</w:t>
      </w:r>
      <w:r>
        <w:rPr>
          <w:rFonts w:ascii="仿宋_GB2312" w:hint="eastAsia"/>
          <w:sz w:val="32"/>
          <w:szCs w:val="32"/>
        </w:rPr>
        <w:t>提升0.9个百分点，高于全国平均水平11.8个百分点，细颗粒物浓度从</w:t>
      </w:r>
      <w:r>
        <w:rPr>
          <w:rFonts w:ascii="仿宋_GB2312"/>
          <w:sz w:val="32"/>
          <w:szCs w:val="32"/>
        </w:rPr>
        <w:t>2015年</w:t>
      </w:r>
      <w:r>
        <w:rPr>
          <w:rFonts w:ascii="仿宋_GB2312" w:hint="eastAsia"/>
          <w:sz w:val="32"/>
          <w:szCs w:val="32"/>
        </w:rPr>
        <w:t>的</w:t>
      </w:r>
      <w:r>
        <w:rPr>
          <w:rFonts w:ascii="仿宋_GB2312"/>
          <w:sz w:val="32"/>
          <w:szCs w:val="32"/>
        </w:rPr>
        <w:t>30</w:t>
      </w:r>
      <w:r>
        <w:rPr>
          <w:rFonts w:ascii="仿宋_GB2312" w:hint="eastAsia"/>
          <w:sz w:val="32"/>
          <w:szCs w:val="32"/>
        </w:rPr>
        <w:t>微克/立方米逐年下降至20微克/立方米，空气质量持续改善。厦门、福州两市各年度空气质量在全国168个重点城市排名稳定保持在前10名，2020年分别名列第4和第8名。</w:t>
      </w:r>
    </w:p>
    <w:p>
      <w:pPr>
        <w:rPr>
          <w:rFonts w:ascii="仿宋_GB2312"/>
          <w:sz w:val="32"/>
          <w:szCs w:val="32"/>
        </w:rPr>
      </w:pPr>
      <w:r>
        <w:rPr>
          <w:rFonts w:ascii="仿宋_GB2312" w:hint="eastAsia"/>
          <w:b/>
          <w:sz w:val="32"/>
          <w:szCs w:val="32"/>
        </w:rPr>
        <w:t>二是四大结构持续调整优化。</w:t>
      </w:r>
      <w:r>
        <w:rPr>
          <w:rFonts w:ascii="仿宋_GB2312" w:hint="eastAsia"/>
          <w:b/>
          <w:bCs/>
          <w:sz w:val="32"/>
          <w:szCs w:val="32"/>
        </w:rPr>
        <w:t>能源结构不断优化。</w:t>
      </w:r>
      <w:r>
        <w:rPr>
          <w:rFonts w:ascii="仿宋_GB2312" w:hint="eastAsia"/>
          <w:bCs/>
          <w:sz w:val="32"/>
          <w:szCs w:val="32"/>
        </w:rPr>
        <w:t>高效推进核电、光伏、海上风电等清洁能源建设，清洁能源比重从25.3%提高到28.1%</w:t>
      </w:r>
      <w:r>
        <w:rPr>
          <w:rFonts w:ascii="仿宋_GB2312" w:hint="eastAsia"/>
          <w:sz w:val="32"/>
          <w:szCs w:val="32"/>
        </w:rPr>
        <w:t>。</w:t>
      </w:r>
      <w:r>
        <w:rPr>
          <w:rFonts w:ascii="仿宋_GB2312" w:hint="eastAsia"/>
          <w:b/>
          <w:bCs/>
          <w:sz w:val="32"/>
          <w:szCs w:val="32"/>
        </w:rPr>
        <w:t>产业结构持续调整。</w:t>
      </w:r>
      <w:r>
        <w:rPr>
          <w:rFonts w:ascii="仿宋_GB2312" w:hint="eastAsia"/>
          <w:bCs/>
          <w:sz w:val="32"/>
          <w:szCs w:val="32"/>
        </w:rPr>
        <w:t>以钢铁、煤炭、煤电、水泥等高耗能、高污染行业为重点，淘汰落后产能，持续压减过剩产能。</w:t>
      </w:r>
      <w:r>
        <w:rPr>
          <w:rFonts w:ascii="仿宋_GB2312" w:hint="eastAsia"/>
          <w:b/>
          <w:bCs/>
          <w:sz w:val="32"/>
          <w:szCs w:val="32"/>
        </w:rPr>
        <w:t>交通结构不断优化。</w:t>
      </w:r>
      <w:r>
        <w:rPr>
          <w:rFonts w:ascii="仿宋_GB2312" w:hint="eastAsia"/>
          <w:sz w:val="32"/>
          <w:szCs w:val="32"/>
        </w:rPr>
        <w:t>2020年，全省铁路、水运货运量占综合运输比重超过35%，城市新能源公交车占比超80%。</w:t>
      </w:r>
      <w:r>
        <w:rPr>
          <w:rFonts w:ascii="仿宋_GB2312" w:hint="eastAsia"/>
          <w:b/>
          <w:bCs/>
          <w:sz w:val="32"/>
          <w:szCs w:val="32"/>
        </w:rPr>
        <w:t>用地结构有效改善</w:t>
      </w:r>
      <w:r>
        <w:rPr>
          <w:rFonts w:ascii="仿宋_GB2312" w:hint="eastAsia"/>
          <w:b/>
          <w:sz w:val="32"/>
          <w:szCs w:val="32"/>
        </w:rPr>
        <w:t>。</w:t>
      </w:r>
      <w:r>
        <w:rPr>
          <w:rFonts w:ascii="仿宋_GB2312" w:hint="eastAsia"/>
          <w:sz w:val="32"/>
          <w:szCs w:val="32"/>
        </w:rPr>
        <w:t>严格落实“六个百分百”，建立扬尘污染防控长效机制，大力实施“三沿一环”森林景观带建设，综合整治露天矿山。</w:t>
      </w:r>
    </w:p>
    <w:p>
      <w:pPr>
        <w:rPr>
          <w:rFonts w:ascii="仿宋_GB2312"/>
          <w:bCs/>
          <w:sz w:val="32"/>
          <w:szCs w:val="32"/>
        </w:rPr>
      </w:pPr>
      <w:r>
        <w:rPr>
          <w:rFonts w:ascii="仿宋_GB2312" w:hint="eastAsia"/>
          <w:b/>
          <w:sz w:val="32"/>
          <w:szCs w:val="32"/>
        </w:rPr>
        <w:t>三是科学治污推动大气减排工作。推动重点行业超低排放改造工作。</w:t>
      </w:r>
      <w:r>
        <w:rPr>
          <w:rFonts w:ascii="仿宋_GB2312" w:hint="eastAsia"/>
          <w:sz w:val="32"/>
          <w:szCs w:val="32"/>
        </w:rPr>
        <w:t>采用先进的脱硫脱硝除尘治理技术，</w:t>
      </w:r>
      <w:r>
        <w:rPr>
          <w:rFonts w:ascii="仿宋_GB2312" w:hint="eastAsia"/>
          <w:bCs/>
          <w:sz w:val="32"/>
          <w:szCs w:val="32"/>
        </w:rPr>
        <w:t>实施钢铁行业和65蒸吨及以上燃煤锅炉超低排放改造，提前完成</w:t>
      </w:r>
      <w:r>
        <w:rPr>
          <w:rFonts w:ascii="仿宋_GB2312" w:hint="eastAsia"/>
          <w:sz w:val="32"/>
          <w:szCs w:val="32"/>
        </w:rPr>
        <w:t>煤电机组超低排放改造任务。</w:t>
      </w:r>
      <w:r>
        <w:rPr>
          <w:rFonts w:ascii="仿宋_GB2312" w:hint="eastAsia"/>
          <w:b/>
          <w:bCs/>
          <w:sz w:val="32"/>
          <w:szCs w:val="32"/>
        </w:rPr>
        <w:t>强化挥发性有机物综合治理。</w:t>
      </w:r>
      <w:r>
        <w:rPr>
          <w:rFonts w:ascii="仿宋_GB2312" w:hint="eastAsia"/>
          <w:sz w:val="32"/>
          <w:szCs w:val="32"/>
        </w:rPr>
        <w:t>对石化、化工、印刷、涂装、制鞋等重点行业实施800多个治理工程，推进石化、化工行业实施LDAR（泄漏检测与修复）。</w:t>
      </w:r>
      <w:r>
        <w:rPr>
          <w:rFonts w:ascii="仿宋_GB2312" w:hint="eastAsia"/>
          <w:b/>
          <w:bCs/>
          <w:sz w:val="32"/>
          <w:szCs w:val="32"/>
        </w:rPr>
        <w:t>强化工业炉窑排查治理。</w:t>
      </w:r>
      <w:r>
        <w:rPr>
          <w:rFonts w:ascii="仿宋_GB2312" w:hint="eastAsia"/>
          <w:sz w:val="32"/>
          <w:szCs w:val="32"/>
        </w:rPr>
        <w:t>制定实施《福建省工业炉窑大气污染综合治理方案》，推进泉州、福州等地建陶行业“煤改气”。</w:t>
      </w:r>
      <w:r>
        <w:rPr>
          <w:rFonts w:ascii="仿宋_GB2312" w:hint="eastAsia"/>
          <w:b/>
          <w:sz w:val="32"/>
          <w:szCs w:val="32"/>
        </w:rPr>
        <w:t>推进面源污染治理。</w:t>
      </w:r>
      <w:r>
        <w:rPr>
          <w:rFonts w:ascii="仿宋_GB2312" w:hint="eastAsia"/>
          <w:bCs/>
          <w:sz w:val="32"/>
          <w:szCs w:val="32"/>
        </w:rPr>
        <w:t>深化“散乱污”企业、扬尘、餐饮油烟综合整治工作，减轻恶臭、异味等扰民问题。</w:t>
      </w:r>
      <w:r>
        <w:rPr>
          <w:rFonts w:ascii="仿宋_GB2312" w:hint="eastAsia"/>
          <w:b/>
          <w:sz w:val="32"/>
          <w:szCs w:val="32"/>
        </w:rPr>
        <w:t>加强移动源污染管控。</w:t>
      </w:r>
      <w:r>
        <w:rPr>
          <w:rFonts w:ascii="仿宋_GB2312" w:hint="eastAsia"/>
          <w:bCs/>
          <w:sz w:val="32"/>
          <w:szCs w:val="32"/>
        </w:rPr>
        <w:t>完成九市一区机动车遥感监测系统建设及高排放机动车限行区、高排放非道路移动机械禁止使用区划定，开展非道路移动机械摸底调查和编码登记工作。</w:t>
      </w:r>
    </w:p>
    <w:p>
      <w:pPr>
        <w:rPr>
          <w:rFonts w:ascii="仿宋_GB2312"/>
          <w:sz w:val="32"/>
          <w:szCs w:val="32"/>
        </w:rPr>
      </w:pPr>
      <w:r>
        <w:rPr>
          <w:rFonts w:ascii="仿宋_GB2312" w:hint="eastAsia"/>
          <w:b/>
          <w:sz w:val="32"/>
          <w:szCs w:val="32"/>
        </w:rPr>
        <w:t>四是精准治污成效显著。</w:t>
      </w:r>
      <w:r>
        <w:rPr>
          <w:rFonts w:ascii="仿宋_GB2312" w:hint="eastAsia"/>
          <w:sz w:val="32"/>
          <w:szCs w:val="32"/>
        </w:rPr>
        <w:t>构建“天地人一体化”全方位大气监测网络，精确掌握局部大气环境质量，全省现已建成200多座空气自动监测站及</w:t>
      </w:r>
      <w:r>
        <w:rPr>
          <w:rFonts w:ascii="仿宋_GB2312"/>
          <w:sz w:val="32"/>
          <w:szCs w:val="32"/>
        </w:rPr>
        <w:t>由</w:t>
      </w:r>
      <w:r>
        <w:rPr>
          <w:rFonts w:ascii="仿宋_GB2312" w:hint="eastAsia"/>
          <w:sz w:val="32"/>
          <w:szCs w:val="32"/>
        </w:rPr>
        <w:t>14座VOCs监测站点、3座大气超级站构成的大气光化学污染监测网。借助领先全国的省级生态云平台，建立2万多家企业“一企一档”，结合全省36083个网格化监管，打通执法监管“最后一公里”，开辟大气污染智慧防控、精准防控新思路。开展省、市级层面臭氧、颗粒物污染成因分析等重大科研课题，推动各地大气污染精准追因溯源、精细化治理。</w:t>
      </w:r>
    </w:p>
    <w:p>
      <w:pPr>
        <w:rPr>
          <w:rFonts w:ascii="仿宋_GB2312"/>
          <w:sz w:val="32"/>
          <w:szCs w:val="32"/>
        </w:rPr>
      </w:pPr>
      <w:r>
        <w:rPr>
          <w:rFonts w:ascii="仿宋_GB2312" w:hint="eastAsia"/>
          <w:b/>
          <w:sz w:val="32"/>
          <w:szCs w:val="32"/>
        </w:rPr>
        <w:t>五是依法治污取得新突破。</w:t>
      </w:r>
      <w:r>
        <w:rPr>
          <w:rFonts w:ascii="仿宋_GB2312" w:hint="eastAsia"/>
          <w:sz w:val="32"/>
          <w:szCs w:val="32"/>
        </w:rPr>
        <w:t>省人大常委会颁布实施《福建省大气污染防治条例》，部分城市制定出台大气污染防治条例和管理办法，为福建省大气质量持续走在全国前列提供法治保障。在全国率先出台《福建省臭氧污染防控指南（试行）》，臭氧污染防控先行一步。补齐挥发性有机物排放标准的短板，制订了印刷行业挥发性有机物排放标准等3项强制性地方标准。发布实施《福建省建设工程施工现场扬尘防治与监测技术规程》，多措并举提升城市扬尘管控水平。</w:t>
      </w:r>
    </w:p>
    <w:p>
      <w:pPr>
        <w:rPr>
          <w:rFonts w:ascii="仿宋_GB2312"/>
          <w:sz w:val="32"/>
          <w:szCs w:val="32"/>
        </w:rPr>
      </w:pPr>
      <w:r>
        <w:rPr>
          <w:rFonts w:ascii="仿宋_GB2312" w:hint="eastAsia"/>
          <w:b/>
          <w:sz w:val="32"/>
          <w:szCs w:val="32"/>
        </w:rPr>
        <w:t>六是联防联控机制进一步健全</w:t>
      </w:r>
      <w:r>
        <w:rPr>
          <w:rFonts w:ascii="仿宋_GB2312" w:hint="eastAsia"/>
          <w:sz w:val="32"/>
          <w:szCs w:val="32"/>
        </w:rPr>
        <w:t>。打破城市行政界限壁垒，以环湄洲湾、厦漳泉、环罗源湾-三都澳三个沿海区域为重点，多次开展省-市-县三级大气污染联防联控，应对轻微污染天气。构建联防联控一张图，打通从大气监测预警、会商研判、精准施策到评估提升的各个环节，有效减少大气轻微污染天数，推动区域空气质量整体提升，厦门金砖峰会空气质量保障工作取得圆满成功。</w:t>
      </w:r>
    </w:p>
    <w:p>
      <w:pPr>
        <w:pStyle w:val="402"/>
        <w:overflowPunct w:val="0"/>
        <w:spacing w:beforeLines="0" w:before="468" w:afterLines="0" w:after="468"/>
        <w:rPr>
          <w:rFonts w:ascii="Times New Roman" w:cs="Times New Roman" w:hAnsi="Times New Roman"/>
          <w:bCs/>
        </w:rPr>
      </w:pPr>
      <w:bookmarkStart w:id="14" w:name="_Toc89691236"/>
      <w:r>
        <w:rPr>
          <w:rFonts w:ascii="Times New Roman" w:cs="Times New Roman" w:hAnsi="Times New Roman"/>
          <w:bCs/>
        </w:rPr>
        <w:t>第二节 存在问题与挑战</w:t>
      </w:r>
      <w:bookmarkEnd w:id="14"/>
    </w:p>
    <w:p>
      <w:pPr>
        <w:rPr>
          <w:rFonts w:ascii="仿宋_GB2312"/>
          <w:sz w:val="32"/>
          <w:szCs w:val="32"/>
        </w:rPr>
      </w:pPr>
      <w:r>
        <w:rPr>
          <w:rFonts w:ascii="仿宋_GB2312" w:hint="eastAsia"/>
          <w:sz w:val="32"/>
          <w:szCs w:val="32"/>
        </w:rPr>
        <w:t>“十三五”以来，尽管全省大气环境保护工作取得了积极成效，但对标“美丽福建”建设要求、国内外大气环境先进国家和地区，还存在一定的差距。在“十四五”期间，面对全方位推进高质量发展超越新目标，还面临不少挑战。</w:t>
      </w:r>
    </w:p>
    <w:p>
      <w:pPr>
        <w:rPr>
          <w:rFonts w:ascii="仿宋_GB2312"/>
          <w:sz w:val="32"/>
          <w:szCs w:val="32"/>
        </w:rPr>
      </w:pPr>
      <w:r>
        <w:rPr>
          <w:rFonts w:ascii="仿宋_GB2312" w:hint="eastAsia"/>
          <w:b/>
          <w:sz w:val="32"/>
          <w:szCs w:val="32"/>
        </w:rPr>
        <w:t>一是统筹环境与发展的矛盾日益突出。</w:t>
      </w:r>
      <w:r>
        <w:rPr>
          <w:rFonts w:ascii="仿宋_GB2312" w:hint="eastAsia"/>
          <w:sz w:val="32"/>
          <w:szCs w:val="32"/>
        </w:rPr>
        <w:t>“十四五”时期，我省以煤为主的能源结构、以重工业为主的产业结构、以公路货运为主的交通运输结构短期内难以改变，工业化仍将保持快速增长，大气环境质量保持高位运行的压力越来越大，通过末端治理进一步改善大气环境的空间越来越小，碳排放总量上升趋势尚未出现扭转的态势，实现碳达峰目标和碳中和愿景时间紧、任务重。</w:t>
      </w:r>
    </w:p>
    <w:p>
      <w:pPr>
        <w:rPr>
          <w:rFonts w:ascii="仿宋_GB2312"/>
          <w:sz w:val="32"/>
          <w:szCs w:val="32"/>
          <w:shd w:val="clear" w:color="auto" w:fill="FFFFFF"/>
        </w:rPr>
      </w:pPr>
      <w:r>
        <w:rPr>
          <w:rFonts w:ascii="仿宋_GB2312" w:hint="eastAsia"/>
          <w:b/>
          <w:sz w:val="32"/>
          <w:szCs w:val="32"/>
          <w:shd w:val="clear" w:color="auto" w:fill="FFFFFF"/>
        </w:rPr>
        <w:t>二是臭氧与细颗粒物协同防控形势仍较严峻。</w:t>
      </w:r>
      <w:r>
        <w:rPr>
          <w:rFonts w:ascii="仿宋_GB2312" w:hint="eastAsia"/>
          <w:sz w:val="32"/>
          <w:szCs w:val="32"/>
          <w:shd w:val="clear" w:color="auto" w:fill="FFFFFF"/>
        </w:rPr>
        <w:t>我省沿海臭氧污染浓度呈缓慢上升态势，约80%超标天数的首要污染物是臭氧。在颗粒物方面，部分县城的PM</w:t>
      </w:r>
      <w:r>
        <w:rPr>
          <w:rFonts w:ascii="仿宋_GB2312" w:hint="eastAsia"/>
          <w:sz w:val="32"/>
          <w:szCs w:val="32"/>
          <w:shd w:val="clear" w:color="auto" w:fill="FFFFFF"/>
          <w:vertAlign w:val="subscript"/>
        </w:rPr>
        <w:t>2.5</w:t>
      </w:r>
      <w:r>
        <w:rPr>
          <w:rFonts w:ascii="仿宋_GB2312" w:hint="eastAsia"/>
          <w:sz w:val="32"/>
          <w:szCs w:val="32"/>
          <w:shd w:val="clear" w:color="auto" w:fill="FFFFFF"/>
        </w:rPr>
        <w:t>浓度仍较高，对标世卫组织第三阶段标准（15微克/立方米）还有一定差距，局部地区PM</w:t>
      </w:r>
      <w:r>
        <w:rPr>
          <w:rFonts w:ascii="仿宋_GB2312" w:hint="eastAsia"/>
          <w:sz w:val="32"/>
          <w:szCs w:val="32"/>
          <w:shd w:val="clear" w:color="auto" w:fill="FFFFFF"/>
          <w:vertAlign w:val="subscript"/>
        </w:rPr>
        <w:t>10</w:t>
      </w:r>
      <w:r>
        <w:rPr>
          <w:rFonts w:ascii="仿宋_GB2312" w:hint="eastAsia"/>
          <w:sz w:val="32"/>
          <w:szCs w:val="32"/>
          <w:shd w:val="clear" w:color="auto" w:fill="FFFFFF"/>
        </w:rPr>
        <w:t>浓度较高，城市扬尘精细化管控水平亟需提升。</w:t>
      </w:r>
    </w:p>
    <w:p>
      <w:pPr>
        <w:rPr>
          <w:rFonts w:ascii="仿宋_GB2312"/>
          <w:sz w:val="32"/>
          <w:szCs w:val="32"/>
        </w:rPr>
      </w:pPr>
      <w:r>
        <w:rPr>
          <w:rFonts w:ascii="仿宋_GB2312" w:hint="eastAsia"/>
          <w:b/>
          <w:sz w:val="32"/>
          <w:szCs w:val="32"/>
          <w:shd w:val="clear" w:color="auto" w:fill="FFFFFF"/>
        </w:rPr>
        <w:t>三是挥发性有机物和氮氧化物协同减排面临新挑战。</w:t>
      </w:r>
      <w:r>
        <w:rPr>
          <w:rFonts w:ascii="仿宋_GB2312" w:hint="eastAsia"/>
          <w:sz w:val="32"/>
          <w:szCs w:val="32"/>
          <w:shd w:val="clear" w:color="auto" w:fill="FFFFFF"/>
        </w:rPr>
        <w:t>随着我省工业领域脱硫脱硝除尘治理水平全面提升，挥发性有机物治理的短板愈加凸显，日益成为导致城市大气臭氧和细颗粒物复合污染的重要因素，成为影响我省空气质量持续改善的痛点、堵点、难点。同时氮氧化物的减排潜力也尚待深入挖掘。</w:t>
      </w:r>
    </w:p>
    <w:p>
      <w:pPr>
        <w:rPr>
          <w:rFonts w:ascii="仿宋_GB2312"/>
          <w:sz w:val="32"/>
          <w:szCs w:val="32"/>
        </w:rPr>
      </w:pPr>
      <w:r>
        <w:rPr>
          <w:rFonts w:ascii="仿宋_GB2312" w:hint="eastAsia"/>
          <w:b/>
          <w:sz w:val="32"/>
          <w:szCs w:val="32"/>
        </w:rPr>
        <w:t>四是新旧大气问题交织加大大气管控难度。</w:t>
      </w:r>
      <w:r>
        <w:rPr>
          <w:rFonts w:ascii="仿宋_GB2312" w:hint="eastAsia"/>
          <w:sz w:val="32"/>
          <w:szCs w:val="32"/>
        </w:rPr>
        <w:t>城市扬尘、餐饮油烟、恶臭异味扰民等百姓身边的“老大难”问题尚未得到根本解决，消耗臭氧层物质（ODS）和氢氟化物淘汰管理、氨排放等大气新污染物管理要求接踵而至，对大气治理能力现代化水平提出了更高要求。</w:t>
      </w:r>
    </w:p>
    <w:p>
      <w:pPr>
        <w:rPr>
          <w:rFonts w:ascii="Times New Roman" w:hAnsi="Times New Roman"/>
          <w:sz w:val="32"/>
          <w:szCs w:val="32"/>
        </w:rPr>
      </w:pPr>
      <w:r>
        <w:rPr>
          <w:rFonts w:ascii="Times New Roman" w:hAnsi="Times New Roman"/>
          <w:szCs w:val="30"/>
        </w:rPr>
        <w:br w:type="page"/>
      </w:r>
    </w:p>
    <w:p>
      <w:pPr>
        <w:pStyle w:val="400"/>
        <w:widowControl w:val="0"/>
        <w:overflowPunct w:val="0"/>
        <w:adjustRightInd w:val="0"/>
        <w:snapToGrid w:val="0"/>
        <w:spacing w:beforeLines="0" w:before="200" w:afterLines="0" w:after="200"/>
        <w:jc w:val="center"/>
        <w:rPr>
          <w:rFonts w:ascii="Times New Roman" w:hAnsi="Times New Roman"/>
          <w:bCs w:val="0"/>
        </w:rPr>
      </w:pPr>
      <w:bookmarkStart w:id="15" w:name="_Toc89691237"/>
      <w:r>
        <w:rPr>
          <w:rFonts w:ascii="Times New Roman" w:hAnsi="Times New Roman"/>
          <w:bCs w:val="0"/>
        </w:rPr>
        <w:t>第二章 总体要求</w:t>
      </w:r>
      <w:bookmarkEnd w:id="15"/>
    </w:p>
    <w:p>
      <w:pPr>
        <w:pStyle w:val="402"/>
        <w:overflowPunct w:val="0"/>
        <w:spacing w:beforeLines="0" w:before="468" w:afterLines="0" w:after="468"/>
        <w:rPr>
          <w:rFonts w:ascii="Times New Roman" w:cs="Times New Roman" w:hAnsi="Times New Roman"/>
          <w:bCs/>
        </w:rPr>
      </w:pPr>
      <w:bookmarkStart w:id="16" w:name="_Toc89691238"/>
      <w:r>
        <w:rPr>
          <w:rFonts w:ascii="Times New Roman" w:cs="Times New Roman" w:hAnsi="Times New Roman"/>
          <w:bCs/>
        </w:rPr>
        <w:t>第一节 指导思想</w:t>
      </w:r>
      <w:bookmarkEnd w:id="16"/>
    </w:p>
    <w:p>
      <w:pPr>
        <w:rPr>
          <w:rFonts w:ascii="仿宋_GB2312"/>
          <w:sz w:val="32"/>
          <w:szCs w:val="32"/>
        </w:rPr>
      </w:pPr>
      <w:r>
        <w:rPr>
          <w:rFonts w:ascii="仿宋_GB2312" w:hint="eastAsia"/>
          <w:sz w:val="32"/>
          <w:szCs w:val="32"/>
        </w:rPr>
        <w:t>以习近平新时代中国特色社会主义思想为指导，全面贯彻党的十九大和十九届二中、三中、四中、五中、六中全会精神，深入践行习近平生态文明思想，面向2035年基本建成美丽福建目标，以稳步提升大气环境质量为核心，切实解决人民群众身边突出的大气环境问题；</w:t>
      </w:r>
      <w:bookmarkStart w:id="17" w:name="_Hlk91583506"/>
      <w:r>
        <w:rPr>
          <w:rFonts w:ascii="仿宋_GB2312" w:hint="eastAsia"/>
          <w:sz w:val="32"/>
          <w:szCs w:val="32"/>
        </w:rPr>
        <w:t>以减污降碳协同增效为总要求，</w:t>
      </w:r>
      <w:bookmarkEnd w:id="17"/>
      <w:r>
        <w:rPr>
          <w:rFonts w:ascii="仿宋_GB2312" w:hint="eastAsia"/>
          <w:sz w:val="32"/>
          <w:szCs w:val="32"/>
        </w:rPr>
        <w:t>调整优化能源结构、产业结构、交通结构、用地结构，统筹推进大气污染防治与温室气体减排；以</w:t>
      </w:r>
      <w:bookmarkStart w:id="18" w:name="_Hlk91583518"/>
      <w:r>
        <w:rPr>
          <w:rFonts w:ascii="仿宋_GB2312" w:hint="eastAsia"/>
          <w:sz w:val="32"/>
          <w:szCs w:val="32"/>
        </w:rPr>
        <w:t>细颗粒物和臭氧污染协同控制为主线，强化挥发性有机物和氮氧化物协同减排，</w:t>
      </w:r>
      <w:bookmarkEnd w:id="18"/>
      <w:r>
        <w:rPr>
          <w:rFonts w:ascii="仿宋_GB2312" w:hint="eastAsia"/>
          <w:sz w:val="32"/>
          <w:szCs w:val="32"/>
        </w:rPr>
        <w:t>深化区域大气污染防治协作，提高轻微污染天气的防范和应急处置能力；更加突出精准治污、科学治污、依法治污，强化福建生态云平台等科技支撑，构建精细化大气环境综合治理体系，提升大气治理能力现代化、智慧化水平，不断增强人民群众蓝天白云幸福感，高质量推进清新福建、美丽福建建设。</w:t>
      </w:r>
    </w:p>
    <w:p>
      <w:pPr>
        <w:pStyle w:val="402"/>
        <w:overflowPunct w:val="0"/>
        <w:spacing w:beforeLines="0" w:before="468" w:afterLines="0" w:after="468"/>
        <w:rPr>
          <w:rFonts w:ascii="Times New Roman" w:cs="Times New Roman" w:hAnsi="Times New Roman"/>
          <w:bCs/>
        </w:rPr>
      </w:pPr>
      <w:bookmarkStart w:id="19" w:name="_Toc89691239"/>
      <w:r>
        <w:rPr>
          <w:rFonts w:ascii="Times New Roman" w:cs="Times New Roman" w:hAnsi="Times New Roman"/>
          <w:bCs/>
        </w:rPr>
        <w:t>第二节 基本原则</w:t>
      </w:r>
      <w:bookmarkEnd w:id="19"/>
    </w:p>
    <w:p>
      <w:pPr>
        <w:rPr>
          <w:rFonts w:ascii="仿宋_GB2312"/>
          <w:sz w:val="32"/>
          <w:szCs w:val="32"/>
        </w:rPr>
      </w:pPr>
      <w:r>
        <w:rPr>
          <w:rFonts w:ascii="仿宋_GB2312" w:hint="eastAsia"/>
          <w:b/>
          <w:sz w:val="32"/>
          <w:szCs w:val="32"/>
        </w:rPr>
        <w:t>减污降碳，协同减排。</w:t>
      </w:r>
      <w:r>
        <w:rPr>
          <w:rFonts w:ascii="仿宋_GB2312" w:hint="eastAsia"/>
          <w:sz w:val="32"/>
          <w:szCs w:val="32"/>
        </w:rPr>
        <w:t>在巩固二氧化硫、一次颗粒物减排基础上，加大VOCs和NOx减排力度，协同推进氨、有毒有害大气污染物排放控制，推动实现减污降碳协同增效。加强区域协同联动，统筹目标任务和资源配置，着力解决跨界污染，统一管控要求，形成治污合力。</w:t>
      </w:r>
    </w:p>
    <w:p>
      <w:pPr>
        <w:rPr>
          <w:rFonts w:ascii="仿宋_GB2312"/>
          <w:sz w:val="32"/>
          <w:szCs w:val="32"/>
        </w:rPr>
      </w:pPr>
      <w:r>
        <w:rPr>
          <w:rFonts w:ascii="仿宋_GB2312" w:hint="eastAsia"/>
          <w:b/>
          <w:sz w:val="32"/>
          <w:szCs w:val="32"/>
        </w:rPr>
        <w:t>精准治污，科学施策。</w:t>
      </w:r>
      <w:r>
        <w:rPr>
          <w:rFonts w:ascii="仿宋_GB2312" w:hint="eastAsia"/>
          <w:sz w:val="32"/>
          <w:szCs w:val="32"/>
        </w:rPr>
        <w:t>持续开展攻坚行动，有效应对臭氧轻微污染天气。加大沿海重点区域治污力度，推进全省空气质量持续改善。以石化、化工、工业涂装、包装印刷、油品储运销等领域为重点，大力削减VOCs排放；以移动源和工业炉窑治理为重点，持续推进氮氧化物减排，实施靶向治理和差异化管理。</w:t>
      </w:r>
    </w:p>
    <w:p>
      <w:pPr>
        <w:rPr>
          <w:rFonts w:ascii="仿宋_GB2312"/>
          <w:b/>
          <w:sz w:val="32"/>
          <w:szCs w:val="32"/>
        </w:rPr>
      </w:pPr>
      <w:r>
        <w:rPr>
          <w:rFonts w:ascii="仿宋_GB2312" w:hint="eastAsia"/>
          <w:b/>
          <w:sz w:val="32"/>
          <w:szCs w:val="32"/>
        </w:rPr>
        <w:t>源头控制，系统治理。</w:t>
      </w:r>
      <w:r>
        <w:rPr>
          <w:rFonts w:ascii="仿宋_GB2312" w:hint="eastAsia"/>
          <w:sz w:val="32"/>
          <w:szCs w:val="32"/>
        </w:rPr>
        <w:t>提高环境准入门槛，推进低VOCs含量产品的生产和使用，推动传统产业绿色化，合理优化产业布局。降低煤炭消费比重，控制煤炭消费增长，推动煤炭集中清洁利用。提升交通运输轨道化、电气化、清洁化水平。</w:t>
      </w:r>
    </w:p>
    <w:p>
      <w:pPr>
        <w:rPr>
          <w:rFonts w:ascii="仿宋_GB2312"/>
          <w:sz w:val="32"/>
          <w:szCs w:val="32"/>
        </w:rPr>
      </w:pPr>
      <w:r>
        <w:rPr>
          <w:rFonts w:ascii="仿宋_GB2312" w:hint="eastAsia"/>
          <w:b/>
          <w:sz w:val="32"/>
          <w:szCs w:val="32"/>
        </w:rPr>
        <w:t>强基固本，多元共治。</w:t>
      </w:r>
      <w:r>
        <w:rPr>
          <w:rFonts w:ascii="仿宋_GB2312" w:hint="eastAsia"/>
          <w:sz w:val="32"/>
          <w:szCs w:val="32"/>
        </w:rPr>
        <w:t>坚持依法治污，健全法规标准体系，提升执法效能。加强技术、管理和制度创新，提升监测执法能力和信息化水平。充分发挥市场在资源配置中的作用，激发企业治污内生动力。构建政府主导、企业主体、社会组织和公众共同参与的治理体系，推动形成绿色低碳生产生活方式。</w:t>
      </w:r>
    </w:p>
    <w:p>
      <w:pPr>
        <w:pStyle w:val="402"/>
        <w:overflowPunct w:val="0"/>
        <w:spacing w:beforeLines="0" w:before="468" w:afterLines="0" w:after="468"/>
        <w:rPr>
          <w:rFonts w:ascii="Times New Roman" w:cs="Times New Roman" w:hAnsi="Times New Roman"/>
          <w:bCs/>
        </w:rPr>
      </w:pPr>
      <w:bookmarkStart w:id="20" w:name="_Toc89691240"/>
      <w:r>
        <w:rPr>
          <w:rFonts w:ascii="Times New Roman" w:cs="Times New Roman" w:hAnsi="Times New Roman"/>
          <w:bCs/>
        </w:rPr>
        <w:t>第三节 目标指标</w:t>
      </w:r>
      <w:bookmarkEnd w:id="20"/>
    </w:p>
    <w:p>
      <w:pPr>
        <w:rPr>
          <w:rFonts w:ascii="仿宋_GB2312"/>
          <w:sz w:val="32"/>
          <w:szCs w:val="32"/>
        </w:rPr>
      </w:pPr>
      <w:r>
        <w:rPr>
          <w:rFonts w:ascii="仿宋_GB2312" w:hint="eastAsia"/>
          <w:sz w:val="32"/>
          <w:szCs w:val="32"/>
        </w:rPr>
        <w:t>“十四五”期间，全省大气环境质量继续保持全国前列，大气多污染物协同治理迈出新步伐，减污降碳协同管理达到新增效，区域大气污染联防联控机制实现新突破，轻微污染天气的预警和应对能力得到新提升，大气环境治理体系和治理能力现代化建设取得新进展，百姓对清新空气的需求得到有效满足。</w:t>
      </w:r>
    </w:p>
    <w:p>
      <w:pPr>
        <w:rPr>
          <w:rFonts w:ascii="仿宋_GB2312"/>
          <w:sz w:val="32"/>
          <w:szCs w:val="32"/>
        </w:rPr>
      </w:pPr>
      <w:r>
        <w:rPr>
          <w:rFonts w:ascii="仿宋_GB2312" w:hint="eastAsia"/>
          <w:sz w:val="32"/>
          <w:szCs w:val="32"/>
        </w:rPr>
        <w:t>到2025年，设区市PM</w:t>
      </w:r>
      <w:r>
        <w:rPr>
          <w:rFonts w:ascii="仿宋_GB2312" w:hint="eastAsia"/>
          <w:sz w:val="32"/>
          <w:szCs w:val="32"/>
          <w:vertAlign w:val="subscript"/>
        </w:rPr>
        <w:t>2.5</w:t>
      </w:r>
      <w:r>
        <w:rPr>
          <w:rFonts w:ascii="仿宋_GB2312" w:hint="eastAsia"/>
          <w:sz w:val="32"/>
          <w:szCs w:val="32"/>
        </w:rPr>
        <w:t>平均浓度不高于20.0μg/m</w:t>
      </w:r>
      <w:r>
        <w:rPr>
          <w:rFonts w:ascii="仿宋_GB2312" w:hint="eastAsia"/>
          <w:sz w:val="32"/>
          <w:szCs w:val="32"/>
          <w:vertAlign w:val="superscript"/>
        </w:rPr>
        <w:t>3</w:t>
      </w:r>
      <w:r>
        <w:rPr>
          <w:rFonts w:ascii="仿宋_GB2312" w:hint="eastAsia"/>
          <w:sz w:val="32"/>
          <w:szCs w:val="32"/>
        </w:rPr>
        <w:t>，县级城市PM</w:t>
      </w:r>
      <w:r>
        <w:rPr>
          <w:rFonts w:ascii="仿宋_GB2312" w:hint="eastAsia"/>
          <w:sz w:val="32"/>
          <w:szCs w:val="32"/>
          <w:vertAlign w:val="subscript"/>
        </w:rPr>
        <w:t>2.5</w:t>
      </w:r>
      <w:r>
        <w:rPr>
          <w:rFonts w:ascii="仿宋_GB2312" w:hint="eastAsia"/>
          <w:sz w:val="32"/>
          <w:szCs w:val="32"/>
        </w:rPr>
        <w:t>平均浓度不高于18.0μg/m</w:t>
      </w:r>
      <w:r>
        <w:rPr>
          <w:rFonts w:ascii="仿宋_GB2312" w:hint="eastAsia"/>
          <w:sz w:val="32"/>
          <w:szCs w:val="32"/>
          <w:vertAlign w:val="superscript"/>
        </w:rPr>
        <w:t>3</w:t>
      </w:r>
      <w:r>
        <w:rPr>
          <w:rFonts w:ascii="仿宋_GB2312" w:hint="eastAsia"/>
          <w:sz w:val="32"/>
          <w:szCs w:val="32"/>
        </w:rPr>
        <w:t>，臭氧浓度稳中有降，优良天数比率完成国家下达的指标，不发生重度污染；氮氧化物和VOCs重点工程减排量完成国家下达指标。福州、厦门空气质量继续保持全国重点城市前列。具体如表2-1所示。</w:t>
      </w:r>
    </w:p>
    <w:p>
      <w:pPr>
        <w:rPr>
          <w:rFonts w:ascii="仿宋_GB2312"/>
          <w:sz w:val="32"/>
          <w:szCs w:val="32"/>
        </w:rPr>
      </w:pPr>
      <w:r>
        <w:rPr>
          <w:rFonts w:ascii="仿宋_GB2312" w:hint="eastAsia"/>
          <w:sz w:val="32"/>
          <w:szCs w:val="32"/>
        </w:rPr>
        <w:t>展望2035年，全省大气环境质量持续保持全国前列，细颗粒物浓度力争接近15.0μg/m</w:t>
      </w:r>
      <w:r>
        <w:rPr>
          <w:rFonts w:ascii="仿宋_GB2312" w:hint="eastAsia"/>
          <w:sz w:val="32"/>
          <w:szCs w:val="32"/>
          <w:vertAlign w:val="superscript"/>
        </w:rPr>
        <w:t>3</w:t>
      </w:r>
      <w:r>
        <w:rPr>
          <w:rFonts w:ascii="仿宋_GB2312" w:hint="eastAsia"/>
          <w:sz w:val="32"/>
          <w:szCs w:val="32"/>
        </w:rPr>
        <w:t>，大气环境保护管理制度健全高效，大气环境治理体系和治理能力现代化基本实现，清新福建展现更加崭新的面貌，蓝天白云、繁星闪烁成为八闽大地的常态。</w:t>
      </w:r>
    </w:p>
    <w:p>
      <w:pPr>
        <w:jc w:val="center"/>
        <w:rPr>
          <w:rFonts w:ascii="Times New Roman" w:hAnsi="Times New Roman"/>
          <w:b/>
          <w:bCs/>
        </w:rPr>
      </w:pPr>
      <w:r>
        <w:rPr>
          <w:rFonts w:ascii="Times New Roman" w:hAnsi="Times New Roman"/>
          <w:b/>
          <w:bCs/>
        </w:rPr>
        <w:br w:type="page"/>
      </w:r>
    </w:p>
    <w:p>
      <w:pPr>
        <w:ind w:firstLineChars="0" w:firstLine="0"/>
        <w:jc w:val="center"/>
        <w:rPr>
          <w:rFonts w:ascii="楷体_GB2312" w:eastAsia="楷体_GB2312"/>
          <w:b/>
          <w:bCs/>
          <w:sz w:val="32"/>
          <w:szCs w:val="32"/>
        </w:rPr>
      </w:pPr>
      <w:r>
        <w:rPr>
          <w:rFonts w:ascii="楷体_GB2312" w:eastAsia="楷体_GB2312" w:hint="eastAsia"/>
          <w:b/>
          <w:bCs/>
          <w:sz w:val="32"/>
          <w:szCs w:val="32"/>
        </w:rPr>
        <w:t>表2-1 规划目标指标</w:t>
      </w:r>
    </w:p>
    <w:tbl>
      <w:tblPr>
        <w:jc w:val="cen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blGrid>
        <w:gridCol w:w="839"/>
        <w:gridCol w:w="637"/>
        <w:gridCol w:w="2834"/>
        <w:gridCol w:w="849"/>
        <w:gridCol w:w="1589"/>
        <w:gridCol w:w="1677"/>
      </w:tblGrid>
      <w:tr>
        <w:trPr>
          <w:trHeight w:val="20"/>
        </w:trPr>
        <w:tc>
          <w:tcPr>
            <w:tcW w:w="498" w:type="pct"/>
            <w:vAlign w:val="center"/>
          </w:tcPr>
          <w:p>
            <w:pPr>
              <w:spacing w:line="240" w:lineRule="auto"/>
              <w:ind w:firstLineChars="0" w:firstLine="0"/>
              <w:jc w:val="center"/>
              <w:rPr>
                <w:rFonts w:ascii="仿宋_GB2312"/>
                <w:b/>
                <w:sz w:val="21"/>
                <w:szCs w:val="21"/>
              </w:rPr>
            </w:pPr>
            <w:r>
              <w:rPr>
                <w:rFonts w:ascii="仿宋_GB2312" w:hint="eastAsia"/>
                <w:b/>
                <w:sz w:val="21"/>
                <w:szCs w:val="21"/>
              </w:rPr>
              <w:t>类别</w:t>
            </w:r>
          </w:p>
        </w:tc>
        <w:tc>
          <w:tcPr>
            <w:tcW w:w="378" w:type="pct"/>
            <w:shd w:val="clear" w:color="auto" w:fill="auto"/>
            <w:vAlign w:val="center"/>
          </w:tcPr>
          <w:p>
            <w:pPr>
              <w:spacing w:line="240" w:lineRule="auto"/>
              <w:ind w:firstLineChars="0" w:firstLine="0"/>
              <w:jc w:val="center"/>
              <w:rPr>
                <w:rFonts w:ascii="仿宋_GB2312"/>
                <w:b/>
                <w:sz w:val="21"/>
                <w:szCs w:val="21"/>
              </w:rPr>
            </w:pPr>
            <w:r>
              <w:rPr>
                <w:rFonts w:ascii="仿宋_GB2312" w:hint="eastAsia"/>
                <w:b/>
                <w:sz w:val="21"/>
                <w:szCs w:val="21"/>
              </w:rPr>
              <w:t>序号</w:t>
            </w:r>
          </w:p>
        </w:tc>
        <w:tc>
          <w:tcPr>
            <w:tcW w:w="1682" w:type="pct"/>
            <w:shd w:val="clear" w:color="auto" w:fill="auto"/>
            <w:vAlign w:val="center"/>
          </w:tcPr>
          <w:p>
            <w:pPr>
              <w:spacing w:line="240" w:lineRule="auto"/>
              <w:ind w:leftChars="-25" w:left="-75" w:rightChars="-25" w:right="-75" w:firstLineChars="0" w:firstLine="0"/>
              <w:jc w:val="center"/>
              <w:rPr>
                <w:rFonts w:ascii="仿宋_GB2312"/>
                <w:b/>
                <w:sz w:val="21"/>
                <w:szCs w:val="21"/>
              </w:rPr>
            </w:pPr>
            <w:r>
              <w:rPr>
                <w:rFonts w:ascii="仿宋_GB2312" w:hint="eastAsia"/>
                <w:b/>
                <w:sz w:val="21"/>
                <w:szCs w:val="21"/>
              </w:rPr>
              <w:t>指标名称</w:t>
            </w:r>
          </w:p>
        </w:tc>
        <w:tc>
          <w:tcPr>
            <w:tcW w:w="504" w:type="pct"/>
            <w:vAlign w:val="center"/>
          </w:tcPr>
          <w:p>
            <w:pPr>
              <w:spacing w:line="240" w:lineRule="auto"/>
              <w:ind w:firstLineChars="0" w:firstLine="0"/>
              <w:jc w:val="center"/>
              <w:rPr>
                <w:rFonts w:ascii="仿宋_GB2312"/>
                <w:b/>
                <w:sz w:val="21"/>
                <w:szCs w:val="21"/>
              </w:rPr>
            </w:pPr>
            <w:r>
              <w:rPr>
                <w:rFonts w:ascii="仿宋_GB2312" w:hint="eastAsia"/>
                <w:b/>
                <w:sz w:val="21"/>
                <w:szCs w:val="21"/>
              </w:rPr>
              <w:t>类型</w:t>
            </w:r>
          </w:p>
        </w:tc>
        <w:tc>
          <w:tcPr>
            <w:tcW w:w="943" w:type="pct"/>
            <w:vAlign w:val="center"/>
          </w:tcPr>
          <w:p>
            <w:pPr>
              <w:spacing w:line="240" w:lineRule="auto"/>
              <w:ind w:firstLineChars="0" w:firstLine="0"/>
              <w:jc w:val="center"/>
              <w:rPr>
                <w:rFonts w:ascii="仿宋_GB2312"/>
                <w:b/>
                <w:sz w:val="21"/>
                <w:szCs w:val="21"/>
              </w:rPr>
            </w:pPr>
            <w:r>
              <w:rPr>
                <w:rFonts w:ascii="仿宋_GB2312" w:hint="eastAsia"/>
                <w:b/>
                <w:sz w:val="21"/>
                <w:szCs w:val="21"/>
              </w:rPr>
              <w:t>2020年现状值</w:t>
            </w:r>
          </w:p>
        </w:tc>
        <w:tc>
          <w:tcPr>
            <w:tcW w:w="995" w:type="pct"/>
            <w:vAlign w:val="center"/>
          </w:tcPr>
          <w:p>
            <w:pPr>
              <w:spacing w:line="240" w:lineRule="auto"/>
              <w:ind w:firstLineChars="0" w:firstLine="0"/>
              <w:jc w:val="center"/>
              <w:rPr>
                <w:rFonts w:ascii="仿宋_GB2312"/>
                <w:b/>
                <w:sz w:val="21"/>
                <w:szCs w:val="21"/>
              </w:rPr>
            </w:pPr>
            <w:r>
              <w:rPr>
                <w:rFonts w:ascii="仿宋_GB2312" w:hint="eastAsia"/>
                <w:b/>
                <w:sz w:val="21"/>
                <w:szCs w:val="21"/>
              </w:rPr>
              <w:t>2025年目标值</w:t>
            </w:r>
          </w:p>
        </w:tc>
      </w:tr>
      <w:tr>
        <w:trPr>
          <w:trHeight w:val="20"/>
        </w:trPr>
        <w:tc>
          <w:tcPr>
            <w:tcW w:w="498" w:type="pct"/>
            <w:vMerge w:val="restart"/>
            <w:vAlign w:val="center"/>
          </w:tcPr>
          <w:p>
            <w:pPr>
              <w:spacing w:line="240" w:lineRule="auto"/>
              <w:ind w:firstLineChars="0" w:firstLine="0"/>
              <w:jc w:val="center"/>
              <w:rPr>
                <w:rFonts w:ascii="仿宋_GB2312"/>
                <w:sz w:val="21"/>
                <w:szCs w:val="21"/>
              </w:rPr>
            </w:pPr>
            <w:r>
              <w:rPr>
                <w:rFonts w:ascii="仿宋_GB2312" w:hint="eastAsia"/>
                <w:sz w:val="21"/>
                <w:szCs w:val="21"/>
              </w:rPr>
              <w:t>空气质量改善指标</w:t>
            </w:r>
          </w:p>
        </w:tc>
        <w:tc>
          <w:tcPr>
            <w:tcW w:w="378" w:type="pct"/>
            <w:shd w:val="clear" w:color="auto" w:fill="auto"/>
            <w:vAlign w:val="center"/>
          </w:tcPr>
          <w:p>
            <w:pPr>
              <w:spacing w:line="240" w:lineRule="auto"/>
              <w:ind w:firstLineChars="0" w:firstLine="0"/>
              <w:jc w:val="center"/>
              <w:rPr>
                <w:rFonts w:ascii="仿宋_GB2312"/>
                <w:sz w:val="21"/>
                <w:szCs w:val="21"/>
              </w:rPr>
            </w:pPr>
            <w:r>
              <w:rPr>
                <w:rFonts w:ascii="仿宋_GB2312" w:hint="eastAsia"/>
                <w:sz w:val="21"/>
                <w:szCs w:val="21"/>
              </w:rPr>
              <w:t>1</w:t>
            </w:r>
          </w:p>
        </w:tc>
        <w:tc>
          <w:tcPr>
            <w:tcW w:w="1682" w:type="pct"/>
            <w:shd w:val="clear" w:color="auto" w:fill="auto"/>
            <w:vAlign w:val="center"/>
          </w:tcPr>
          <w:p>
            <w:pPr>
              <w:spacing w:line="240" w:lineRule="auto"/>
              <w:ind w:leftChars="-25" w:left="-75" w:rightChars="-25" w:right="-75" w:firstLineChars="0" w:firstLine="0"/>
              <w:jc w:val="center"/>
              <w:rPr>
                <w:rFonts w:ascii="仿宋_GB2312"/>
                <w:sz w:val="21"/>
                <w:szCs w:val="21"/>
              </w:rPr>
            </w:pPr>
            <w:r>
              <w:rPr>
                <w:rFonts w:ascii="仿宋_GB2312" w:hint="eastAsia"/>
                <w:sz w:val="21"/>
                <w:szCs w:val="21"/>
              </w:rPr>
              <w:t>设区市PM</w:t>
            </w:r>
            <w:r>
              <w:rPr>
                <w:rFonts w:ascii="仿宋_GB2312" w:hint="eastAsia"/>
                <w:sz w:val="21"/>
                <w:szCs w:val="21"/>
                <w:vertAlign w:val="subscript"/>
              </w:rPr>
              <w:t>2.5</w:t>
            </w:r>
            <w:r>
              <w:rPr>
                <w:rFonts w:ascii="仿宋_GB2312" w:hint="eastAsia"/>
                <w:sz w:val="21"/>
                <w:szCs w:val="21"/>
              </w:rPr>
              <w:t>平均浓度（μg/m</w:t>
            </w:r>
            <w:r>
              <w:rPr>
                <w:rFonts w:ascii="仿宋_GB2312" w:hint="eastAsia"/>
                <w:sz w:val="21"/>
                <w:szCs w:val="21"/>
                <w:vertAlign w:val="superscript"/>
              </w:rPr>
              <w:t>3</w:t>
            </w:r>
            <w:r>
              <w:rPr>
                <w:rFonts w:ascii="仿宋_GB2312" w:hint="eastAsia"/>
                <w:sz w:val="21"/>
                <w:szCs w:val="21"/>
              </w:rPr>
              <w:t>）</w:t>
            </w:r>
          </w:p>
        </w:tc>
        <w:tc>
          <w:tcPr>
            <w:tcW w:w="504" w:type="pct"/>
            <w:vAlign w:val="center"/>
          </w:tcPr>
          <w:p>
            <w:pPr>
              <w:spacing w:line="240" w:lineRule="auto"/>
              <w:ind w:firstLineChars="0" w:firstLine="0"/>
              <w:jc w:val="center"/>
              <w:rPr>
                <w:rFonts w:ascii="仿宋_GB2312"/>
                <w:sz w:val="21"/>
                <w:szCs w:val="21"/>
              </w:rPr>
            </w:pPr>
            <w:r>
              <w:rPr>
                <w:rFonts w:ascii="仿宋_GB2312" w:hint="eastAsia"/>
                <w:sz w:val="21"/>
                <w:szCs w:val="21"/>
              </w:rPr>
              <w:t>约束性</w:t>
            </w:r>
          </w:p>
        </w:tc>
        <w:tc>
          <w:tcPr>
            <w:tcW w:w="943" w:type="pct"/>
            <w:vAlign w:val="center"/>
          </w:tcPr>
          <w:p>
            <w:pPr>
              <w:spacing w:line="240" w:lineRule="auto"/>
              <w:ind w:firstLineChars="0" w:firstLine="0"/>
              <w:jc w:val="center"/>
              <w:rPr>
                <w:rFonts w:ascii="仿宋_GB2312"/>
                <w:sz w:val="21"/>
                <w:szCs w:val="21"/>
              </w:rPr>
            </w:pPr>
            <w:r>
              <w:rPr>
                <w:rFonts w:ascii="仿宋_GB2312" w:hint="eastAsia"/>
                <w:sz w:val="21"/>
                <w:szCs w:val="21"/>
              </w:rPr>
              <w:t>20</w:t>
            </w:r>
          </w:p>
        </w:tc>
        <w:tc>
          <w:tcPr>
            <w:tcW w:w="995" w:type="pct"/>
            <w:vAlign w:val="center"/>
          </w:tcPr>
          <w:p>
            <w:pPr>
              <w:spacing w:line="240" w:lineRule="auto"/>
              <w:ind w:firstLineChars="0" w:firstLine="0"/>
              <w:jc w:val="center"/>
              <w:rPr>
                <w:rFonts w:ascii="仿宋_GB2312"/>
                <w:sz w:val="21"/>
                <w:szCs w:val="21"/>
              </w:rPr>
            </w:pPr>
            <w:r>
              <w:rPr>
                <w:rFonts w:ascii="仿宋_GB2312" w:hint="eastAsia"/>
                <w:sz w:val="21"/>
                <w:szCs w:val="21"/>
              </w:rPr>
              <w:t>≤20.0</w:t>
            </w:r>
          </w:p>
        </w:tc>
      </w:tr>
      <w:tr>
        <w:trPr>
          <w:trHeight w:val="20"/>
        </w:trPr>
        <w:tc>
          <w:tcPr>
            <w:tcW w:w="498" w:type="pct"/>
            <w:vMerge/>
            <w:vAlign w:val="center"/>
          </w:tcPr>
          <w:p/>
        </w:tc>
        <w:tc>
          <w:tcPr>
            <w:tcW w:w="378" w:type="pct"/>
            <w:shd w:val="clear" w:color="auto" w:fill="auto"/>
            <w:vAlign w:val="center"/>
          </w:tcPr>
          <w:p>
            <w:pPr>
              <w:spacing w:line="240" w:lineRule="auto"/>
              <w:ind w:firstLineChars="0" w:firstLine="0"/>
              <w:jc w:val="center"/>
              <w:rPr>
                <w:rFonts w:ascii="仿宋_GB2312"/>
                <w:sz w:val="21"/>
                <w:szCs w:val="21"/>
              </w:rPr>
            </w:pPr>
            <w:r>
              <w:rPr>
                <w:rFonts w:ascii="仿宋_GB2312" w:hint="eastAsia"/>
                <w:sz w:val="21"/>
                <w:szCs w:val="21"/>
              </w:rPr>
              <w:t>2</w:t>
            </w:r>
          </w:p>
        </w:tc>
        <w:tc>
          <w:tcPr>
            <w:tcW w:w="1682" w:type="pct"/>
            <w:shd w:val="clear" w:color="auto" w:fill="auto"/>
            <w:vAlign w:val="center"/>
          </w:tcPr>
          <w:p>
            <w:pPr>
              <w:pStyle w:val="61"/>
              <w:ind w:leftChars="-25" w:left="-75" w:rightChars="-25" w:right="-75"/>
              <w:rPr>
                <w:rFonts w:ascii="仿宋_GB2312"/>
              </w:rPr>
            </w:pPr>
            <w:r>
              <w:rPr>
                <w:rFonts w:ascii="仿宋_GB2312" w:hint="eastAsia"/>
              </w:rPr>
              <w:t>设区市O</w:t>
            </w:r>
            <w:r>
              <w:rPr>
                <w:rFonts w:ascii="仿宋_GB2312" w:hint="eastAsia"/>
                <w:vertAlign w:val="subscript"/>
              </w:rPr>
              <w:t>3</w:t>
            </w:r>
            <w:r>
              <w:rPr>
                <w:rFonts w:ascii="仿宋_GB2312" w:hint="eastAsia"/>
              </w:rPr>
              <w:t>平均浓度（</w:t>
            </w:r>
            <w:r>
              <w:rPr>
                <w:rFonts w:ascii="仿宋_GB2312" w:hint="eastAsia"/>
                <w:szCs w:val="30"/>
              </w:rPr>
              <w:t>μ</w:t>
            </w:r>
            <w:r>
              <w:rPr>
                <w:rFonts w:ascii="仿宋_GB2312" w:hint="eastAsia"/>
              </w:rPr>
              <w:t>g/m</w:t>
            </w:r>
            <w:r>
              <w:rPr>
                <w:rFonts w:ascii="仿宋_GB2312" w:hint="eastAsia"/>
                <w:vertAlign w:val="superscript"/>
              </w:rPr>
              <w:t>3</w:t>
            </w:r>
            <w:r>
              <w:rPr>
                <w:rFonts w:ascii="仿宋_GB2312" w:hint="eastAsia"/>
              </w:rPr>
              <w:t>）</w:t>
            </w:r>
          </w:p>
        </w:tc>
        <w:tc>
          <w:tcPr>
            <w:tcW w:w="504" w:type="pct"/>
            <w:vAlign w:val="center"/>
          </w:tcPr>
          <w:p>
            <w:pPr>
              <w:spacing w:line="240" w:lineRule="auto"/>
              <w:ind w:firstLineChars="0" w:firstLine="0"/>
              <w:jc w:val="center"/>
              <w:rPr>
                <w:rFonts w:ascii="仿宋_GB2312"/>
                <w:sz w:val="21"/>
                <w:szCs w:val="21"/>
              </w:rPr>
            </w:pPr>
            <w:r>
              <w:rPr>
                <w:rFonts w:ascii="仿宋_GB2312" w:hint="eastAsia"/>
                <w:sz w:val="21"/>
                <w:szCs w:val="21"/>
              </w:rPr>
              <w:t>预期性</w:t>
            </w:r>
          </w:p>
        </w:tc>
        <w:tc>
          <w:tcPr>
            <w:tcW w:w="943" w:type="pct"/>
            <w:vAlign w:val="center"/>
          </w:tcPr>
          <w:p>
            <w:pPr>
              <w:spacing w:line="240" w:lineRule="auto"/>
              <w:ind w:firstLineChars="0" w:firstLine="0"/>
              <w:jc w:val="center"/>
              <w:rPr>
                <w:rFonts w:ascii="仿宋_GB2312"/>
                <w:sz w:val="21"/>
                <w:szCs w:val="21"/>
              </w:rPr>
            </w:pPr>
            <w:r>
              <w:rPr>
                <w:rFonts w:ascii="仿宋_GB2312" w:hint="eastAsia"/>
                <w:sz w:val="21"/>
                <w:szCs w:val="21"/>
              </w:rPr>
              <w:t>128</w:t>
            </w:r>
          </w:p>
        </w:tc>
        <w:tc>
          <w:tcPr>
            <w:tcW w:w="995" w:type="pct"/>
            <w:vAlign w:val="center"/>
          </w:tcPr>
          <w:p>
            <w:pPr>
              <w:spacing w:line="240" w:lineRule="auto"/>
              <w:ind w:firstLineChars="0" w:firstLine="0"/>
              <w:jc w:val="center"/>
              <w:rPr>
                <w:rFonts w:ascii="仿宋_GB2312"/>
                <w:sz w:val="21"/>
                <w:szCs w:val="21"/>
              </w:rPr>
            </w:pPr>
            <w:r>
              <w:rPr>
                <w:rFonts w:ascii="仿宋_GB2312" w:hint="eastAsia"/>
                <w:sz w:val="21"/>
                <w:szCs w:val="21"/>
              </w:rPr>
              <w:t>稳中有降</w:t>
            </w:r>
          </w:p>
        </w:tc>
      </w:tr>
      <w:tr>
        <w:trPr>
          <w:trHeight w:val="20"/>
        </w:trPr>
        <w:tc>
          <w:tcPr>
            <w:tcW w:w="498" w:type="pct"/>
            <w:vMerge/>
            <w:vAlign w:val="center"/>
          </w:tcPr>
          <w:p/>
        </w:tc>
        <w:tc>
          <w:tcPr>
            <w:tcW w:w="378" w:type="pct"/>
            <w:shd w:val="clear" w:color="auto" w:fill="auto"/>
            <w:vAlign w:val="center"/>
          </w:tcPr>
          <w:p>
            <w:pPr>
              <w:spacing w:line="240" w:lineRule="auto"/>
              <w:ind w:firstLineChars="0" w:firstLine="0"/>
              <w:jc w:val="center"/>
              <w:rPr>
                <w:rFonts w:ascii="仿宋_GB2312"/>
                <w:sz w:val="21"/>
                <w:szCs w:val="21"/>
              </w:rPr>
            </w:pPr>
            <w:r>
              <w:rPr>
                <w:rFonts w:ascii="仿宋_GB2312" w:hint="eastAsia"/>
                <w:sz w:val="21"/>
                <w:szCs w:val="21"/>
              </w:rPr>
              <w:t>3</w:t>
            </w:r>
          </w:p>
        </w:tc>
        <w:tc>
          <w:tcPr>
            <w:tcW w:w="1682" w:type="pct"/>
            <w:shd w:val="clear" w:color="auto" w:fill="auto"/>
            <w:vAlign w:val="center"/>
          </w:tcPr>
          <w:p>
            <w:pPr>
              <w:pStyle w:val="61"/>
              <w:ind w:leftChars="-25" w:left="-75" w:rightChars="-25" w:right="-75"/>
              <w:rPr>
                <w:rFonts w:ascii="仿宋_GB2312"/>
              </w:rPr>
            </w:pPr>
            <w:r>
              <w:rPr>
                <w:rFonts w:ascii="仿宋_GB2312" w:hint="eastAsia"/>
              </w:rPr>
              <w:t>县级城市PM</w:t>
            </w:r>
            <w:r>
              <w:rPr>
                <w:rFonts w:ascii="仿宋_GB2312" w:hint="eastAsia"/>
                <w:vertAlign w:val="subscript"/>
              </w:rPr>
              <w:t>2.5</w:t>
            </w:r>
            <w:r>
              <w:rPr>
                <w:rFonts w:ascii="仿宋_GB2312" w:hint="eastAsia"/>
              </w:rPr>
              <w:t>平均浓度（μg/m</w:t>
            </w:r>
            <w:r>
              <w:rPr>
                <w:rFonts w:ascii="仿宋_GB2312" w:hint="eastAsia"/>
                <w:vertAlign w:val="superscript"/>
              </w:rPr>
              <w:t>3</w:t>
            </w:r>
            <w:r>
              <w:rPr>
                <w:rFonts w:ascii="仿宋_GB2312" w:hint="eastAsia"/>
              </w:rPr>
              <w:t>）</w:t>
            </w:r>
          </w:p>
        </w:tc>
        <w:tc>
          <w:tcPr>
            <w:tcW w:w="504" w:type="pct"/>
            <w:vAlign w:val="center"/>
          </w:tcPr>
          <w:p>
            <w:pPr>
              <w:spacing w:line="240" w:lineRule="auto"/>
              <w:ind w:firstLineChars="0" w:firstLine="0"/>
              <w:jc w:val="center"/>
              <w:rPr>
                <w:rFonts w:ascii="仿宋_GB2312"/>
                <w:sz w:val="21"/>
                <w:szCs w:val="21"/>
              </w:rPr>
            </w:pPr>
            <w:r>
              <w:rPr>
                <w:rFonts w:ascii="仿宋_GB2312" w:hint="eastAsia"/>
                <w:sz w:val="21"/>
                <w:szCs w:val="21"/>
              </w:rPr>
              <w:t>预期性</w:t>
            </w:r>
          </w:p>
        </w:tc>
        <w:tc>
          <w:tcPr>
            <w:tcW w:w="943" w:type="pct"/>
            <w:vAlign w:val="center"/>
          </w:tcPr>
          <w:p>
            <w:pPr>
              <w:spacing w:line="240" w:lineRule="auto"/>
              <w:ind w:firstLineChars="0" w:firstLine="0"/>
              <w:jc w:val="center"/>
              <w:rPr>
                <w:rFonts w:ascii="仿宋_GB2312"/>
                <w:sz w:val="21"/>
                <w:szCs w:val="21"/>
              </w:rPr>
            </w:pPr>
            <w:r>
              <w:rPr>
                <w:rFonts w:ascii="仿宋_GB2312" w:hint="eastAsia"/>
                <w:sz w:val="21"/>
                <w:szCs w:val="21"/>
              </w:rPr>
              <w:t>18</w:t>
            </w:r>
          </w:p>
        </w:tc>
        <w:tc>
          <w:tcPr>
            <w:tcW w:w="995" w:type="pct"/>
            <w:vAlign w:val="center"/>
          </w:tcPr>
          <w:p>
            <w:pPr>
              <w:spacing w:line="240" w:lineRule="auto"/>
              <w:ind w:firstLineChars="0" w:firstLine="0"/>
              <w:jc w:val="center"/>
              <w:rPr>
                <w:rFonts w:ascii="仿宋_GB2312"/>
                <w:sz w:val="21"/>
                <w:szCs w:val="21"/>
              </w:rPr>
            </w:pPr>
            <w:r>
              <w:rPr>
                <w:rFonts w:ascii="仿宋_GB2312" w:hint="eastAsia"/>
                <w:sz w:val="21"/>
                <w:szCs w:val="21"/>
              </w:rPr>
              <w:t>≤18.0</w:t>
            </w:r>
          </w:p>
        </w:tc>
      </w:tr>
      <w:tr>
        <w:trPr>
          <w:trHeight w:val="20"/>
        </w:trPr>
        <w:tc>
          <w:tcPr>
            <w:tcW w:w="498" w:type="pct"/>
            <w:vMerge/>
            <w:vAlign w:val="center"/>
          </w:tcPr>
          <w:p/>
        </w:tc>
        <w:tc>
          <w:tcPr>
            <w:tcW w:w="378" w:type="pct"/>
            <w:shd w:val="clear" w:color="auto" w:fill="auto"/>
            <w:vAlign w:val="center"/>
          </w:tcPr>
          <w:p>
            <w:pPr>
              <w:spacing w:line="240" w:lineRule="auto"/>
              <w:ind w:firstLineChars="0" w:firstLine="0"/>
              <w:jc w:val="center"/>
              <w:rPr>
                <w:rFonts w:ascii="仿宋_GB2312"/>
                <w:sz w:val="21"/>
                <w:szCs w:val="21"/>
              </w:rPr>
            </w:pPr>
            <w:r>
              <w:rPr>
                <w:rFonts w:ascii="仿宋_GB2312" w:hint="eastAsia"/>
                <w:sz w:val="21"/>
                <w:szCs w:val="21"/>
              </w:rPr>
              <w:t>4</w:t>
            </w:r>
          </w:p>
        </w:tc>
        <w:tc>
          <w:tcPr>
            <w:tcW w:w="1682" w:type="pct"/>
            <w:shd w:val="clear" w:color="auto" w:fill="auto"/>
            <w:vAlign w:val="center"/>
          </w:tcPr>
          <w:p>
            <w:pPr>
              <w:pStyle w:val="61"/>
              <w:ind w:leftChars="0" w:left="0" w:rightChars="-25" w:right="-75"/>
              <w:rPr>
                <w:rFonts w:ascii="仿宋_GB2312"/>
              </w:rPr>
            </w:pPr>
            <w:r>
              <w:rPr>
                <w:rFonts w:ascii="仿宋_GB2312" w:hint="eastAsia"/>
              </w:rPr>
              <w:t>设区市优良天数比例（%）</w:t>
            </w:r>
          </w:p>
        </w:tc>
        <w:tc>
          <w:tcPr>
            <w:tcW w:w="504" w:type="pct"/>
            <w:vAlign w:val="center"/>
          </w:tcPr>
          <w:p>
            <w:pPr>
              <w:spacing w:line="240" w:lineRule="auto"/>
              <w:ind w:firstLineChars="0" w:firstLine="0"/>
              <w:jc w:val="center"/>
              <w:rPr>
                <w:rFonts w:ascii="仿宋_GB2312"/>
                <w:sz w:val="21"/>
                <w:szCs w:val="21"/>
              </w:rPr>
            </w:pPr>
            <w:r>
              <w:rPr>
                <w:rFonts w:ascii="仿宋_GB2312" w:hint="eastAsia"/>
                <w:sz w:val="21"/>
                <w:szCs w:val="21"/>
              </w:rPr>
              <w:t>约束性</w:t>
            </w:r>
          </w:p>
        </w:tc>
        <w:tc>
          <w:tcPr>
            <w:tcW w:w="943" w:type="pct"/>
            <w:vAlign w:val="center"/>
          </w:tcPr>
          <w:p>
            <w:pPr>
              <w:spacing w:line="240" w:lineRule="auto"/>
              <w:ind w:firstLineChars="0" w:firstLine="0"/>
              <w:jc w:val="center"/>
              <w:rPr>
                <w:rFonts w:ascii="仿宋_GB2312"/>
                <w:sz w:val="21"/>
                <w:szCs w:val="21"/>
              </w:rPr>
            </w:pPr>
            <w:r>
              <w:rPr>
                <w:rFonts w:ascii="仿宋_GB2312" w:hint="eastAsia"/>
                <w:sz w:val="21"/>
                <w:szCs w:val="21"/>
              </w:rPr>
              <w:t>98.8</w:t>
            </w:r>
          </w:p>
        </w:tc>
        <w:tc>
          <w:tcPr>
            <w:tcW w:w="995" w:type="pct"/>
            <w:vAlign w:val="center"/>
          </w:tcPr>
          <w:p>
            <w:pPr>
              <w:spacing w:line="240" w:lineRule="auto"/>
              <w:ind w:firstLineChars="0" w:firstLine="0"/>
              <w:jc w:val="center"/>
              <w:rPr>
                <w:rFonts w:ascii="仿宋_GB2312"/>
                <w:sz w:val="21"/>
                <w:szCs w:val="21"/>
              </w:rPr>
            </w:pPr>
            <w:r>
              <w:rPr>
                <w:rFonts w:ascii="仿宋_GB2312" w:hint="eastAsia"/>
                <w:sz w:val="21"/>
                <w:szCs w:val="21"/>
              </w:rPr>
              <w:t>完成国家下达指标</w:t>
            </w:r>
          </w:p>
        </w:tc>
      </w:tr>
      <w:tr>
        <w:trPr>
          <w:trHeight w:val="20"/>
        </w:trPr>
        <w:tc>
          <w:tcPr>
            <w:tcW w:w="498" w:type="pct"/>
            <w:vMerge/>
            <w:vAlign w:val="center"/>
          </w:tcPr>
          <w:p/>
        </w:tc>
        <w:tc>
          <w:tcPr>
            <w:tcW w:w="378" w:type="pct"/>
            <w:shd w:val="clear" w:color="auto" w:fill="auto"/>
            <w:vAlign w:val="center"/>
          </w:tcPr>
          <w:p>
            <w:pPr>
              <w:spacing w:line="240" w:lineRule="auto"/>
              <w:ind w:firstLineChars="0" w:firstLine="0"/>
              <w:jc w:val="center"/>
              <w:rPr>
                <w:rFonts w:ascii="仿宋_GB2312"/>
                <w:sz w:val="21"/>
                <w:szCs w:val="21"/>
              </w:rPr>
            </w:pPr>
            <w:r>
              <w:rPr>
                <w:rFonts w:ascii="仿宋_GB2312" w:hint="eastAsia"/>
                <w:sz w:val="21"/>
                <w:szCs w:val="21"/>
              </w:rPr>
              <w:t>5</w:t>
            </w:r>
          </w:p>
        </w:tc>
        <w:tc>
          <w:tcPr>
            <w:tcW w:w="1682" w:type="pct"/>
            <w:shd w:val="clear" w:color="auto" w:fill="auto"/>
            <w:vAlign w:val="center"/>
          </w:tcPr>
          <w:p>
            <w:pPr>
              <w:pStyle w:val="61"/>
              <w:ind w:leftChars="0" w:left="0" w:rightChars="-25" w:right="-75"/>
              <w:rPr>
                <w:rFonts w:ascii="仿宋_GB2312"/>
              </w:rPr>
            </w:pPr>
            <w:r>
              <w:rPr>
                <w:rFonts w:ascii="仿宋_GB2312" w:hint="eastAsia"/>
              </w:rPr>
              <w:t>设区市优天数比例（%）</w:t>
            </w:r>
          </w:p>
        </w:tc>
        <w:tc>
          <w:tcPr>
            <w:tcW w:w="504" w:type="pct"/>
            <w:vAlign w:val="center"/>
          </w:tcPr>
          <w:p>
            <w:pPr>
              <w:spacing w:line="240" w:lineRule="auto"/>
              <w:ind w:firstLineChars="0" w:firstLine="0"/>
              <w:jc w:val="center"/>
              <w:rPr>
                <w:rFonts w:ascii="仿宋_GB2312"/>
                <w:sz w:val="21"/>
                <w:szCs w:val="21"/>
              </w:rPr>
            </w:pPr>
            <w:r>
              <w:rPr>
                <w:rFonts w:ascii="仿宋_GB2312" w:hint="eastAsia"/>
                <w:sz w:val="21"/>
                <w:szCs w:val="21"/>
              </w:rPr>
              <w:t>预期性</w:t>
            </w:r>
          </w:p>
        </w:tc>
        <w:tc>
          <w:tcPr>
            <w:tcW w:w="943" w:type="pct"/>
            <w:vAlign w:val="center"/>
          </w:tcPr>
          <w:p>
            <w:pPr>
              <w:spacing w:line="240" w:lineRule="auto"/>
              <w:ind w:firstLineChars="0" w:firstLine="0"/>
              <w:jc w:val="center"/>
              <w:rPr>
                <w:rFonts w:ascii="仿宋_GB2312"/>
                <w:sz w:val="21"/>
                <w:szCs w:val="21"/>
              </w:rPr>
            </w:pPr>
            <w:r>
              <w:rPr>
                <w:rFonts w:ascii="仿宋_GB2312" w:hint="eastAsia"/>
                <w:sz w:val="21"/>
                <w:szCs w:val="21"/>
              </w:rPr>
              <w:t>57.8</w:t>
            </w:r>
          </w:p>
        </w:tc>
        <w:tc>
          <w:tcPr>
            <w:tcW w:w="995" w:type="pct"/>
            <w:vAlign w:val="center"/>
          </w:tcPr>
          <w:p>
            <w:pPr>
              <w:spacing w:line="240" w:lineRule="auto"/>
              <w:ind w:firstLineChars="0" w:firstLine="0"/>
              <w:jc w:val="center"/>
              <w:rPr>
                <w:rFonts w:ascii="仿宋_GB2312"/>
                <w:sz w:val="21"/>
                <w:szCs w:val="21"/>
              </w:rPr>
            </w:pPr>
            <w:r>
              <w:rPr>
                <w:rFonts w:ascii="仿宋_GB2312" w:hint="eastAsia"/>
                <w:sz w:val="21"/>
                <w:szCs w:val="21"/>
              </w:rPr>
              <w:t>≥57.8</w:t>
            </w:r>
          </w:p>
        </w:tc>
      </w:tr>
      <w:tr>
        <w:trPr>
          <w:trHeight w:val="20"/>
        </w:trPr>
        <w:tc>
          <w:tcPr>
            <w:tcW w:w="498" w:type="pct"/>
            <w:vMerge/>
            <w:vAlign w:val="center"/>
          </w:tcPr>
          <w:p/>
        </w:tc>
        <w:tc>
          <w:tcPr>
            <w:tcW w:w="378" w:type="pct"/>
            <w:shd w:val="clear" w:color="auto" w:fill="auto"/>
            <w:vAlign w:val="center"/>
          </w:tcPr>
          <w:p>
            <w:pPr>
              <w:spacing w:line="240" w:lineRule="auto"/>
              <w:ind w:firstLineChars="0" w:firstLine="0"/>
              <w:jc w:val="center"/>
              <w:rPr>
                <w:rFonts w:ascii="仿宋_GB2312"/>
                <w:sz w:val="21"/>
                <w:szCs w:val="21"/>
              </w:rPr>
            </w:pPr>
            <w:r>
              <w:rPr>
                <w:rFonts w:ascii="仿宋_GB2312" w:hint="eastAsia"/>
                <w:sz w:val="21"/>
                <w:szCs w:val="21"/>
              </w:rPr>
              <w:t>6</w:t>
            </w:r>
          </w:p>
        </w:tc>
        <w:tc>
          <w:tcPr>
            <w:tcW w:w="1682" w:type="pct"/>
            <w:shd w:val="clear" w:color="auto" w:fill="auto"/>
            <w:vAlign w:val="center"/>
          </w:tcPr>
          <w:p>
            <w:pPr>
              <w:pStyle w:val="61"/>
              <w:ind w:leftChars="0" w:left="0" w:rightChars="-25" w:right="-75"/>
              <w:rPr>
                <w:rFonts w:ascii="仿宋_GB2312"/>
              </w:rPr>
            </w:pPr>
            <w:r>
              <w:rPr>
                <w:rFonts w:ascii="仿宋_GB2312" w:hint="eastAsia"/>
              </w:rPr>
              <w:t>设区市重污染天数比例（%）</w:t>
            </w:r>
          </w:p>
        </w:tc>
        <w:tc>
          <w:tcPr>
            <w:tcW w:w="504" w:type="pct"/>
            <w:vAlign w:val="center"/>
          </w:tcPr>
          <w:p>
            <w:pPr>
              <w:spacing w:line="240" w:lineRule="auto"/>
              <w:ind w:firstLineChars="0" w:firstLine="0"/>
              <w:jc w:val="center"/>
              <w:rPr>
                <w:rFonts w:ascii="仿宋_GB2312"/>
                <w:sz w:val="21"/>
                <w:szCs w:val="21"/>
              </w:rPr>
            </w:pPr>
            <w:r>
              <w:rPr>
                <w:rFonts w:ascii="仿宋_GB2312" w:hint="eastAsia"/>
                <w:sz w:val="21"/>
                <w:szCs w:val="21"/>
              </w:rPr>
              <w:t>约束性</w:t>
            </w:r>
          </w:p>
        </w:tc>
        <w:tc>
          <w:tcPr>
            <w:tcW w:w="943" w:type="pct"/>
            <w:vAlign w:val="center"/>
          </w:tcPr>
          <w:p>
            <w:pPr>
              <w:spacing w:line="240" w:lineRule="auto"/>
              <w:ind w:firstLineChars="0" w:firstLine="0"/>
              <w:jc w:val="center"/>
              <w:rPr>
                <w:rFonts w:ascii="仿宋_GB2312"/>
                <w:sz w:val="21"/>
                <w:szCs w:val="21"/>
              </w:rPr>
            </w:pPr>
            <w:r>
              <w:rPr>
                <w:rFonts w:ascii="仿宋_GB2312" w:hint="eastAsia"/>
                <w:sz w:val="21"/>
                <w:szCs w:val="21"/>
              </w:rPr>
              <w:t>0</w:t>
            </w:r>
          </w:p>
        </w:tc>
        <w:tc>
          <w:tcPr>
            <w:tcW w:w="995" w:type="pct"/>
            <w:vAlign w:val="center"/>
          </w:tcPr>
          <w:p>
            <w:pPr>
              <w:spacing w:line="240" w:lineRule="auto"/>
              <w:ind w:firstLineChars="0" w:firstLine="0"/>
              <w:jc w:val="center"/>
              <w:rPr>
                <w:rFonts w:ascii="仿宋_GB2312"/>
                <w:sz w:val="21"/>
                <w:szCs w:val="21"/>
              </w:rPr>
            </w:pPr>
            <w:r>
              <w:rPr>
                <w:rFonts w:ascii="仿宋_GB2312" w:hint="eastAsia"/>
                <w:sz w:val="21"/>
                <w:szCs w:val="21"/>
              </w:rPr>
              <w:t>完成国家下达指标</w:t>
            </w:r>
          </w:p>
        </w:tc>
      </w:tr>
      <w:tr>
        <w:trPr>
          <w:trHeight w:val="109"/>
        </w:trPr>
        <w:tc>
          <w:tcPr>
            <w:tcW w:w="498" w:type="pct"/>
            <w:vMerge w:val="restart"/>
            <w:vAlign w:val="center"/>
          </w:tcPr>
          <w:p>
            <w:pPr>
              <w:spacing w:line="240" w:lineRule="auto"/>
              <w:ind w:firstLineChars="0" w:firstLine="0"/>
              <w:jc w:val="center"/>
              <w:rPr>
                <w:rFonts w:ascii="仿宋_GB2312"/>
                <w:sz w:val="21"/>
                <w:szCs w:val="21"/>
              </w:rPr>
            </w:pPr>
            <w:r>
              <w:rPr>
                <w:rFonts w:ascii="仿宋_GB2312" w:hint="eastAsia"/>
                <w:sz w:val="21"/>
                <w:szCs w:val="21"/>
              </w:rPr>
              <w:t>主要污染物减排指标</w:t>
            </w:r>
          </w:p>
        </w:tc>
        <w:tc>
          <w:tcPr>
            <w:tcW w:w="378" w:type="pct"/>
            <w:shd w:val="clear" w:color="auto" w:fill="auto"/>
            <w:vAlign w:val="center"/>
          </w:tcPr>
          <w:p>
            <w:pPr>
              <w:spacing w:line="240" w:lineRule="auto"/>
              <w:ind w:firstLineChars="0" w:firstLine="0"/>
              <w:jc w:val="center"/>
              <w:rPr>
                <w:rFonts w:ascii="仿宋_GB2312"/>
                <w:sz w:val="21"/>
                <w:szCs w:val="21"/>
              </w:rPr>
            </w:pPr>
            <w:r>
              <w:rPr>
                <w:rFonts w:ascii="仿宋_GB2312" w:hint="eastAsia"/>
                <w:sz w:val="21"/>
                <w:szCs w:val="21"/>
              </w:rPr>
              <w:t>1</w:t>
            </w:r>
          </w:p>
        </w:tc>
        <w:tc>
          <w:tcPr>
            <w:tcW w:w="1682" w:type="pct"/>
            <w:shd w:val="clear" w:color="auto" w:fill="auto"/>
            <w:vAlign w:val="center"/>
          </w:tcPr>
          <w:p>
            <w:pPr>
              <w:spacing w:line="240" w:lineRule="auto"/>
              <w:ind w:leftChars="-25" w:left="-75" w:rightChars="-25" w:right="-75" w:firstLineChars="0" w:firstLine="0"/>
              <w:jc w:val="center"/>
              <w:rPr>
                <w:rFonts w:ascii="仿宋_GB2312"/>
                <w:sz w:val="21"/>
                <w:szCs w:val="21"/>
              </w:rPr>
            </w:pPr>
            <w:r>
              <w:rPr>
                <w:rFonts w:ascii="仿宋_GB2312" w:hint="eastAsia"/>
                <w:sz w:val="21"/>
                <w:szCs w:val="21"/>
              </w:rPr>
              <w:t>氮氧化物重点工程减排量</w:t>
            </w:r>
          </w:p>
          <w:p>
            <w:pPr>
              <w:spacing w:line="240" w:lineRule="auto"/>
              <w:ind w:leftChars="-25" w:left="-75" w:rightChars="-25" w:right="-75" w:firstLineChars="0" w:firstLine="0"/>
              <w:jc w:val="center"/>
              <w:rPr>
                <w:rFonts w:ascii="仿宋_GB2312"/>
                <w:sz w:val="21"/>
                <w:szCs w:val="21"/>
              </w:rPr>
            </w:pPr>
            <w:r>
              <w:rPr>
                <w:rFonts w:ascii="仿宋_GB2312" w:hint="eastAsia"/>
                <w:sz w:val="21"/>
                <w:szCs w:val="21"/>
              </w:rPr>
              <w:t>（万吨）</w:t>
            </w:r>
          </w:p>
        </w:tc>
        <w:tc>
          <w:tcPr>
            <w:tcW w:w="504" w:type="pct"/>
            <w:vAlign w:val="center"/>
          </w:tcPr>
          <w:p>
            <w:pPr>
              <w:spacing w:line="240" w:lineRule="auto"/>
              <w:ind w:firstLineChars="0" w:firstLine="0"/>
              <w:jc w:val="center"/>
              <w:rPr>
                <w:rFonts w:ascii="仿宋_GB2312"/>
                <w:sz w:val="21"/>
                <w:szCs w:val="21"/>
              </w:rPr>
            </w:pPr>
            <w:r>
              <w:rPr>
                <w:rFonts w:ascii="仿宋_GB2312" w:hint="eastAsia"/>
                <w:sz w:val="21"/>
                <w:szCs w:val="21"/>
              </w:rPr>
              <w:t>约束性</w:t>
            </w:r>
          </w:p>
        </w:tc>
        <w:tc>
          <w:tcPr>
            <w:tcW w:w="943" w:type="pct"/>
            <w:vAlign w:val="center"/>
          </w:tcPr>
          <w:p>
            <w:pPr>
              <w:spacing w:line="240" w:lineRule="auto"/>
              <w:ind w:firstLineChars="0" w:firstLine="0"/>
              <w:jc w:val="center"/>
              <w:rPr>
                <w:rFonts w:ascii="仿宋_GB2312"/>
                <w:sz w:val="21"/>
                <w:szCs w:val="21"/>
              </w:rPr>
            </w:pPr>
            <w:r>
              <w:rPr>
                <w:rFonts w:ascii="仿宋_GB2312" w:hint="eastAsia"/>
                <w:sz w:val="21"/>
                <w:szCs w:val="21"/>
              </w:rPr>
              <w:t>-</w:t>
            </w:r>
          </w:p>
        </w:tc>
        <w:tc>
          <w:tcPr>
            <w:tcW w:w="995" w:type="pct"/>
            <w:vAlign w:val="center"/>
          </w:tcPr>
          <w:p>
            <w:pPr>
              <w:spacing w:line="240" w:lineRule="auto"/>
              <w:ind w:firstLineChars="0" w:firstLine="0"/>
              <w:jc w:val="center"/>
              <w:rPr>
                <w:rFonts w:ascii="仿宋_GB2312"/>
                <w:sz w:val="21"/>
                <w:szCs w:val="21"/>
              </w:rPr>
            </w:pPr>
            <w:r>
              <w:rPr>
                <w:rFonts w:ascii="仿宋_GB2312" w:hint="eastAsia"/>
                <w:sz w:val="21"/>
                <w:szCs w:val="21"/>
              </w:rPr>
              <w:t>完成国家下达指标</w:t>
            </w:r>
          </w:p>
        </w:tc>
      </w:tr>
      <w:tr>
        <w:trPr>
          <w:trHeight w:val="159"/>
        </w:trPr>
        <w:tc>
          <w:tcPr>
            <w:tcW w:w="498" w:type="pct"/>
            <w:vMerge/>
            <w:vAlign w:val="center"/>
          </w:tcPr>
          <w:p/>
        </w:tc>
        <w:tc>
          <w:tcPr>
            <w:tcW w:w="378" w:type="pct"/>
            <w:shd w:val="clear" w:color="auto" w:fill="auto"/>
            <w:vAlign w:val="center"/>
          </w:tcPr>
          <w:p>
            <w:pPr>
              <w:spacing w:line="240" w:lineRule="auto"/>
              <w:ind w:firstLineChars="0" w:firstLine="0"/>
              <w:jc w:val="center"/>
              <w:rPr>
                <w:rFonts w:ascii="仿宋_GB2312"/>
                <w:sz w:val="21"/>
                <w:szCs w:val="21"/>
              </w:rPr>
            </w:pPr>
            <w:r>
              <w:rPr>
                <w:rFonts w:ascii="仿宋_GB2312" w:hint="eastAsia"/>
                <w:sz w:val="21"/>
                <w:szCs w:val="21"/>
              </w:rPr>
              <w:t>2</w:t>
            </w:r>
          </w:p>
        </w:tc>
        <w:tc>
          <w:tcPr>
            <w:tcW w:w="1682" w:type="pct"/>
            <w:shd w:val="clear" w:color="auto" w:fill="auto"/>
            <w:vAlign w:val="center"/>
          </w:tcPr>
          <w:p>
            <w:pPr>
              <w:spacing w:line="240" w:lineRule="auto"/>
              <w:ind w:leftChars="-25" w:left="-75" w:rightChars="-25" w:right="-75" w:firstLineChars="0" w:firstLine="0"/>
              <w:jc w:val="center"/>
              <w:rPr>
                <w:rFonts w:ascii="仿宋_GB2312"/>
                <w:sz w:val="21"/>
                <w:szCs w:val="21"/>
              </w:rPr>
            </w:pPr>
            <w:r>
              <w:rPr>
                <w:rFonts w:ascii="仿宋_GB2312" w:hint="eastAsia"/>
                <w:sz w:val="21"/>
                <w:szCs w:val="21"/>
              </w:rPr>
              <w:t>挥发性有机物重点工程减排量</w:t>
            </w:r>
          </w:p>
          <w:p>
            <w:pPr>
              <w:spacing w:line="240" w:lineRule="auto"/>
              <w:ind w:leftChars="-25" w:left="-75" w:rightChars="-25" w:right="-75" w:firstLineChars="0" w:firstLine="0"/>
              <w:jc w:val="center"/>
              <w:rPr>
                <w:rFonts w:ascii="仿宋_GB2312"/>
                <w:sz w:val="21"/>
                <w:szCs w:val="21"/>
              </w:rPr>
            </w:pPr>
            <w:r>
              <w:rPr>
                <w:rFonts w:ascii="仿宋_GB2312" w:hint="eastAsia"/>
                <w:sz w:val="21"/>
                <w:szCs w:val="21"/>
              </w:rPr>
              <w:t>（万吨）</w:t>
            </w:r>
          </w:p>
        </w:tc>
        <w:tc>
          <w:tcPr>
            <w:tcW w:w="504" w:type="pct"/>
            <w:vAlign w:val="center"/>
          </w:tcPr>
          <w:p>
            <w:pPr>
              <w:spacing w:line="240" w:lineRule="auto"/>
              <w:ind w:firstLineChars="0" w:firstLine="0"/>
              <w:jc w:val="center"/>
              <w:rPr>
                <w:rFonts w:ascii="仿宋_GB2312"/>
                <w:sz w:val="21"/>
                <w:szCs w:val="21"/>
              </w:rPr>
            </w:pPr>
            <w:r>
              <w:rPr>
                <w:rFonts w:ascii="仿宋_GB2312" w:hint="eastAsia"/>
                <w:sz w:val="21"/>
                <w:szCs w:val="21"/>
              </w:rPr>
              <w:t>约束性</w:t>
            </w:r>
          </w:p>
        </w:tc>
        <w:tc>
          <w:tcPr>
            <w:tcW w:w="943" w:type="pct"/>
            <w:vAlign w:val="center"/>
          </w:tcPr>
          <w:p>
            <w:pPr>
              <w:ind w:firstLineChars="0" w:firstLine="0"/>
              <w:jc w:val="center"/>
              <w:rPr>
                <w:rFonts w:ascii="仿宋_GB2312"/>
                <w:sz w:val="21"/>
                <w:szCs w:val="21"/>
              </w:rPr>
            </w:pPr>
            <w:r>
              <w:rPr>
                <w:rFonts w:ascii="仿宋_GB2312" w:hint="eastAsia"/>
                <w:sz w:val="21"/>
                <w:szCs w:val="21"/>
              </w:rPr>
              <w:t>-</w:t>
            </w:r>
          </w:p>
        </w:tc>
        <w:tc>
          <w:tcPr>
            <w:tcW w:w="995" w:type="pct"/>
            <w:vAlign w:val="center"/>
          </w:tcPr>
          <w:p>
            <w:pPr>
              <w:ind w:firstLineChars="0" w:firstLine="0"/>
              <w:jc w:val="center"/>
              <w:rPr>
                <w:rFonts w:ascii="仿宋_GB2312"/>
                <w:sz w:val="21"/>
                <w:szCs w:val="21"/>
              </w:rPr>
            </w:pPr>
            <w:r>
              <w:rPr>
                <w:rFonts w:ascii="仿宋_GB2312" w:hint="eastAsia"/>
                <w:sz w:val="21"/>
                <w:szCs w:val="21"/>
              </w:rPr>
              <w:t>完成国家下达指标</w:t>
            </w:r>
          </w:p>
        </w:tc>
      </w:tr>
      <w:tr>
        <w:trPr>
          <w:trHeight w:val="90"/>
        </w:trPr>
        <w:tc>
          <w:tcPr>
            <w:tcW w:w="498" w:type="pct"/>
            <w:vMerge w:val="restart"/>
            <w:vAlign w:val="center"/>
          </w:tcPr>
          <w:p>
            <w:pPr>
              <w:spacing w:line="240" w:lineRule="auto"/>
              <w:ind w:firstLineChars="0" w:firstLine="0"/>
              <w:jc w:val="center"/>
              <w:rPr>
                <w:rFonts w:ascii="仿宋_GB2312"/>
                <w:sz w:val="21"/>
                <w:szCs w:val="21"/>
              </w:rPr>
            </w:pPr>
            <w:r>
              <w:rPr>
                <w:rFonts w:ascii="仿宋_GB2312" w:hint="eastAsia"/>
                <w:sz w:val="21"/>
                <w:szCs w:val="21"/>
              </w:rPr>
              <w:t>引领性</w:t>
            </w:r>
          </w:p>
          <w:p>
            <w:pPr>
              <w:spacing w:line="240" w:lineRule="auto"/>
              <w:ind w:firstLineChars="0" w:firstLine="0"/>
              <w:jc w:val="center"/>
              <w:rPr>
                <w:rFonts w:ascii="仿宋_GB2312"/>
                <w:sz w:val="21"/>
                <w:szCs w:val="21"/>
              </w:rPr>
            </w:pPr>
            <w:r>
              <w:rPr>
                <w:rFonts w:ascii="仿宋_GB2312" w:hint="eastAsia"/>
                <w:sz w:val="21"/>
                <w:szCs w:val="21"/>
              </w:rPr>
              <w:t>指标</w:t>
            </w:r>
          </w:p>
        </w:tc>
        <w:tc>
          <w:tcPr>
            <w:tcW w:w="378" w:type="pct"/>
            <w:shd w:val="clear" w:color="auto" w:fill="auto"/>
            <w:vAlign w:val="center"/>
          </w:tcPr>
          <w:p>
            <w:pPr>
              <w:spacing w:line="240" w:lineRule="auto"/>
              <w:ind w:firstLineChars="0" w:firstLine="0"/>
              <w:jc w:val="center"/>
              <w:rPr>
                <w:rFonts w:ascii="仿宋_GB2312"/>
                <w:sz w:val="21"/>
                <w:szCs w:val="21"/>
              </w:rPr>
            </w:pPr>
            <w:r>
              <w:rPr>
                <w:rFonts w:ascii="仿宋_GB2312" w:hint="eastAsia"/>
                <w:sz w:val="21"/>
                <w:szCs w:val="21"/>
              </w:rPr>
              <w:t>1</w:t>
            </w:r>
          </w:p>
        </w:tc>
        <w:tc>
          <w:tcPr>
            <w:tcW w:w="1682" w:type="pct"/>
            <w:shd w:val="clear" w:color="auto" w:fill="auto"/>
            <w:vAlign w:val="center"/>
          </w:tcPr>
          <w:p>
            <w:pPr>
              <w:spacing w:line="240" w:lineRule="auto"/>
              <w:ind w:leftChars="-25" w:left="-75" w:rightChars="-25" w:right="-75" w:firstLineChars="0" w:firstLine="0"/>
              <w:jc w:val="center"/>
              <w:rPr>
                <w:rFonts w:ascii="仿宋_GB2312"/>
                <w:sz w:val="21"/>
                <w:szCs w:val="21"/>
              </w:rPr>
            </w:pPr>
            <w:r>
              <w:rPr>
                <w:rFonts w:ascii="仿宋_GB2312" w:hint="eastAsia"/>
                <w:kern w:val="0"/>
                <w:sz w:val="21"/>
                <w:szCs w:val="21"/>
                <w:lang w:val="zh-CN"/>
              </w:rPr>
              <w:t>蓝天天数</w:t>
            </w:r>
          </w:p>
        </w:tc>
        <w:tc>
          <w:tcPr>
            <w:tcW w:w="504" w:type="pct"/>
            <w:vAlign w:val="center"/>
          </w:tcPr>
          <w:p>
            <w:pPr>
              <w:spacing w:line="240" w:lineRule="auto"/>
              <w:ind w:firstLineChars="0" w:firstLine="0"/>
              <w:jc w:val="center"/>
              <w:rPr>
                <w:rFonts w:ascii="仿宋_GB2312"/>
                <w:sz w:val="21"/>
                <w:szCs w:val="21"/>
              </w:rPr>
            </w:pPr>
            <w:r>
              <w:rPr>
                <w:rFonts w:ascii="仿宋_GB2312" w:hint="eastAsia"/>
                <w:kern w:val="0"/>
                <w:sz w:val="21"/>
                <w:szCs w:val="21"/>
                <w:lang w:val="zh-CN"/>
              </w:rPr>
              <w:t>预期性</w:t>
            </w:r>
          </w:p>
        </w:tc>
        <w:tc>
          <w:tcPr>
            <w:tcW w:w="943" w:type="pct"/>
            <w:vAlign w:val="center"/>
          </w:tcPr>
          <w:p>
            <w:pPr>
              <w:spacing w:line="240" w:lineRule="auto"/>
              <w:ind w:firstLineChars="0" w:firstLine="0"/>
              <w:jc w:val="center"/>
              <w:rPr>
                <w:rFonts w:ascii="仿宋_GB2312"/>
                <w:kern w:val="0"/>
                <w:sz w:val="21"/>
                <w:szCs w:val="21"/>
                <w:lang w:val="zh-CN"/>
              </w:rPr>
            </w:pPr>
            <w:r>
              <w:rPr>
                <w:rFonts w:ascii="仿宋_GB2312" w:hint="eastAsia"/>
                <w:kern w:val="0"/>
                <w:sz w:val="21"/>
                <w:szCs w:val="21"/>
                <w:lang w:val="zh-CN"/>
              </w:rPr>
              <w:t>-</w:t>
            </w:r>
          </w:p>
        </w:tc>
        <w:tc>
          <w:tcPr>
            <w:tcW w:w="995" w:type="pct"/>
            <w:vAlign w:val="center"/>
          </w:tcPr>
          <w:p>
            <w:pPr>
              <w:spacing w:line="240" w:lineRule="auto"/>
              <w:ind w:firstLineChars="0" w:firstLine="0"/>
              <w:jc w:val="center"/>
              <w:rPr>
                <w:rFonts w:ascii="仿宋_GB2312"/>
                <w:sz w:val="21"/>
                <w:szCs w:val="21"/>
              </w:rPr>
            </w:pPr>
            <w:r>
              <w:rPr>
                <w:rFonts w:ascii="仿宋_GB2312" w:hint="eastAsia"/>
                <w:kern w:val="0"/>
                <w:sz w:val="21"/>
                <w:szCs w:val="21"/>
                <w:lang w:val="zh-CN"/>
              </w:rPr>
              <w:t>不低于</w:t>
            </w:r>
            <w:r>
              <w:rPr>
                <w:rFonts w:ascii="仿宋_GB2312" w:hint="eastAsia"/>
                <w:kern w:val="0"/>
                <w:sz w:val="21"/>
                <w:szCs w:val="21"/>
              </w:rPr>
              <w:t>“</w:t>
            </w:r>
            <w:r>
              <w:rPr>
                <w:rFonts w:ascii="仿宋_GB2312" w:hint="eastAsia"/>
                <w:kern w:val="0"/>
                <w:sz w:val="21"/>
                <w:szCs w:val="21"/>
                <w:lang w:val="zh-CN"/>
              </w:rPr>
              <w:t>十三五</w:t>
            </w:r>
            <w:r>
              <w:rPr>
                <w:rFonts w:ascii="仿宋_GB2312" w:hint="eastAsia"/>
                <w:kern w:val="0"/>
                <w:sz w:val="21"/>
                <w:szCs w:val="21"/>
              </w:rPr>
              <w:t>”</w:t>
            </w:r>
            <w:r>
              <w:rPr>
                <w:rFonts w:ascii="仿宋_GB2312" w:hint="eastAsia"/>
                <w:kern w:val="0"/>
                <w:sz w:val="21"/>
                <w:szCs w:val="21"/>
                <w:lang w:val="zh-CN"/>
              </w:rPr>
              <w:t>平均水平</w:t>
            </w:r>
          </w:p>
        </w:tc>
      </w:tr>
      <w:tr>
        <w:trPr>
          <w:trHeight w:val="835"/>
        </w:trPr>
        <w:tc>
          <w:tcPr>
            <w:tcW w:w="498" w:type="pct"/>
            <w:vMerge/>
            <w:vAlign w:val="center"/>
          </w:tcPr>
          <w:p/>
        </w:tc>
        <w:tc>
          <w:tcPr>
            <w:tcW w:w="378" w:type="pct"/>
            <w:shd w:val="clear" w:color="auto" w:fill="auto"/>
            <w:vAlign w:val="center"/>
          </w:tcPr>
          <w:p>
            <w:pPr>
              <w:spacing w:line="240" w:lineRule="auto"/>
              <w:ind w:firstLineChars="0" w:firstLine="0"/>
              <w:jc w:val="center"/>
              <w:rPr>
                <w:rFonts w:ascii="仿宋_GB2312"/>
                <w:sz w:val="21"/>
                <w:szCs w:val="21"/>
              </w:rPr>
            </w:pPr>
            <w:r>
              <w:rPr>
                <w:rFonts w:ascii="仿宋_GB2312" w:hint="eastAsia"/>
                <w:sz w:val="21"/>
                <w:szCs w:val="21"/>
              </w:rPr>
              <w:t>2</w:t>
            </w:r>
          </w:p>
        </w:tc>
        <w:tc>
          <w:tcPr>
            <w:tcW w:w="1682" w:type="pct"/>
            <w:shd w:val="clear" w:color="auto" w:fill="auto"/>
            <w:vAlign w:val="center"/>
          </w:tcPr>
          <w:p>
            <w:pPr>
              <w:spacing w:line="240" w:lineRule="auto"/>
              <w:ind w:leftChars="-25" w:left="-75" w:rightChars="-25" w:right="-75" w:firstLineChars="0" w:firstLine="0"/>
              <w:jc w:val="center"/>
              <w:rPr>
                <w:rFonts w:ascii="仿宋_GB2312"/>
                <w:sz w:val="21"/>
                <w:szCs w:val="21"/>
              </w:rPr>
            </w:pPr>
            <w:r>
              <w:rPr>
                <w:rFonts w:ascii="仿宋_GB2312" w:hint="eastAsia"/>
                <w:sz w:val="21"/>
                <w:szCs w:val="21"/>
              </w:rPr>
              <w:t>降尘量（t/k</w:t>
            </w:r>
            <w:r>
              <w:rPr>
                <w:rFonts w:ascii="Segoe UI Symbol" w:eastAsia="Segoe UI Symbol" w:cs="Segoe UI Symbol" w:hAnsi="Segoe UI Symbol" w:hint="eastAsia"/>
                <w:sz w:val="21"/>
                <w:szCs w:val="21"/>
              </w:rPr>
              <w:t>㎡</w:t>
            </w:r>
            <w:r>
              <w:rPr>
                <w:rFonts w:ascii="微软雅黑" w:eastAsia="微软雅黑" w:cs="微软雅黑" w:hint="eastAsia"/>
                <w:sz w:val="21"/>
                <w:szCs w:val="21"/>
              </w:rPr>
              <w:t>•</w:t>
            </w:r>
            <w:r>
              <w:rPr>
                <w:rFonts w:ascii="仿宋_GB2312" w:hint="eastAsia"/>
                <w:sz w:val="21"/>
                <w:szCs w:val="21"/>
              </w:rPr>
              <w:t>月）</w:t>
            </w:r>
          </w:p>
        </w:tc>
        <w:tc>
          <w:tcPr>
            <w:tcW w:w="504" w:type="pct"/>
            <w:vAlign w:val="center"/>
          </w:tcPr>
          <w:p>
            <w:pPr>
              <w:spacing w:line="240" w:lineRule="auto"/>
              <w:ind w:firstLineChars="0" w:firstLine="0"/>
              <w:jc w:val="center"/>
              <w:rPr>
                <w:rFonts w:ascii="仿宋_GB2312"/>
                <w:sz w:val="21"/>
                <w:szCs w:val="21"/>
              </w:rPr>
            </w:pPr>
            <w:r>
              <w:rPr>
                <w:rFonts w:ascii="仿宋_GB2312" w:hint="eastAsia"/>
                <w:kern w:val="0"/>
                <w:sz w:val="21"/>
                <w:szCs w:val="21"/>
                <w:lang w:val="zh-CN"/>
              </w:rPr>
              <w:t>预期性</w:t>
            </w:r>
          </w:p>
        </w:tc>
        <w:tc>
          <w:tcPr>
            <w:tcW w:w="943" w:type="pct"/>
            <w:vAlign w:val="center"/>
          </w:tcPr>
          <w:p>
            <w:pPr>
              <w:spacing w:line="240" w:lineRule="auto"/>
              <w:ind w:firstLineChars="0" w:firstLine="0"/>
              <w:jc w:val="center"/>
              <w:rPr>
                <w:rFonts w:ascii="仿宋_GB2312"/>
                <w:sz w:val="21"/>
                <w:szCs w:val="21"/>
              </w:rPr>
            </w:pPr>
            <w:r>
              <w:rPr>
                <w:rFonts w:ascii="仿宋_GB2312" w:hint="eastAsia"/>
                <w:sz w:val="21"/>
                <w:szCs w:val="21"/>
              </w:rPr>
              <w:t>-</w:t>
            </w:r>
          </w:p>
        </w:tc>
        <w:tc>
          <w:tcPr>
            <w:tcW w:w="995" w:type="pct"/>
            <w:vAlign w:val="center"/>
          </w:tcPr>
          <w:p>
            <w:pPr>
              <w:spacing w:line="240" w:lineRule="auto"/>
              <w:ind w:firstLineChars="0" w:firstLine="0"/>
              <w:jc w:val="center"/>
              <w:rPr>
                <w:rFonts w:ascii="仿宋_GB2312"/>
                <w:sz w:val="21"/>
                <w:szCs w:val="21"/>
              </w:rPr>
            </w:pPr>
            <w:r>
              <w:rPr>
                <w:rFonts w:ascii="仿宋_GB2312" w:hint="eastAsia"/>
                <w:sz w:val="21"/>
                <w:szCs w:val="21"/>
              </w:rPr>
              <w:t>≤4</w:t>
            </w:r>
          </w:p>
        </w:tc>
      </w:tr>
      <w:tr>
        <w:trPr>
          <w:trHeight w:val="835"/>
        </w:trPr>
        <w:tc>
          <w:tcPr>
            <w:tcW w:w="498" w:type="pct"/>
            <w:vMerge/>
            <w:vAlign w:val="center"/>
          </w:tcPr>
          <w:p/>
        </w:tc>
        <w:tc>
          <w:tcPr>
            <w:tcW w:w="378" w:type="pct"/>
            <w:shd w:val="clear" w:color="auto" w:fill="auto"/>
            <w:vAlign w:val="center"/>
          </w:tcPr>
          <w:p>
            <w:pPr>
              <w:spacing w:line="240" w:lineRule="auto"/>
              <w:ind w:firstLineChars="0" w:firstLine="0"/>
              <w:jc w:val="center"/>
              <w:rPr>
                <w:rFonts w:ascii="仿宋_GB2312"/>
                <w:sz w:val="21"/>
                <w:szCs w:val="21"/>
              </w:rPr>
            </w:pPr>
            <w:r>
              <w:rPr>
                <w:rFonts w:ascii="仿宋_GB2312" w:hint="eastAsia"/>
                <w:sz w:val="21"/>
                <w:szCs w:val="21"/>
              </w:rPr>
              <w:t>3</w:t>
            </w:r>
          </w:p>
        </w:tc>
        <w:tc>
          <w:tcPr>
            <w:tcW w:w="1682" w:type="pct"/>
            <w:shd w:val="clear" w:color="auto" w:fill="auto"/>
            <w:vAlign w:val="center"/>
          </w:tcPr>
          <w:p>
            <w:pPr>
              <w:spacing w:line="240" w:lineRule="auto"/>
              <w:ind w:leftChars="-25" w:left="-75" w:rightChars="-25" w:right="-75" w:firstLineChars="0" w:firstLine="0"/>
              <w:jc w:val="center"/>
              <w:rPr>
                <w:rFonts w:ascii="仿宋_GB2312"/>
                <w:sz w:val="21"/>
                <w:szCs w:val="21"/>
              </w:rPr>
            </w:pPr>
            <w:r>
              <w:rPr>
                <w:rFonts w:ascii="仿宋_GB2312"/>
                <w:sz w:val="21"/>
                <w:szCs w:val="21"/>
              </w:rPr>
              <w:t>新能源汽车新车销售量占汽车新车销售总量</w:t>
            </w:r>
            <w:r>
              <w:rPr>
                <w:rFonts w:ascii="仿宋_GB2312" w:hint="eastAsia"/>
                <w:sz w:val="21"/>
                <w:szCs w:val="21"/>
              </w:rPr>
              <w:t>比例（%）</w:t>
            </w:r>
          </w:p>
        </w:tc>
        <w:tc>
          <w:tcPr>
            <w:tcW w:w="504" w:type="pct"/>
            <w:vAlign w:val="center"/>
          </w:tcPr>
          <w:p>
            <w:pPr>
              <w:spacing w:line="240" w:lineRule="auto"/>
              <w:ind w:firstLineChars="0" w:firstLine="0"/>
              <w:jc w:val="center"/>
              <w:rPr>
                <w:rFonts w:ascii="仿宋_GB2312"/>
                <w:kern w:val="0"/>
                <w:sz w:val="21"/>
                <w:szCs w:val="21"/>
                <w:lang w:val="zh-CN"/>
              </w:rPr>
            </w:pPr>
            <w:r>
              <w:rPr>
                <w:rFonts w:ascii="仿宋_GB2312" w:hint="eastAsia"/>
                <w:kern w:val="0"/>
                <w:sz w:val="21"/>
                <w:szCs w:val="21"/>
                <w:lang w:val="zh-CN"/>
              </w:rPr>
              <w:t>预期性</w:t>
            </w:r>
          </w:p>
        </w:tc>
        <w:tc>
          <w:tcPr>
            <w:tcW w:w="943" w:type="pct"/>
            <w:vAlign w:val="center"/>
          </w:tcPr>
          <w:p>
            <w:pPr>
              <w:spacing w:line="240" w:lineRule="auto"/>
              <w:ind w:firstLineChars="0" w:firstLine="0"/>
              <w:jc w:val="center"/>
              <w:rPr>
                <w:rFonts w:ascii="仿宋_GB2312"/>
                <w:sz w:val="21"/>
                <w:szCs w:val="21"/>
              </w:rPr>
            </w:pPr>
            <w:r>
              <w:rPr>
                <w:rFonts w:ascii="仿宋_GB2312" w:hint="eastAsia"/>
                <w:sz w:val="21"/>
                <w:szCs w:val="21"/>
              </w:rPr>
              <w:t>-</w:t>
            </w:r>
          </w:p>
        </w:tc>
        <w:tc>
          <w:tcPr>
            <w:tcW w:w="995" w:type="pct"/>
            <w:vAlign w:val="center"/>
          </w:tcPr>
          <w:p>
            <w:pPr>
              <w:spacing w:line="240" w:lineRule="auto"/>
              <w:ind w:firstLineChars="0" w:firstLine="0"/>
              <w:jc w:val="center"/>
              <w:rPr>
                <w:rFonts w:ascii="仿宋_GB2312"/>
                <w:sz w:val="21"/>
                <w:szCs w:val="21"/>
              </w:rPr>
            </w:pPr>
            <w:r>
              <w:rPr>
                <w:rFonts w:ascii="仿宋_GB2312"/>
                <w:sz w:val="21"/>
                <w:szCs w:val="21"/>
              </w:rPr>
              <w:t>达到</w:t>
            </w:r>
            <w:r>
              <w:rPr>
                <w:rFonts w:ascii="仿宋_GB2312" w:hint="eastAsia"/>
                <w:sz w:val="21"/>
                <w:szCs w:val="21"/>
              </w:rPr>
              <w:t>2</w:t>
            </w:r>
            <w:r>
              <w:rPr>
                <w:rFonts w:ascii="仿宋_GB2312"/>
                <w:sz w:val="21"/>
                <w:szCs w:val="21"/>
              </w:rPr>
              <w:t>0%左右</w:t>
            </w:r>
          </w:p>
        </w:tc>
      </w:tr>
    </w:tbl>
    <w:p>
      <w:pPr>
        <w:overflowPunct w:val="0"/>
        <w:spacing w:line="300" w:lineRule="auto"/>
        <w:ind w:left="525" w:hangingChars="250" w:hanging="525"/>
        <w:jc w:val="left"/>
        <w:rPr>
          <w:rFonts w:ascii="Times New Roman" w:hAnsi="Times New Roman"/>
          <w:kern w:val="0"/>
          <w:sz w:val="21"/>
          <w:szCs w:val="21"/>
        </w:rPr>
      </w:pPr>
      <w:r>
        <w:rPr>
          <w:rFonts w:ascii="Times New Roman" w:hAnsi="Times New Roman"/>
          <w:kern w:val="0"/>
          <w:sz w:val="21"/>
          <w:szCs w:val="21"/>
        </w:rPr>
        <w:t>注：蓝天天数测算标准另行发布。</w:t>
      </w:r>
    </w:p>
    <w:p>
      <w:pPr>
        <w:spacing w:line="240" w:lineRule="auto"/>
        <w:ind w:firstLineChars="0" w:firstLine="0"/>
        <w:jc w:val="center"/>
        <w:rPr>
          <w:rFonts w:ascii="Times New Roman" w:hAnsi="Times New Roman"/>
          <w:sz w:val="21"/>
          <w:szCs w:val="21"/>
        </w:rPr>
      </w:pPr>
      <w:r>
        <w:rPr>
          <w:rFonts w:ascii="Times New Roman" w:hAnsi="Times New Roman"/>
          <w:sz w:val="21"/>
          <w:szCs w:val="21"/>
        </w:rPr>
        <w:br w:type="page"/>
      </w:r>
    </w:p>
    <w:p>
      <w:pPr>
        <w:pStyle w:val="400"/>
        <w:widowControl w:val="0"/>
        <w:overflowPunct w:val="0"/>
        <w:adjustRightInd w:val="0"/>
        <w:snapToGrid w:val="0"/>
        <w:spacing w:beforeLines="0" w:before="200" w:afterLines="0" w:after="200"/>
        <w:jc w:val="center"/>
        <w:rPr>
          <w:rFonts w:ascii="Times New Roman" w:hAnsi="Times New Roman"/>
          <w:bCs w:val="0"/>
        </w:rPr>
      </w:pPr>
      <w:bookmarkStart w:id="21" w:name="_Toc89691241"/>
      <w:r>
        <w:rPr>
          <w:rFonts w:ascii="Times New Roman" w:hAnsi="Times New Roman"/>
          <w:bCs w:val="0"/>
        </w:rPr>
        <w:t>第三章 优化产业结构，促进产业产品绿色升级</w:t>
      </w:r>
      <w:bookmarkEnd w:id="21"/>
    </w:p>
    <w:p>
      <w:pPr>
        <w:pStyle w:val="402"/>
        <w:overflowPunct w:val="0"/>
        <w:spacing w:beforeLines="0" w:before="468" w:afterLines="0" w:after="468"/>
        <w:rPr>
          <w:rFonts w:ascii="Times New Roman" w:cs="Times New Roman" w:hAnsi="Times New Roman"/>
          <w:bCs/>
        </w:rPr>
      </w:pPr>
      <w:bookmarkStart w:id="22" w:name="_Toc62577563"/>
      <w:bookmarkStart w:id="23" w:name="_Toc27402"/>
      <w:bookmarkStart w:id="24" w:name="_Toc14106"/>
      <w:bookmarkStart w:id="25" w:name="_Toc12194"/>
      <w:bookmarkStart w:id="26" w:name="_Toc89691242"/>
      <w:bookmarkStart w:id="27" w:name="_Hlk76391584"/>
      <w:r>
        <w:rPr>
          <w:rFonts w:ascii="Times New Roman" w:cs="Times New Roman" w:hAnsi="Times New Roman"/>
          <w:bCs/>
        </w:rPr>
        <w:t>第一节 严格环境准入要求</w:t>
      </w:r>
      <w:bookmarkEnd w:id="22"/>
      <w:bookmarkEnd w:id="23"/>
      <w:bookmarkEnd w:id="24"/>
      <w:bookmarkEnd w:id="25"/>
      <w:bookmarkEnd w:id="26"/>
    </w:p>
    <w:p>
      <w:pPr>
        <w:rPr>
          <w:rFonts w:ascii="Times New Roman" w:hAnsi="Times New Roman"/>
          <w:sz w:val="32"/>
          <w:szCs w:val="32"/>
        </w:rPr>
      </w:pPr>
      <w:r>
        <w:rPr>
          <w:rFonts w:ascii="Times New Roman" w:hAnsi="Times New Roman"/>
          <w:b/>
          <w:sz w:val="32"/>
          <w:szCs w:val="32"/>
        </w:rPr>
        <w:t>坚决遏制“两高”项目盲目发展，拟建项目严格落实污染物排放区域削减要求。</w:t>
      </w:r>
      <w:r>
        <w:rPr>
          <w:rFonts w:ascii="Times New Roman" w:hAnsi="Times New Roman"/>
          <w:sz w:val="32"/>
          <w:szCs w:val="32"/>
        </w:rPr>
        <w:t>新、改、扩建煤电、钢铁、建材、石化、化工、有色等高耗能、高排放（以下简称“两高”）项目，严格落实国家产业规划、产业政策、“三线一单”、规划环评，以及产能置换、区域污染物削减等相关要求，涉及大宗物料运输的，采用清洁运输方式。建设项目要按照区域污染物削减要求，实施等量或减量替代，替代方案和落实情况向社会公开。全面排查在建“两高”项目，科学评估拟建项目，加快改造升级存量项目，实行分类处置、动态监控。探索“三线一单”生态环境分区管控促进减污降碳协同管控的路径、管理模式。</w:t>
      </w:r>
    </w:p>
    <w:p>
      <w:pPr>
        <w:pStyle w:val="402"/>
        <w:overflowPunct w:val="0"/>
        <w:spacing w:beforeLines="0" w:before="468" w:afterLines="0" w:after="468"/>
        <w:rPr>
          <w:rFonts w:ascii="Times New Roman" w:cs="Times New Roman" w:hAnsi="Times New Roman"/>
          <w:bCs/>
        </w:rPr>
      </w:pPr>
      <w:bookmarkStart w:id="28" w:name="_Toc89691243"/>
      <w:r>
        <w:rPr>
          <w:rFonts w:ascii="Times New Roman" w:cs="Times New Roman" w:hAnsi="Times New Roman"/>
          <w:bCs/>
        </w:rPr>
        <w:t>第二节 优化产业布局</w:t>
      </w:r>
      <w:bookmarkEnd w:id="28"/>
    </w:p>
    <w:p>
      <w:pPr>
        <w:rPr>
          <w:rFonts w:ascii="Times New Roman" w:hAnsi="Times New Roman"/>
          <w:kern w:val="0"/>
          <w:sz w:val="32"/>
          <w:szCs w:val="32"/>
        </w:rPr>
      </w:pPr>
      <w:r>
        <w:rPr>
          <w:rFonts w:ascii="Times New Roman" w:hAnsi="Times New Roman"/>
          <w:b/>
          <w:sz w:val="32"/>
          <w:szCs w:val="32"/>
        </w:rPr>
        <w:t>强化国土空间总体规划，引导重点产业合理布局。</w:t>
      </w:r>
      <w:r>
        <w:rPr>
          <w:rFonts w:ascii="Times New Roman" w:hAnsi="Times New Roman"/>
          <w:bCs/>
          <w:sz w:val="32"/>
          <w:szCs w:val="32"/>
        </w:rPr>
        <w:t>以“两极两带三轴六湾区”为主架构的空间开发战略格局，</w:t>
      </w:r>
      <w:r>
        <w:rPr>
          <w:rFonts w:ascii="Times New Roman" w:hAnsi="Times New Roman"/>
          <w:kern w:val="0"/>
          <w:sz w:val="32"/>
          <w:szCs w:val="32"/>
        </w:rPr>
        <w:t>优化完善区域产业布局，合理规划布局钢铁、石化、化工、建材、有色等涉气重污染项目，</w:t>
      </w:r>
      <w:r>
        <w:rPr>
          <w:rFonts w:ascii="Times New Roman" w:hAnsi="Times New Roman"/>
          <w:sz w:val="32"/>
          <w:szCs w:val="32"/>
        </w:rPr>
        <w:t>县级及</w:t>
      </w:r>
      <w:r>
        <w:rPr>
          <w:rFonts w:ascii="Times New Roman" w:hAnsi="Times New Roman"/>
          <w:kern w:val="0"/>
          <w:sz w:val="32"/>
          <w:szCs w:val="32"/>
        </w:rPr>
        <w:t>以上城市加快实施“腾笼换鸟”。县级以上地方人民政府应当禁止在通风廊道和主导风向的上风向布局大气重污染企业，推进建成区大气重污染企业搬迁或升级改造、</w:t>
      </w:r>
      <w:r>
        <w:rPr>
          <w:rFonts w:ascii="Times New Roman" w:hAnsi="Times New Roman" w:hint="eastAsia"/>
          <w:kern w:val="0"/>
          <w:sz w:val="32"/>
          <w:szCs w:val="32"/>
        </w:rPr>
        <w:t>环境风险</w:t>
      </w:r>
      <w:r>
        <w:rPr>
          <w:rFonts w:ascii="Times New Roman" w:hAnsi="Times New Roman"/>
          <w:kern w:val="0"/>
          <w:sz w:val="32"/>
          <w:szCs w:val="32"/>
        </w:rPr>
        <w:t>企业搬迁或关闭退出。</w:t>
      </w:r>
      <w:r>
        <w:rPr>
          <w:rFonts w:ascii="Times New Roman" w:hAnsi="Times New Roman"/>
          <w:bCs/>
          <w:kern w:val="0"/>
          <w:sz w:val="32"/>
          <w:szCs w:val="32"/>
        </w:rPr>
        <w:t>规范</w:t>
      </w:r>
      <w:r>
        <w:rPr>
          <w:rFonts w:ascii="Times New Roman" w:hAnsi="Times New Roman"/>
          <w:kern w:val="0"/>
          <w:sz w:val="32"/>
          <w:szCs w:val="32"/>
        </w:rPr>
        <w:t>各类产业园区和新城、新区设立和布局，优化国土空间总体规划，形成有利于大气污染物扩散的城市和区域空间格局。</w:t>
      </w:r>
    </w:p>
    <w:p>
      <w:pPr>
        <w:pStyle w:val="402"/>
        <w:overflowPunct w:val="0"/>
        <w:spacing w:beforeLines="0" w:before="468" w:afterLines="0" w:after="468"/>
        <w:rPr>
          <w:rFonts w:ascii="Times New Roman" w:cs="Times New Roman" w:hAnsi="Times New Roman"/>
          <w:bCs/>
        </w:rPr>
      </w:pPr>
      <w:bookmarkStart w:id="29" w:name="_Toc89691244"/>
      <w:r>
        <w:rPr>
          <w:rFonts w:ascii="Times New Roman" w:cs="Times New Roman" w:hAnsi="Times New Roman"/>
          <w:bCs/>
        </w:rPr>
        <w:t>第三节 加快现有产能绿色升级</w:t>
      </w:r>
      <w:bookmarkEnd w:id="29"/>
    </w:p>
    <w:p>
      <w:pPr>
        <w:rPr>
          <w:rFonts w:ascii="Times New Roman" w:hAnsi="Times New Roman"/>
          <w:sz w:val="32"/>
          <w:szCs w:val="32"/>
        </w:rPr>
      </w:pPr>
      <w:r>
        <w:rPr>
          <w:rFonts w:ascii="Times New Roman" w:hAnsi="Times New Roman"/>
          <w:kern w:val="0"/>
          <w:sz w:val="32"/>
          <w:szCs w:val="32"/>
        </w:rPr>
        <w:t>加大落后产能淘汰和过剩产能压减力度，加快存量项目改造升级，深入挖掘节能潜力。加快推动钢铁、石化、化工、有色、建材、纺织、造纸、皮革等行业绿色改造</w:t>
      </w:r>
      <w:r>
        <w:rPr>
          <w:rFonts w:ascii="Times New Roman" w:hAnsi="Times New Roman"/>
          <w:sz w:val="32"/>
          <w:szCs w:val="32"/>
        </w:rPr>
        <w:t>。加强废钢资源回收利用，大力推进高炉－转炉长流程炼钢转型为短流程炼钢，建设循环型钢铁工厂；加快水泥行业原燃料替代；加快推动石化行业减油增化，推进“两基地一专区”产业链中下游强链、延链、补链，构建精深加工产业链，大力发展各类石化中下游产品</w:t>
      </w:r>
      <w:r>
        <w:rPr>
          <w:rFonts w:ascii="Times New Roman" w:hAnsi="Times New Roman"/>
          <w:kern w:val="0"/>
          <w:sz w:val="32"/>
          <w:szCs w:val="32"/>
        </w:rPr>
        <w:t>。</w:t>
      </w:r>
      <w:r>
        <w:rPr>
          <w:rFonts w:ascii="Times New Roman" w:hAnsi="Times New Roman"/>
          <w:sz w:val="32"/>
          <w:szCs w:val="32"/>
        </w:rPr>
        <w:t>提高铝行业再生铝比例，推广高效低碳铝电解技术。推动冶炼副产能源资源与建材、石化、化工行业深度耦合发展。鼓励重点行业企业探索多污染物和温室气体协同控制技术工艺，开展协同创新示范。</w:t>
      </w:r>
      <w:r>
        <w:rPr>
          <w:rFonts w:ascii="Times New Roman" w:hAnsi="Times New Roman"/>
          <w:kern w:val="0"/>
          <w:sz w:val="32"/>
          <w:szCs w:val="32"/>
        </w:rPr>
        <w:t>持续推进“散乱污”落后企业（作坊）的取缔关停和整治提升。</w:t>
      </w:r>
    </w:p>
    <w:p>
      <w:pPr>
        <w:pStyle w:val="402"/>
        <w:overflowPunct w:val="0"/>
        <w:spacing w:beforeLines="0" w:before="468" w:afterLines="0" w:after="468"/>
        <w:rPr>
          <w:rFonts w:ascii="Times New Roman" w:cs="Times New Roman" w:hAnsi="Times New Roman"/>
          <w:bCs/>
        </w:rPr>
      </w:pPr>
      <w:bookmarkStart w:id="30" w:name="_Toc89691245"/>
      <w:r>
        <w:rPr>
          <w:rFonts w:ascii="Times New Roman" w:cs="Times New Roman" w:hAnsi="Times New Roman"/>
          <w:bCs/>
        </w:rPr>
        <w:t>第四节 持续推进产业集群绿色低碳化改造</w:t>
      </w:r>
      <w:bookmarkEnd w:id="30"/>
    </w:p>
    <w:p>
      <w:pPr>
        <w:rPr>
          <w:rFonts w:ascii="仿宋_GB2312"/>
          <w:sz w:val="32"/>
          <w:szCs w:val="32"/>
        </w:rPr>
      </w:pPr>
      <w:r>
        <w:rPr>
          <w:rFonts w:ascii="Times New Roman" w:hAnsi="Times New Roman"/>
          <w:b/>
          <w:kern w:val="0"/>
          <w:sz w:val="32"/>
          <w:szCs w:val="32"/>
        </w:rPr>
        <w:t>加快产业集群升级改造。</w:t>
      </w:r>
      <w:r>
        <w:rPr>
          <w:rFonts w:ascii="Times New Roman" w:hAnsi="Times New Roman"/>
          <w:bCs/>
          <w:kern w:val="0"/>
          <w:sz w:val="32"/>
          <w:szCs w:val="32"/>
        </w:rPr>
        <w:t>对现有产业集群，制定“一园一策”，按照“疏堵结合、分类施治”的原则，淘汰关停一批、搬迁入园一批、就地改造一批、做优做强一批。</w:t>
      </w:r>
      <w:r>
        <w:rPr>
          <w:rFonts w:ascii="Times New Roman" w:hAnsi="Times New Roman"/>
          <w:sz w:val="32"/>
          <w:szCs w:val="32"/>
        </w:rPr>
        <w:t>对泉港、惠安、江阴、可门、古雷等石化化工类产业集群，加强设备密闭和工艺废气密闭收集处理，推行泄漏检测统一监管。</w:t>
      </w:r>
      <w:r>
        <w:rPr>
          <w:rFonts w:ascii="Times New Roman" w:hAnsi="Times New Roman"/>
          <w:bCs/>
          <w:kern w:val="0"/>
          <w:sz w:val="32"/>
          <w:szCs w:val="32"/>
        </w:rPr>
        <w:t>对烟粉尘无组织排放严重的钢铁、陶瓷、水泥等产业集群，开展</w:t>
      </w:r>
      <w:r>
        <w:rPr>
          <w:rFonts w:ascii="Times New Roman" w:hAnsi="Times New Roman" w:hint="eastAsia"/>
          <w:bCs/>
          <w:kern w:val="0"/>
          <w:sz w:val="32"/>
          <w:szCs w:val="32"/>
        </w:rPr>
        <w:t>深度</w:t>
      </w:r>
      <w:r>
        <w:rPr>
          <w:rFonts w:ascii="Times New Roman" w:hAnsi="Times New Roman"/>
          <w:bCs/>
          <w:kern w:val="0"/>
          <w:sz w:val="32"/>
          <w:szCs w:val="32"/>
        </w:rPr>
        <w:t>治理。</w:t>
      </w:r>
      <w:bookmarkStart w:id="31" w:name="_Hlk86623323"/>
      <w:r>
        <w:rPr>
          <w:rFonts w:ascii="Times New Roman" w:hAnsi="Times New Roman"/>
          <w:bCs/>
          <w:kern w:val="0"/>
          <w:sz w:val="32"/>
          <w:szCs w:val="32"/>
        </w:rPr>
        <w:t>对家具</w:t>
      </w:r>
      <w:r>
        <w:rPr>
          <w:rFonts w:ascii="仿宋_GB2312" w:hint="eastAsia"/>
          <w:bCs/>
          <w:kern w:val="0"/>
          <w:sz w:val="32"/>
          <w:szCs w:val="32"/>
        </w:rPr>
        <w:t>、汽修、机电等涂装类产业集群，重点推进低（无）</w:t>
      </w:r>
      <w:r>
        <w:rPr>
          <w:rFonts w:ascii="仿宋_GB2312" w:hint="eastAsia"/>
          <w:sz w:val="32"/>
          <w:szCs w:val="32"/>
        </w:rPr>
        <w:t>VOCs含量涂料替代，鼓励建设集中喷涂中心。</w:t>
      </w:r>
      <w:bookmarkStart w:id="32" w:name="_Hlk86623296"/>
      <w:bookmarkEnd w:id="31"/>
      <w:r>
        <w:rPr>
          <w:rFonts w:ascii="仿宋_GB2312" w:hint="eastAsia"/>
          <w:sz w:val="32"/>
          <w:szCs w:val="32"/>
        </w:rPr>
        <w:t>对制鞋、印刷等有机溶剂使用量大的产业集群，推进低（无）VOCs含量油墨、胶粘剂等替代，鼓励建设废弃溶剂容器集中回收处置中心</w:t>
      </w:r>
      <w:bookmarkEnd w:id="32"/>
      <w:r>
        <w:rPr>
          <w:rFonts w:ascii="仿宋_GB2312" w:hint="eastAsia"/>
          <w:sz w:val="32"/>
          <w:szCs w:val="32"/>
        </w:rPr>
        <w:t>。</w:t>
      </w:r>
      <w:bookmarkStart w:id="33" w:name="_Hlk86623270"/>
      <w:r>
        <w:rPr>
          <w:rFonts w:ascii="仿宋_GB2312" w:hint="eastAsia"/>
          <w:sz w:val="32"/>
          <w:szCs w:val="32"/>
        </w:rPr>
        <w:t>对活性炭使用量大的产业集群，积极统筹建设集中再生中心统一处理。</w:t>
      </w:r>
      <w:bookmarkEnd w:id="33"/>
    </w:p>
    <w:p>
      <w:pPr>
        <w:pStyle w:val="402"/>
        <w:overflowPunct w:val="0"/>
        <w:spacing w:beforeLines="0" w:before="468" w:afterLines="0" w:after="468"/>
        <w:rPr>
          <w:rFonts w:ascii="Times New Roman" w:cs="Times New Roman" w:hAnsi="Times New Roman"/>
          <w:bCs/>
        </w:rPr>
      </w:pPr>
      <w:bookmarkStart w:id="34" w:name="_Toc89691246"/>
      <w:r>
        <w:rPr>
          <w:rFonts w:ascii="Times New Roman" w:cs="Times New Roman" w:hAnsi="Times New Roman"/>
          <w:bCs/>
        </w:rPr>
        <w:t>第五节 推进美丽园区建设</w:t>
      </w:r>
      <w:bookmarkEnd w:id="34"/>
    </w:p>
    <w:p>
      <w:pPr>
        <w:rPr>
          <w:rFonts w:ascii="Times New Roman" w:hAnsi="Times New Roman"/>
          <w:sz w:val="32"/>
          <w:szCs w:val="32"/>
        </w:rPr>
      </w:pPr>
      <w:r>
        <w:rPr>
          <w:rFonts w:ascii="Times New Roman" w:hAnsi="Times New Roman"/>
          <w:sz w:val="32"/>
          <w:szCs w:val="32"/>
        </w:rPr>
        <w:t>以湄洲湾石化基地、古雷石化基地、福州江阴工业集中区和罗源钢铁、漳州周边工业区和台商投资区、莆田华林和西天尾工业园区等区域为重点，积极开展园区监测。实施绿色制造工程，鼓励工业企业、园区创建绿色工厂和绿色园区等绿色制造体系。开展全流程清洁化、循环化、低碳化改造，严格实施“双超双有”及超过能耗限额标准企业强制性清洁生产审核，探索开展行业、工业园区和企业集群整体清洁生产审核，研究将碳排放指标纳入清洁生产审核。</w:t>
        <w:br w:type="page"/>
      </w:r>
    </w:p>
    <w:p>
      <w:pPr>
        <w:pStyle w:val="26"/>
        <w:adjustRightInd w:val="0"/>
        <w:snapToGrid w:val="0"/>
        <w:spacing w:after="0" w:line="360" w:lineRule="auto"/>
        <w:ind w:leftChars="0" w:left="0"/>
        <w:jc w:val="center"/>
        <w:rPr>
          <w:rFonts w:ascii="Times New Roman" w:eastAsia="楷体_GB2312" w:hAnsi="Times New Roman"/>
          <w:b/>
          <w:bCs/>
          <w:spacing w:val="11"/>
          <w:kern w:val="0"/>
          <w:sz w:val="32"/>
          <w:szCs w:val="32"/>
        </w:rPr>
      </w:pPr>
      <w:bookmarkEnd w:id="27"/>
      <w:r>
        <w:rPr>
          <w:rFonts w:ascii="Times New Roman" w:eastAsia="楷体_GB2312" w:hAnsi="Times New Roman"/>
          <w:b/>
          <w:bCs/>
          <w:spacing w:val="11"/>
          <w:kern w:val="0"/>
          <w:sz w:val="32"/>
          <w:szCs w:val="32"/>
        </w:rPr>
        <w:t>专栏一：产业集群综合整治工程</w:t>
      </w:r>
    </w:p>
    <w:tbl>
      <w:tblPr>
        <w:jc w:val="center"/>
        <w:tblW w:w="8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8761"/>
      </w:tblGrid>
      <w:tr>
        <w:trPr>
          <w:trHeight w:val="4039"/>
        </w:trPr>
        <w:tc>
          <w:tcPr>
            <w:tcW w:w="8761" w:type="dxa"/>
          </w:tcPr>
          <w:p>
            <w:pPr>
              <w:spacing w:line="460" w:lineRule="exact"/>
              <w:rPr>
                <w:rFonts w:ascii="仿宋_GB2312"/>
                <w:sz w:val="28"/>
                <w:szCs w:val="28"/>
              </w:rPr>
            </w:pPr>
            <w:r>
              <w:rPr>
                <w:rFonts w:ascii="仿宋_GB2312" w:hint="eastAsia"/>
                <w:b/>
                <w:bCs/>
                <w:sz w:val="28"/>
                <w:szCs w:val="28"/>
              </w:rPr>
              <w:t>（一）产业集群综合整治工程。</w:t>
            </w:r>
            <w:r>
              <w:rPr>
                <w:rFonts w:ascii="仿宋_GB2312" w:hint="eastAsia"/>
                <w:sz w:val="28"/>
                <w:szCs w:val="28"/>
              </w:rPr>
              <w:t>积极统筹规划建设集中涂装中心、废弃溶剂容器回收处置中心、活性炭集中再生基地；</w:t>
            </w:r>
            <w:bookmarkStart w:id="35" w:name="_Hlk86623385"/>
            <w:r>
              <w:rPr>
                <w:rFonts w:ascii="仿宋_GB2312" w:hint="eastAsia"/>
                <w:sz w:val="28"/>
                <w:szCs w:val="28"/>
              </w:rPr>
              <w:t>泉港、泉惠、古雷石化园区及江阴、可门等化工园区实施储罐综合治理、装卸废气收集治理、敞开液面废气等VOCs治理工程；莆田、泉州制鞋产业集群，莆田、漳州家具行业，实施VOCs产业集群综合整治；福州、泉州、漳州陶瓷行业，福州罗源湾、漳州、三明钢铁，三明、龙岩水泥等产业集群</w:t>
            </w:r>
            <w:bookmarkEnd w:id="35"/>
            <w:r>
              <w:rPr>
                <w:rFonts w:ascii="仿宋_GB2312" w:hint="eastAsia"/>
                <w:sz w:val="28"/>
                <w:szCs w:val="28"/>
              </w:rPr>
              <w:t>，实施烟粉尘无组织排放深度治理。</w:t>
            </w:r>
          </w:p>
          <w:p>
            <w:pPr>
              <w:spacing w:line="460" w:lineRule="exact"/>
              <w:rPr>
                <w:rFonts w:ascii="仿宋_GB2312"/>
                <w:sz w:val="28"/>
                <w:szCs w:val="28"/>
              </w:rPr>
            </w:pPr>
            <w:r>
              <w:rPr>
                <w:rFonts w:ascii="仿宋_GB2312" w:hint="eastAsia"/>
                <w:b/>
                <w:bCs/>
                <w:sz w:val="28"/>
                <w:szCs w:val="28"/>
              </w:rPr>
              <w:t>（二）产能升级改造工程。</w:t>
            </w:r>
            <w:r>
              <w:rPr>
                <w:rFonts w:ascii="仿宋_GB2312" w:hint="eastAsia"/>
                <w:sz w:val="28"/>
                <w:szCs w:val="28"/>
              </w:rPr>
              <w:t>实施钢铁、石化、化工、有色、建材、纺织、造纸、皮革等行业绿色升级改造；</w:t>
            </w:r>
            <w:bookmarkStart w:id="36" w:name="_Hlk91579644"/>
            <w:r>
              <w:rPr>
                <w:rFonts w:ascii="仿宋_GB2312" w:hint="eastAsia"/>
                <w:sz w:val="28"/>
                <w:szCs w:val="28"/>
              </w:rPr>
              <w:t>持续推进“散乱污”落后企业（作坊）的取缔关停和整治提升工作。</w:t>
            </w:r>
            <w:bookmarkEnd w:id="36"/>
          </w:p>
        </w:tc>
      </w:tr>
    </w:tbl>
    <w:p>
      <w:pPr>
        <w:rPr>
          <w:rFonts w:ascii="Times New Roman" w:hAnsi="Times New Roman"/>
          <w:szCs w:val="30"/>
        </w:rPr>
      </w:pPr>
    </w:p>
    <w:p>
      <w:pPr>
        <w:pStyle w:val="1"/>
        <w:keepNext w:val="0"/>
        <w:keepLines w:val="0"/>
        <w:widowControl w:val="0"/>
        <w:rPr>
          <w:rFonts w:ascii="Times New Roman" w:cs="Times New Roman" w:hAnsi="Times New Roman"/>
          <w:kern w:val="2"/>
          <w:sz w:val="30"/>
          <w:szCs w:val="30"/>
        </w:rPr>
      </w:pPr>
      <w:r>
        <w:rPr>
          <w:rFonts w:ascii="Times New Roman" w:cs="Times New Roman" w:hAnsi="Times New Roman"/>
          <w:kern w:val="2"/>
          <w:sz w:val="30"/>
          <w:szCs w:val="30"/>
        </w:rPr>
        <w:br w:type="page"/>
      </w:r>
    </w:p>
    <w:p>
      <w:pPr>
        <w:pStyle w:val="400"/>
        <w:widowControl w:val="0"/>
        <w:overflowPunct w:val="0"/>
        <w:adjustRightInd w:val="0"/>
        <w:snapToGrid w:val="0"/>
        <w:spacing w:beforeLines="0" w:before="200" w:afterLines="0" w:after="200"/>
        <w:jc w:val="center"/>
        <w:rPr>
          <w:rFonts w:ascii="Times New Roman" w:hAnsi="Times New Roman"/>
          <w:bCs w:val="0"/>
        </w:rPr>
      </w:pPr>
      <w:bookmarkStart w:id="37" w:name="_Toc89691247"/>
      <w:r>
        <w:rPr>
          <w:rFonts w:ascii="Times New Roman" w:hAnsi="Times New Roman"/>
          <w:bCs w:val="0"/>
        </w:rPr>
        <w:t>第四章 优化能源结构，加速能源清洁低碳高效发展</w:t>
      </w:r>
      <w:bookmarkEnd w:id="37"/>
    </w:p>
    <w:p>
      <w:pPr>
        <w:pStyle w:val="402"/>
        <w:overflowPunct w:val="0"/>
        <w:spacing w:beforeLines="0" w:before="468" w:afterLines="0" w:after="468"/>
        <w:rPr>
          <w:rFonts w:ascii="Times New Roman" w:cs="Times New Roman" w:hAnsi="Times New Roman"/>
          <w:bCs/>
        </w:rPr>
      </w:pPr>
      <w:bookmarkStart w:id="38" w:name="_Toc89691248"/>
      <w:bookmarkStart w:id="39" w:name="_Hlk76400656"/>
      <w:r>
        <w:rPr>
          <w:rFonts w:ascii="Times New Roman" w:cs="Times New Roman" w:hAnsi="Times New Roman"/>
          <w:bCs/>
        </w:rPr>
        <w:t>第一节 加快推进能源结构优化</w:t>
      </w:r>
      <w:bookmarkEnd w:id="38"/>
    </w:p>
    <w:p>
      <w:pPr>
        <w:rPr>
          <w:rFonts w:ascii="仿宋_GB2312"/>
          <w:sz w:val="32"/>
          <w:szCs w:val="32"/>
        </w:rPr>
      </w:pPr>
      <w:bookmarkStart w:id="40" w:name="_Hlk91582820"/>
      <w:r>
        <w:rPr>
          <w:rFonts w:ascii="Times New Roman" w:hAnsi="Times New Roman"/>
          <w:b/>
          <w:sz w:val="32"/>
          <w:szCs w:val="32"/>
        </w:rPr>
        <w:t>推动能源体系清洁低碳发展，提升清洁能源比重。</w:t>
      </w:r>
      <w:r>
        <w:rPr>
          <w:rFonts w:ascii="Times New Roman" w:hAnsi="Times New Roman"/>
          <w:sz w:val="32"/>
          <w:szCs w:val="32"/>
        </w:rPr>
        <w:t>强化碳达峰、碳中和硬约束，主要以非化石能源和天然气满足能源消费增长需求。</w:t>
      </w:r>
      <w:r>
        <w:rPr>
          <w:rFonts w:ascii="Times New Roman" w:hAnsi="Times New Roman"/>
          <w:bCs/>
          <w:sz w:val="32"/>
          <w:szCs w:val="32"/>
        </w:rPr>
        <w:t>安全</w:t>
      </w:r>
      <w:r>
        <w:rPr>
          <w:rFonts w:ascii="Times New Roman" w:hAnsi="Times New Roman"/>
          <w:sz w:val="32"/>
          <w:szCs w:val="32"/>
        </w:rPr>
        <w:t>稳妥推进核电建设，加快福清、漳州、宁德霞浦核电建设，提高核电装机及发电量比重。优化风能和太阳能开发布局，加快海上风电平台建设；有序发展太阳能发电，支持户用和工业园区、机场等屋顶太阳能光伏分布式发电，因地制宜推进“渔光互补”、矿山修复光伏等项目；开展风电和</w:t>
      </w:r>
      <w:r>
        <w:rPr>
          <w:rFonts w:ascii="仿宋_GB2312" w:hint="eastAsia"/>
          <w:sz w:val="32"/>
          <w:szCs w:val="32"/>
        </w:rPr>
        <w:t>太阳能发电配置储能需求研究和配建，提高其调节能力。完善天然气产供储销体系，加强天然气基础设施建设，实施“增气减煤”。到2025年，非化石能源占一次能源消费比重提高到</w:t>
      </w:r>
      <w:r>
        <w:rPr>
          <w:rFonts w:ascii="仿宋_GB2312" w:hint="eastAsia"/>
          <w:bCs/>
          <w:sz w:val="32"/>
          <w:szCs w:val="32"/>
        </w:rPr>
        <w:t>27.2</w:t>
      </w:r>
      <w:r>
        <w:rPr>
          <w:rFonts w:ascii="仿宋_GB2312" w:hint="eastAsia"/>
          <w:sz w:val="32"/>
          <w:szCs w:val="32"/>
        </w:rPr>
        <w:t>%，清洁能源装机比重达到58.5%，可再生能源装机容量达到2890万千瓦。</w:t>
      </w:r>
    </w:p>
    <w:p>
      <w:pPr>
        <w:pStyle w:val="402"/>
        <w:overflowPunct w:val="0"/>
        <w:spacing w:beforeLines="0" w:before="468" w:afterLines="0" w:after="468"/>
        <w:rPr>
          <w:rFonts w:ascii="Times New Roman" w:cs="Times New Roman" w:hAnsi="Times New Roman"/>
          <w:bCs/>
        </w:rPr>
      </w:pPr>
      <w:bookmarkStart w:id="41" w:name="_Toc89691249"/>
      <w:bookmarkEnd w:id="40"/>
      <w:r>
        <w:rPr>
          <w:rFonts w:ascii="Times New Roman" w:cs="Times New Roman" w:hAnsi="Times New Roman"/>
          <w:bCs/>
        </w:rPr>
        <w:t>第二节 严格控制煤炭消费总量</w:t>
      </w:r>
      <w:bookmarkEnd w:id="41"/>
    </w:p>
    <w:p>
      <w:pPr>
        <w:rPr>
          <w:rFonts w:ascii="Times New Roman" w:hAnsi="Times New Roman"/>
          <w:sz w:val="32"/>
          <w:szCs w:val="32"/>
        </w:rPr>
      </w:pPr>
      <w:r>
        <w:rPr>
          <w:rFonts w:ascii="Times New Roman" w:hAnsi="Times New Roman"/>
          <w:b/>
          <w:sz w:val="32"/>
          <w:szCs w:val="32"/>
        </w:rPr>
        <w:t>加强能源消费总量和强度双控，严控煤炭消费增长</w:t>
      </w:r>
      <w:r>
        <w:rPr>
          <w:rFonts w:ascii="Times New Roman" w:hAnsi="Times New Roman"/>
          <w:b/>
          <w:snapToGrid w:val="0"/>
          <w:kern w:val="0"/>
          <w:sz w:val="32"/>
          <w:szCs w:val="32"/>
        </w:rPr>
        <w:t>。</w:t>
      </w:r>
      <w:r>
        <w:rPr>
          <w:rFonts w:ascii="Times New Roman" w:hAnsi="Times New Roman"/>
          <w:sz w:val="32"/>
          <w:szCs w:val="32"/>
        </w:rPr>
        <w:t>按照集中清洁利用的原则，重点削减中小型燃煤锅炉、工业炉窑。禁止新建自备燃煤机组，具备上网条件的现役自备燃煤机组（含煤与其他燃料混烧机组）纳入电网统一调度，承担</w:t>
      </w:r>
      <w:r>
        <w:rPr>
          <w:rFonts w:ascii="仿宋_GB2312" w:hint="eastAsia"/>
          <w:sz w:val="32"/>
          <w:szCs w:val="32"/>
        </w:rPr>
        <w:t>与公用燃煤电厂相同的义务。力争到2025年，煤炭占一次能源消费比重降到47.4%。</w:t>
      </w:r>
    </w:p>
    <w:p>
      <w:pPr>
        <w:rPr>
          <w:rFonts w:ascii="Times New Roman" w:hAnsi="Times New Roman"/>
          <w:snapToGrid w:val="0"/>
          <w:kern w:val="0"/>
          <w:sz w:val="32"/>
          <w:szCs w:val="32"/>
        </w:rPr>
      </w:pPr>
      <w:r>
        <w:rPr>
          <w:rFonts w:ascii="Times New Roman" w:hAnsi="Times New Roman"/>
          <w:b/>
          <w:snapToGrid w:val="0"/>
          <w:kern w:val="0"/>
          <w:sz w:val="32"/>
          <w:szCs w:val="32"/>
        </w:rPr>
        <w:t>推动高污染燃料禁燃区扩大调整。</w:t>
      </w:r>
      <w:r>
        <w:rPr>
          <w:rFonts w:ascii="Times New Roman" w:hAnsi="Times New Roman"/>
          <w:snapToGrid w:val="0"/>
          <w:kern w:val="0"/>
          <w:sz w:val="32"/>
          <w:szCs w:val="32"/>
        </w:rPr>
        <w:t>逐步扩大高污染燃料禁燃区范围，规范高污染燃料禁燃区监管，强化煤炭及其制品等高污染燃料管理，禁燃区内禁止销售、燃用高污染燃料，禁止新建、改建、扩建高污染燃料的设施。</w:t>
      </w:r>
    </w:p>
    <w:p>
      <w:pPr>
        <w:pStyle w:val="402"/>
        <w:overflowPunct w:val="0"/>
        <w:spacing w:beforeLines="0" w:before="468" w:afterLines="0" w:after="468"/>
        <w:rPr>
          <w:rFonts w:ascii="Times New Roman" w:cs="Times New Roman" w:hAnsi="Times New Roman"/>
          <w:bCs/>
        </w:rPr>
      </w:pPr>
      <w:bookmarkStart w:id="42" w:name="_Toc9959"/>
      <w:bookmarkStart w:id="43" w:name="_Toc89691250"/>
      <w:r>
        <w:rPr>
          <w:rFonts w:ascii="Times New Roman" w:cs="Times New Roman" w:hAnsi="Times New Roman"/>
          <w:bCs/>
        </w:rPr>
        <w:t>第三节 积极推进燃煤锅炉淘汰</w:t>
      </w:r>
      <w:bookmarkEnd w:id="42"/>
      <w:bookmarkEnd w:id="43"/>
    </w:p>
    <w:p>
      <w:pPr>
        <w:widowControl/>
        <w:shd w:val="clear" w:color="auto" w:fill="FFFFFF"/>
        <w:rPr>
          <w:rFonts w:ascii="Times New Roman" w:hAnsi="Times New Roman"/>
          <w:sz w:val="32"/>
          <w:szCs w:val="32"/>
        </w:rPr>
      </w:pPr>
      <w:r>
        <w:rPr>
          <w:rFonts w:ascii="Times New Roman" w:hAnsi="Times New Roman"/>
          <w:sz w:val="32"/>
          <w:szCs w:val="32"/>
        </w:rPr>
        <w:t>加快供热管网建设，依托电厂、大型企业开展远距离供热示范，充分释放热电联产、工业余热等供热能力，淘汰管网</w:t>
      </w:r>
      <w:r>
        <w:rPr>
          <w:rFonts w:ascii="仿宋_GB2312" w:hint="eastAsia"/>
          <w:sz w:val="32"/>
          <w:szCs w:val="32"/>
        </w:rPr>
        <w:t>覆盖范围内的燃煤锅炉。加大燃煤小锅炉淘汰力度，积极推进10蒸吨/小时以下的燃煤锅炉淘汰；县级及以上城市建成区原则上不再新建35蒸吨/小时以下</w:t>
      </w:r>
      <w:r>
        <w:rPr>
          <w:rFonts w:ascii="Times New Roman" w:hAnsi="Times New Roman"/>
          <w:sz w:val="32"/>
          <w:szCs w:val="32"/>
        </w:rPr>
        <w:t>的燃煤锅炉。</w:t>
      </w:r>
    </w:p>
    <w:p>
      <w:pPr>
        <w:pStyle w:val="402"/>
        <w:overflowPunct w:val="0"/>
        <w:spacing w:beforeLines="0" w:before="468" w:afterLines="0" w:after="468"/>
        <w:rPr>
          <w:rFonts w:ascii="Times New Roman" w:cs="Times New Roman" w:hAnsi="Times New Roman"/>
          <w:bCs/>
        </w:rPr>
      </w:pPr>
      <w:bookmarkStart w:id="44" w:name="_Toc89691251"/>
      <w:r>
        <w:rPr>
          <w:rFonts w:ascii="Times New Roman" w:cs="Times New Roman" w:hAnsi="Times New Roman"/>
          <w:bCs/>
        </w:rPr>
        <w:t>第四节 实施工业炉窑清洁能源替代</w:t>
      </w:r>
      <w:bookmarkEnd w:id="44"/>
    </w:p>
    <w:p>
      <w:pPr>
        <w:rPr>
          <w:rFonts w:ascii="Times New Roman" w:hAnsi="Times New Roman"/>
          <w:sz w:val="32"/>
          <w:szCs w:val="32"/>
        </w:rPr>
      </w:pPr>
      <w:r>
        <w:rPr>
          <w:rFonts w:ascii="Times New Roman" w:hAnsi="Times New Roman"/>
          <w:b/>
          <w:sz w:val="32"/>
          <w:szCs w:val="32"/>
        </w:rPr>
        <w:t>持续推进工业炉窑“煤改气”“煤改电”</w:t>
      </w:r>
      <w:r>
        <w:rPr>
          <w:rFonts w:ascii="Times New Roman" w:hAnsi="Times New Roman"/>
          <w:bCs/>
          <w:sz w:val="32"/>
          <w:szCs w:val="32"/>
        </w:rPr>
        <w:t>，</w:t>
      </w:r>
      <w:r>
        <w:rPr>
          <w:rFonts w:ascii="Times New Roman" w:hAnsi="Times New Roman"/>
          <w:b/>
          <w:sz w:val="32"/>
          <w:szCs w:val="32"/>
        </w:rPr>
        <w:t>因地制宜推进生物质等能源代煤。</w:t>
      </w:r>
      <w:r>
        <w:rPr>
          <w:rFonts w:ascii="Times New Roman" w:hAnsi="Times New Roman"/>
          <w:sz w:val="32"/>
          <w:szCs w:val="32"/>
        </w:rPr>
        <w:t>系统梳理福州、泉州、漳州等地工业炉窑清单，分类提出工业炉窑综合治理技术路线。全面淘汰间歇式固定床煤气发生炉；积极推进以煤、石油焦等为燃料的热风炉、加热炉、热处理炉、干燥炉窑等改用工业余热、电能</w:t>
      </w:r>
      <w:r>
        <w:rPr>
          <w:rFonts w:ascii="Times New Roman" w:hAnsi="Times New Roman" w:hint="eastAsia"/>
          <w:sz w:val="32"/>
          <w:szCs w:val="32"/>
        </w:rPr>
        <w:t>、天然气等</w:t>
      </w:r>
      <w:r>
        <w:rPr>
          <w:rFonts w:ascii="Times New Roman" w:hAnsi="Times New Roman"/>
          <w:sz w:val="32"/>
          <w:szCs w:val="32"/>
        </w:rPr>
        <w:t>。</w:t>
      </w:r>
    </w:p>
    <w:p>
      <w:pPr>
        <w:pStyle w:val="26"/>
        <w:adjustRightInd w:val="0"/>
        <w:snapToGrid w:val="0"/>
        <w:spacing w:after="0" w:line="360" w:lineRule="auto"/>
        <w:ind w:leftChars="0" w:left="0"/>
        <w:jc w:val="center"/>
        <w:rPr>
          <w:rFonts w:ascii="Times New Roman" w:eastAsia="楷体_GB2312" w:hAnsi="Times New Roman"/>
          <w:b/>
          <w:bCs/>
          <w:spacing w:val="11"/>
          <w:kern w:val="0"/>
          <w:sz w:val="32"/>
          <w:szCs w:val="32"/>
        </w:rPr>
      </w:pPr>
      <w:r>
        <w:rPr>
          <w:rFonts w:ascii="Times New Roman" w:eastAsia="楷体_GB2312" w:hAnsi="Times New Roman"/>
          <w:b/>
          <w:bCs/>
          <w:spacing w:val="11"/>
          <w:kern w:val="0"/>
          <w:sz w:val="32"/>
          <w:szCs w:val="32"/>
        </w:rPr>
        <w:t>专栏二：清洁能源利用工程</w:t>
      </w:r>
    </w:p>
    <w:tbl>
      <w:tblPr>
        <w:jc w:val="center"/>
        <w:tblW w:w="8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8761"/>
      </w:tblGrid>
      <w:tr>
        <w:tc>
          <w:tcPr>
            <w:tcW w:w="8761" w:type="dxa"/>
          </w:tcPr>
          <w:p>
            <w:pPr>
              <w:spacing w:line="460" w:lineRule="exact"/>
              <w:rPr>
                <w:rFonts w:ascii="仿宋_GB2312"/>
                <w:sz w:val="28"/>
                <w:szCs w:val="28"/>
              </w:rPr>
            </w:pPr>
            <w:bookmarkStart w:id="45" w:name="_Hlk86623481"/>
            <w:r>
              <w:rPr>
                <w:rFonts w:ascii="仿宋_GB2312" w:hint="eastAsia"/>
                <w:b/>
                <w:bCs/>
                <w:sz w:val="28"/>
                <w:szCs w:val="28"/>
              </w:rPr>
              <w:t>（一）核电、风能及太阳能利用工程。</w:t>
            </w:r>
            <w:bookmarkStart w:id="46" w:name="_Hlk86623414"/>
            <w:r>
              <w:rPr>
                <w:rFonts w:ascii="仿宋_GB2312" w:hint="eastAsia"/>
                <w:sz w:val="28"/>
                <w:szCs w:val="28"/>
              </w:rPr>
              <w:t>加快福清核电6号机组、漳州核电1、2号机组建设，积极推进宁德核电5、6号机组、漳州核电3-6号机组和华能霞浦核电项目前期工作；</w:t>
            </w:r>
            <w:bookmarkStart w:id="47" w:name="_Hlk86623440"/>
            <w:bookmarkEnd w:id="46"/>
            <w:r>
              <w:rPr>
                <w:rFonts w:ascii="仿宋_GB2312" w:hint="eastAsia"/>
                <w:sz w:val="28"/>
                <w:szCs w:val="28"/>
              </w:rPr>
              <w:t>加快福州兴化湾、莆田平海湾、漳州六鳌等海域海上风电开发。分类分批推进九个设区市光照条件好的县区发展户用光伏建设，力争达到350万k</w:t>
            </w:r>
            <w:r>
              <w:rPr>
                <w:rFonts w:ascii="仿宋_GB2312"/>
                <w:sz w:val="28"/>
                <w:szCs w:val="28"/>
              </w:rPr>
              <w:t>V</w:t>
            </w:r>
            <w:r>
              <w:rPr>
                <w:rFonts w:ascii="仿宋_GB2312" w:hint="eastAsia"/>
                <w:sz w:val="28"/>
                <w:szCs w:val="28"/>
              </w:rPr>
              <w:t>装机容量。</w:t>
            </w:r>
            <w:bookmarkEnd w:id="47"/>
          </w:p>
          <w:p>
            <w:pPr>
              <w:spacing w:line="460" w:lineRule="exact"/>
              <w:rPr>
                <w:rFonts w:ascii="仿宋_GB2312"/>
                <w:sz w:val="28"/>
                <w:szCs w:val="28"/>
              </w:rPr>
            </w:pPr>
            <w:r>
              <w:rPr>
                <w:rFonts w:ascii="仿宋_GB2312" w:hint="eastAsia"/>
                <w:b/>
                <w:bCs/>
                <w:sz w:val="28"/>
                <w:szCs w:val="28"/>
              </w:rPr>
              <w:t>（二）清洁能源利用配套设施建设工程。</w:t>
            </w:r>
            <w:bookmarkStart w:id="48" w:name="_Hlk86623452"/>
            <w:r>
              <w:rPr>
                <w:rFonts w:ascii="仿宋_GB2312" w:hint="eastAsia"/>
                <w:sz w:val="28"/>
                <w:szCs w:val="28"/>
              </w:rPr>
              <w:t>建设LNG接收站及外输管线和西三线支干线、海西二期管网和互联互通工程等天然气管道。完善岸电、加气站、电动汽车充电基础设施建设。</w:t>
            </w:r>
          </w:p>
          <w:p>
            <w:pPr>
              <w:spacing w:line="460" w:lineRule="exact"/>
              <w:rPr>
                <w:rFonts w:ascii="仿宋_GB2312"/>
                <w:sz w:val="28"/>
                <w:szCs w:val="28"/>
              </w:rPr>
            </w:pPr>
            <w:bookmarkEnd w:id="48"/>
            <w:r>
              <w:rPr>
                <w:rFonts w:ascii="仿宋_GB2312" w:hint="eastAsia"/>
                <w:b/>
                <w:bCs/>
                <w:sz w:val="28"/>
                <w:szCs w:val="28"/>
              </w:rPr>
              <w:t>（三）工业炉窑燃料清洁替代工程。</w:t>
            </w:r>
            <w:r>
              <w:rPr>
                <w:rFonts w:ascii="仿宋_GB2312" w:hint="eastAsia"/>
                <w:sz w:val="28"/>
                <w:szCs w:val="28"/>
              </w:rPr>
              <w:t>淘汰间歇式固定床煤气发生炉；实施工业炉窑淘汰、工业炉窑清洁能源替代等项目。推进闽清、平和、南靖、华安等地建陶“煤改气”。</w:t>
            </w:r>
          </w:p>
          <w:p>
            <w:pPr>
              <w:spacing w:line="460" w:lineRule="exact"/>
              <w:rPr>
                <w:rFonts w:ascii="仿宋_GB2312"/>
                <w:sz w:val="28"/>
                <w:szCs w:val="28"/>
              </w:rPr>
            </w:pPr>
            <w:r>
              <w:rPr>
                <w:rFonts w:ascii="仿宋_GB2312" w:hint="eastAsia"/>
                <w:b/>
                <w:bCs/>
                <w:sz w:val="28"/>
                <w:szCs w:val="28"/>
              </w:rPr>
              <w:t>（四）集中供热工程。</w:t>
            </w:r>
            <w:r>
              <w:rPr>
                <w:rFonts w:ascii="仿宋_GB2312" w:hint="eastAsia"/>
                <w:sz w:val="28"/>
                <w:szCs w:val="28"/>
              </w:rPr>
              <w:t>实施泉惠电厂热电联产工程1号机组、华能古雷热电厂一期（北厂区）、漳州台商投资区、尤溪经济开发区城南工业集中区、长泰县工业区、邵武市金塘、秀屿区东峤片区、石澳门产业园、南平工业区江南园、漳浦县赤湖工业园等热电联产项目。</w:t>
            </w:r>
            <w:bookmarkEnd w:id="45"/>
          </w:p>
        </w:tc>
      </w:tr>
    </w:tbl>
    <w:p>
      <w:pPr>
        <w:rPr>
          <w:rFonts w:ascii="Times New Roman" w:hAnsi="Times New Roman"/>
          <w:szCs w:val="30"/>
        </w:rPr>
      </w:pPr>
    </w:p>
    <w:p>
      <w:pPr>
        <w:rPr>
          <w:rFonts w:ascii="Times New Roman" w:hAnsi="Times New Roman"/>
          <w:sz w:val="32"/>
          <w:szCs w:val="32"/>
        </w:rPr>
      </w:pPr>
    </w:p>
    <w:p>
      <w:pPr>
        <w:pStyle w:val="26"/>
        <w:spacing w:line="590" w:lineRule="exact"/>
        <w:ind w:leftChars="0" w:left="0"/>
        <w:rPr>
          <w:rFonts w:ascii="Times New Roman" w:hAnsi="Times New Roman"/>
          <w:szCs w:val="30"/>
        </w:rPr>
      </w:pPr>
      <w:bookmarkEnd w:id="39"/>
      <w:r>
        <w:rPr>
          <w:rFonts w:ascii="Times New Roman" w:hAnsi="Times New Roman"/>
          <w:szCs w:val="30"/>
        </w:rPr>
        <w:t xml:space="preserve"> </w:t>
      </w:r>
    </w:p>
    <w:p>
      <w:pPr>
        <w:pStyle w:val="400"/>
        <w:widowControl w:val="0"/>
        <w:overflowPunct w:val="0"/>
        <w:spacing w:beforeLines="0" w:before="624" w:afterLines="0" w:after="624"/>
        <w:jc w:val="center"/>
        <w:rPr>
          <w:rFonts w:ascii="Times New Roman" w:hAnsi="Times New Roman"/>
          <w:bCs w:val="0"/>
          <w:szCs w:val="28"/>
        </w:rPr>
      </w:pPr>
      <w:r>
        <w:rPr>
          <w:rFonts w:ascii="Times New Roman" w:hAnsi="Times New Roman"/>
          <w:bCs w:val="0"/>
          <w:szCs w:val="28"/>
        </w:rPr>
        <w:br w:type="page"/>
      </w:r>
    </w:p>
    <w:p>
      <w:pPr>
        <w:pStyle w:val="400"/>
        <w:widowControl w:val="0"/>
        <w:overflowPunct w:val="0"/>
        <w:adjustRightInd w:val="0"/>
        <w:snapToGrid w:val="0"/>
        <w:spacing w:beforeLines="0" w:before="200" w:afterLines="0" w:after="200"/>
        <w:jc w:val="center"/>
        <w:rPr>
          <w:rFonts w:ascii="Times New Roman" w:hAnsi="Times New Roman"/>
          <w:bCs w:val="0"/>
        </w:rPr>
      </w:pPr>
      <w:bookmarkStart w:id="49" w:name="_Toc89691252"/>
      <w:r>
        <w:rPr>
          <w:rFonts w:ascii="Times New Roman" w:hAnsi="Times New Roman"/>
          <w:bCs w:val="0"/>
        </w:rPr>
        <w:t>第五章 优化交通结构，大力发展绿色运输体系</w:t>
      </w:r>
      <w:bookmarkEnd w:id="49"/>
    </w:p>
    <w:p>
      <w:pPr>
        <w:pStyle w:val="402"/>
        <w:overflowPunct w:val="0"/>
        <w:spacing w:beforeLines="0" w:before="468" w:afterLines="0" w:after="468"/>
        <w:rPr>
          <w:rFonts w:ascii="Times New Roman" w:cs="Times New Roman" w:hAnsi="Times New Roman"/>
          <w:bCs/>
        </w:rPr>
      </w:pPr>
      <w:bookmarkStart w:id="50" w:name="_Toc89691253"/>
      <w:bookmarkStart w:id="51" w:name="_Hlk76412986"/>
      <w:r>
        <w:rPr>
          <w:rFonts w:ascii="Times New Roman" w:cs="Times New Roman" w:hAnsi="Times New Roman"/>
          <w:bCs/>
        </w:rPr>
        <w:t>第一节 持续深化运输结构调整</w:t>
      </w:r>
      <w:bookmarkEnd w:id="50"/>
    </w:p>
    <w:p>
      <w:pPr>
        <w:rPr>
          <w:rFonts w:ascii="Times New Roman" w:hAnsi="Times New Roman"/>
          <w:sz w:val="32"/>
          <w:szCs w:val="32"/>
        </w:rPr>
      </w:pPr>
      <w:r>
        <w:rPr>
          <w:rFonts w:ascii="Times New Roman" w:hAnsi="Times New Roman"/>
          <w:b/>
          <w:bCs/>
          <w:sz w:val="32"/>
          <w:szCs w:val="32"/>
        </w:rPr>
        <w:t>加大货物运输结构调整力度</w:t>
      </w:r>
      <w:r>
        <w:rPr>
          <w:rFonts w:ascii="Times New Roman" w:hAnsi="Times New Roman"/>
          <w:sz w:val="32"/>
          <w:szCs w:val="32"/>
        </w:rPr>
        <w:t>。继续推进“三纵六横”铁路网建设，提高主要物流通道干线铁路运输能力。推进铁路资源整合，加快老旧铁路改造，提升铁路货运水平，挖掘客货兼顾铁路的货运能力，加快推动大型工矿企业和物流园区新建或改扩建铁路专用线。煤炭、矿石、钢材、石油、建材、焦炭等大宗货物中长途运输推广使用铁路、水路或管道方式；依托“电动福建”建设，中短途、城市货物运输优先采用新能源车辆。</w:t>
      </w:r>
    </w:p>
    <w:p>
      <w:pPr>
        <w:rPr>
          <w:rFonts w:ascii="Times New Roman" w:hAnsi="Times New Roman"/>
          <w:sz w:val="32"/>
          <w:szCs w:val="32"/>
        </w:rPr>
      </w:pPr>
      <w:r>
        <w:rPr>
          <w:rFonts w:ascii="Times New Roman" w:hAnsi="Times New Roman"/>
          <w:b/>
          <w:sz w:val="32"/>
          <w:szCs w:val="32"/>
        </w:rPr>
        <w:t>做大做强海铁联运。</w:t>
      </w:r>
      <w:r>
        <w:rPr>
          <w:rFonts w:ascii="Times New Roman" w:hAnsi="Times New Roman"/>
          <w:sz w:val="32"/>
          <w:szCs w:val="32"/>
        </w:rPr>
        <w:t>持续推进“丝路海运”建设，构建高效畅通的国际货运大通道，促进物流贸易提速增效、节能降碳。加快建设厦门港口型国家物流枢纽，积极推动智慧港区建设。不断健全福州港、厦门港、泉州港、湄洲湾港等沿海港口集疏运系统，积极引导公共码头充分发挥港口深水中转优势，大力发展大宗散货海铁联运，提高大宗散货铁路运输占比，保持沿海港口海铁联运量稳步提升。</w:t>
      </w:r>
    </w:p>
    <w:p>
      <w:pPr>
        <w:rPr>
          <w:rFonts w:ascii="Times New Roman" w:hAnsi="Times New Roman"/>
          <w:sz w:val="32"/>
          <w:szCs w:val="32"/>
        </w:rPr>
      </w:pPr>
      <w:r>
        <w:rPr>
          <w:rFonts w:ascii="Times New Roman" w:hAnsi="Times New Roman"/>
          <w:b/>
          <w:sz w:val="32"/>
          <w:szCs w:val="32"/>
        </w:rPr>
        <w:t>开展多式联运提速行动。</w:t>
      </w:r>
      <w:r>
        <w:rPr>
          <w:rFonts w:ascii="Times New Roman" w:hAnsi="Times New Roman"/>
          <w:sz w:val="32"/>
          <w:szCs w:val="32"/>
        </w:rPr>
        <w:t>依托铁路物流基地、公路港、沿海和内河港口等，推进多式联运型和干支衔接型货运枢纽（物流园区）建设，加快推广集装箱多式联运。完善城市绿色物流体系，推进闽江内河航运开发，加快形成以闽江干流高等级航道为骨架的江海联运体系。鼓励发展江海联运、江海直达、滚装运输、甩挂运输等运输组织方式，加快各地综合货运枢纽建设，积极推广多式联运和城市绿色货运配送发展新举措、新经验。</w:t>
      </w:r>
    </w:p>
    <w:p>
      <w:pPr>
        <w:pStyle w:val="402"/>
        <w:overflowPunct w:val="0"/>
        <w:spacing w:beforeLines="0" w:before="468" w:afterLines="0" w:after="468"/>
        <w:rPr>
          <w:rFonts w:ascii="Times New Roman" w:cs="Times New Roman" w:hAnsi="Times New Roman"/>
          <w:bCs/>
        </w:rPr>
      </w:pPr>
      <w:bookmarkStart w:id="52" w:name="_Toc89691254"/>
      <w:r>
        <w:rPr>
          <w:rFonts w:ascii="Times New Roman" w:cs="Times New Roman" w:hAnsi="Times New Roman"/>
          <w:bCs/>
        </w:rPr>
        <w:t>第二节 加快促进车船结构升级优化</w:t>
      </w:r>
      <w:bookmarkEnd w:id="52"/>
    </w:p>
    <w:p>
      <w:pPr>
        <w:rPr>
          <w:rFonts w:ascii="仿宋_GB2312"/>
          <w:sz w:val="32"/>
          <w:szCs w:val="32"/>
        </w:rPr>
      </w:pPr>
      <w:r>
        <w:rPr>
          <w:rFonts w:ascii="仿宋_GB2312" w:hint="eastAsia"/>
          <w:b/>
          <w:bCs/>
          <w:sz w:val="32"/>
          <w:szCs w:val="32"/>
        </w:rPr>
        <w:t>推进交通运输绿色发展。</w:t>
      </w:r>
      <w:r>
        <w:rPr>
          <w:rFonts w:ascii="仿宋_GB2312" w:hint="eastAsia"/>
          <w:sz w:val="32"/>
          <w:szCs w:val="32"/>
        </w:rPr>
        <w:t>全面实施轻型车和重型车国6b排放标准，全面实施非道路移动柴油机械第四阶段、船舶第二阶段排放标准。</w:t>
      </w:r>
      <w:bookmarkStart w:id="53" w:name="_Hlk90415611"/>
      <w:r>
        <w:rPr>
          <w:rFonts w:ascii="仿宋_GB2312" w:hint="eastAsia"/>
          <w:sz w:val="32"/>
          <w:szCs w:val="32"/>
        </w:rPr>
        <w:t>大力推进老旧机动车提前淘汰更新，</w:t>
      </w:r>
      <w:r>
        <w:rPr>
          <w:rFonts w:ascii="仿宋_GB2312"/>
          <w:sz w:val="32"/>
          <w:szCs w:val="32"/>
        </w:rPr>
        <w:t>力争</w:t>
      </w:r>
      <w:r>
        <w:rPr>
          <w:rFonts w:ascii="仿宋_GB2312" w:hint="eastAsia"/>
          <w:sz w:val="32"/>
          <w:szCs w:val="32"/>
        </w:rPr>
        <w:t>基本淘汰国三及以下排放标准汽车。</w:t>
      </w:r>
      <w:bookmarkStart w:id="54" w:name="_Hlk90415812"/>
      <w:bookmarkEnd w:id="53"/>
      <w:r>
        <w:rPr>
          <w:rFonts w:ascii="仿宋_GB2312" w:hint="eastAsia"/>
          <w:sz w:val="32"/>
          <w:szCs w:val="32"/>
        </w:rPr>
        <w:t>严格执行船舶强制报废制度，加快淘汰高污染、高耗能的客船和老旧运输船舶，限期淘汰不能达到污染物排放标准的船舶，鼓励节能环保船舶建造和船舶污染物处理设备改造，推动不具备油气回收条件的运输船舶</w:t>
      </w:r>
      <w:r>
        <w:rPr>
          <w:rFonts w:ascii="仿宋_GB2312"/>
          <w:sz w:val="32"/>
          <w:szCs w:val="32"/>
        </w:rPr>
        <w:t>进行改造</w:t>
      </w:r>
      <w:r>
        <w:rPr>
          <w:rFonts w:ascii="仿宋_GB2312" w:hint="eastAsia"/>
          <w:sz w:val="32"/>
          <w:szCs w:val="32"/>
        </w:rPr>
        <w:t>，鼓励20年以上的老旧内河航运船舶提前淘汰。</w:t>
      </w:r>
    </w:p>
    <w:p>
      <w:pPr>
        <w:pStyle w:val="402"/>
        <w:overflowPunct w:val="0"/>
        <w:spacing w:beforeLines="0" w:before="468" w:afterLines="0" w:after="468"/>
        <w:rPr>
          <w:rFonts w:ascii="Times New Roman" w:cs="Times New Roman" w:hAnsi="Times New Roman"/>
          <w:bCs/>
        </w:rPr>
      </w:pPr>
      <w:bookmarkStart w:id="55" w:name="_Toc89691255"/>
      <w:bookmarkEnd w:id="54"/>
      <w:r>
        <w:rPr>
          <w:rFonts w:ascii="Times New Roman" w:cs="Times New Roman" w:hAnsi="Times New Roman"/>
          <w:bCs/>
        </w:rPr>
        <w:t>第三节 大力推广新能源车船</w:t>
      </w:r>
      <w:bookmarkEnd w:id="55"/>
    </w:p>
    <w:p>
      <w:pPr>
        <w:rPr>
          <w:rFonts w:ascii="Times New Roman" w:hAnsi="Times New Roman"/>
          <w:sz w:val="32"/>
          <w:szCs w:val="32"/>
        </w:rPr>
      </w:pPr>
      <w:r>
        <w:rPr>
          <w:rFonts w:ascii="仿宋_GB2312" w:hint="eastAsia"/>
          <w:sz w:val="32"/>
          <w:szCs w:val="32"/>
        </w:rPr>
        <w:t>推动新能源汽车发展，2025年力争</w:t>
      </w:r>
      <w:r>
        <w:rPr>
          <w:rFonts w:ascii="仿宋_GB2312"/>
          <w:sz w:val="32"/>
          <w:szCs w:val="32"/>
        </w:rPr>
        <w:t>新能源汽车新车销售量达到汽车新车销售总量的20%左右</w:t>
      </w:r>
      <w:r>
        <w:rPr>
          <w:rFonts w:ascii="仿宋_GB2312" w:hint="eastAsia"/>
          <w:sz w:val="32"/>
          <w:szCs w:val="32"/>
        </w:rPr>
        <w:t>。全</w:t>
      </w:r>
      <w:r>
        <w:rPr>
          <w:rFonts w:ascii="Times New Roman" w:hAnsi="Times New Roman"/>
          <w:sz w:val="32"/>
          <w:szCs w:val="32"/>
        </w:rPr>
        <w:t>省新增和更新的公交车全部采用新能源汽车；适宜应用新能源汽车的公路客运线路新增和更新车辆全部采用新能源汽车；全省新增和更新的城市巡游出租车、网约出租车原则上全部采用新能源汽车；中心城区新增和更新的环卫、邮政物流车原则上全部采用新能源汽车。新增或更新的公务用车，除特殊情况外全部采用新能源汽车，鼓励租用新能源车。除消防、救护等应急保障外，港口、机场、铁路货场、物流园区等新增或更新的场内作业车辆和机械基本实现新能源化。加快充电设施建设，骨干高速公路服务区快充站实现全覆盖。加快船舶受电装置改造，加快港口码头和机场岸电设施建设，提高港口码头和机场岸电设施使用率。</w:t>
        <w:br w:type="page"/>
      </w:r>
    </w:p>
    <w:p>
      <w:pPr>
        <w:pStyle w:val="26"/>
        <w:adjustRightInd w:val="0"/>
        <w:snapToGrid w:val="0"/>
        <w:spacing w:after="0" w:line="360" w:lineRule="auto"/>
        <w:ind w:leftChars="0" w:left="0"/>
        <w:jc w:val="center"/>
        <w:rPr>
          <w:rFonts w:ascii="Times New Roman" w:eastAsia="楷体_GB2312" w:hAnsi="Times New Roman"/>
          <w:b/>
          <w:bCs/>
          <w:spacing w:val="11"/>
          <w:kern w:val="0"/>
          <w:sz w:val="32"/>
          <w:szCs w:val="32"/>
        </w:rPr>
      </w:pPr>
      <w:bookmarkEnd w:id="51"/>
      <w:r>
        <w:rPr>
          <w:rFonts w:ascii="Times New Roman" w:eastAsia="楷体_GB2312" w:hAnsi="Times New Roman"/>
          <w:b/>
          <w:bCs/>
          <w:spacing w:val="11"/>
          <w:kern w:val="0"/>
          <w:sz w:val="32"/>
          <w:szCs w:val="32"/>
        </w:rPr>
        <w:t>专栏三：绿色交通工程</w:t>
      </w:r>
    </w:p>
    <w:tbl>
      <w:tblPr>
        <w:jc w:val="center"/>
        <w:tblW w:w="8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8761"/>
      </w:tblGrid>
      <w:tr>
        <w:tc>
          <w:tcPr>
            <w:tcW w:w="8761" w:type="dxa"/>
          </w:tcPr>
          <w:p>
            <w:pPr>
              <w:spacing w:line="460" w:lineRule="exact"/>
              <w:rPr>
                <w:rFonts w:ascii="Times New Roman" w:hAnsi="Times New Roman"/>
                <w:sz w:val="28"/>
                <w:szCs w:val="28"/>
              </w:rPr>
            </w:pPr>
            <w:bookmarkStart w:id="56" w:name="_Hlk86623556"/>
            <w:r>
              <w:rPr>
                <w:rFonts w:ascii="Times New Roman" w:hAnsi="Times New Roman"/>
                <w:b/>
                <w:bCs/>
                <w:sz w:val="28"/>
                <w:szCs w:val="28"/>
              </w:rPr>
              <w:t>（一）货物运输“公转铁”提升工程。</w:t>
            </w:r>
            <w:r>
              <w:rPr>
                <w:rFonts w:ascii="Times New Roman" w:hAnsi="Times New Roman"/>
                <w:sz w:val="28"/>
                <w:szCs w:val="28"/>
              </w:rPr>
              <w:t>加快规划布局建设和完善厦门前场、福州杜坞、泉州黄塘、三明永安等铁路物流枢纽。推动长乐区松下港铁路专用线、宁德漳湾铁路专用线建设，推进环湄洲湾、环罗源湾、古雷石化园区等重点工业企业（园区）货物运输“公转铁”“公转水”。</w:t>
            </w:r>
          </w:p>
          <w:p>
            <w:pPr>
              <w:spacing w:line="460" w:lineRule="exact"/>
              <w:rPr>
                <w:rFonts w:ascii="Times New Roman" w:hAnsi="Times New Roman"/>
                <w:sz w:val="28"/>
                <w:szCs w:val="28"/>
              </w:rPr>
            </w:pPr>
            <w:r>
              <w:rPr>
                <w:rFonts w:ascii="Times New Roman" w:hAnsi="Times New Roman"/>
                <w:b/>
                <w:bCs/>
                <w:sz w:val="28"/>
                <w:szCs w:val="28"/>
              </w:rPr>
              <w:t>（二）车船结构升级工程。</w:t>
            </w:r>
            <w:r>
              <w:rPr>
                <w:rFonts w:ascii="Times New Roman" w:hAnsi="Times New Roman"/>
                <w:bCs/>
                <w:sz w:val="28"/>
                <w:szCs w:val="28"/>
              </w:rPr>
              <w:t>力争</w:t>
            </w:r>
            <w:r>
              <w:rPr>
                <w:rFonts w:ascii="Times New Roman" w:hAnsi="Times New Roman"/>
                <w:sz w:val="28"/>
                <w:szCs w:val="28"/>
              </w:rPr>
              <w:t>基本淘汰国三及以下排放标准的汽车。</w:t>
            </w:r>
          </w:p>
          <w:p>
            <w:pPr>
              <w:spacing w:line="460" w:lineRule="exact"/>
              <w:rPr>
                <w:rFonts w:ascii="Times New Roman" w:hAnsi="Times New Roman"/>
                <w:sz w:val="28"/>
                <w:szCs w:val="28"/>
              </w:rPr>
            </w:pPr>
            <w:bookmarkStart w:id="57" w:name="_Hlk86623569"/>
            <w:bookmarkEnd w:id="56"/>
            <w:r>
              <w:rPr>
                <w:rFonts w:ascii="Times New Roman" w:hAnsi="Times New Roman"/>
                <w:b/>
                <w:bCs/>
                <w:sz w:val="28"/>
                <w:szCs w:val="28"/>
              </w:rPr>
              <w:t>（三）新能源汽车推广工程。</w:t>
            </w:r>
            <w:r>
              <w:rPr>
                <w:rFonts w:ascii="Times New Roman" w:hAnsi="Times New Roman"/>
                <w:szCs w:val="30"/>
              </w:rPr>
              <w:t>全省新增和更新的公交车全部采用新能源汽车</w:t>
            </w:r>
            <w:r>
              <w:rPr>
                <w:rFonts w:ascii="Times New Roman" w:hAnsi="Times New Roman"/>
                <w:sz w:val="28"/>
                <w:szCs w:val="28"/>
              </w:rPr>
              <w:t>，出租车、网约车、城市物流车、环卫、公务车等推广使用新能源汽车。</w:t>
            </w:r>
            <w:bookmarkEnd w:id="57"/>
          </w:p>
        </w:tc>
      </w:tr>
    </w:tbl>
    <w:p>
      <w:pPr>
        <w:pStyle w:val="1"/>
        <w:keepNext w:val="0"/>
        <w:keepLines w:val="0"/>
        <w:widowControl w:val="0"/>
        <w:rPr>
          <w:rFonts w:ascii="Times New Roman" w:cs="Times New Roman" w:hAnsi="Times New Roman"/>
          <w:kern w:val="2"/>
          <w:sz w:val="30"/>
          <w:szCs w:val="30"/>
        </w:rPr>
      </w:pPr>
      <w:bookmarkStart w:id="58" w:name="_Toc591"/>
      <w:bookmarkStart w:id="59" w:name="_Toc62577578"/>
      <w:bookmarkStart w:id="60" w:name="_Toc19898"/>
      <w:bookmarkStart w:id="61" w:name="_Toc5972"/>
      <w:r>
        <w:rPr>
          <w:rFonts w:ascii="Times New Roman" w:cs="Times New Roman" w:hAnsi="Times New Roman"/>
          <w:kern w:val="2"/>
          <w:sz w:val="30"/>
          <w:szCs w:val="30"/>
        </w:rPr>
        <w:br w:type="page"/>
      </w:r>
    </w:p>
    <w:p>
      <w:pPr>
        <w:pStyle w:val="400"/>
        <w:widowControl w:val="0"/>
        <w:overflowPunct w:val="0"/>
        <w:adjustRightInd w:val="0"/>
        <w:snapToGrid w:val="0"/>
        <w:spacing w:beforeLines="0" w:before="200" w:afterLines="0" w:after="200"/>
        <w:jc w:val="center"/>
        <w:rPr>
          <w:rFonts w:ascii="Times New Roman" w:hAnsi="Times New Roman"/>
          <w:bCs w:val="0"/>
          <w:szCs w:val="28"/>
        </w:rPr>
      </w:pPr>
      <w:bookmarkStart w:id="62" w:name="_Toc89691256"/>
      <w:r>
        <w:rPr>
          <w:rFonts w:ascii="Times New Roman" w:hAnsi="Times New Roman"/>
          <w:bCs w:val="0"/>
          <w:szCs w:val="28"/>
        </w:rPr>
        <w:t>第六章 强化</w:t>
      </w:r>
      <w:r>
        <w:rPr>
          <w:rFonts w:ascii="黑体"/>
          <w:bCs w:val="0"/>
          <w:szCs w:val="28"/>
        </w:rPr>
        <w:t>VOC</w:t>
      </w:r>
      <w:r>
        <w:rPr>
          <w:rFonts w:ascii="黑体"/>
          <w:bCs w:val="0"/>
          <w:szCs w:val="28"/>
          <w:vertAlign w:val="subscript"/>
        </w:rPr>
        <w:t>s</w:t>
      </w:r>
      <w:r>
        <w:rPr>
          <w:rFonts w:ascii="黑体"/>
          <w:bCs w:val="0"/>
          <w:szCs w:val="28"/>
        </w:rPr>
        <w:t>和NO</w:t>
      </w:r>
      <w:r>
        <w:rPr>
          <w:rFonts w:ascii="黑体"/>
          <w:bCs w:val="0"/>
          <w:szCs w:val="28"/>
          <w:vertAlign w:val="subscript"/>
        </w:rPr>
        <w:t>x</w:t>
      </w:r>
      <w:bookmarkEnd w:id="58"/>
      <w:bookmarkEnd w:id="59"/>
      <w:bookmarkEnd w:id="60"/>
      <w:bookmarkEnd w:id="61"/>
      <w:r>
        <w:rPr>
          <w:rFonts w:ascii="黑体"/>
          <w:bCs w:val="0"/>
          <w:szCs w:val="28"/>
        </w:rPr>
        <w:t>减排，推进PM</w:t>
      </w:r>
      <w:r>
        <w:rPr>
          <w:rFonts w:ascii="黑体"/>
          <w:bCs w:val="0"/>
          <w:szCs w:val="28"/>
          <w:vertAlign w:val="subscript"/>
        </w:rPr>
        <w:t>2.5</w:t>
      </w:r>
      <w:r>
        <w:rPr>
          <w:rFonts w:ascii="黑体"/>
          <w:bCs w:val="0"/>
          <w:szCs w:val="28"/>
        </w:rPr>
        <w:t>与O</w:t>
      </w:r>
      <w:r>
        <w:rPr>
          <w:rFonts w:ascii="黑体"/>
          <w:bCs w:val="0"/>
          <w:szCs w:val="28"/>
          <w:vertAlign w:val="subscript"/>
        </w:rPr>
        <w:t>3</w:t>
      </w:r>
      <w:r>
        <w:rPr>
          <w:rFonts w:ascii="黑体"/>
          <w:bCs w:val="0"/>
          <w:szCs w:val="28"/>
        </w:rPr>
        <w:t>协</w:t>
      </w:r>
      <w:r>
        <w:rPr>
          <w:rFonts w:ascii="Times New Roman" w:hAnsi="Times New Roman"/>
          <w:bCs w:val="0"/>
          <w:szCs w:val="28"/>
        </w:rPr>
        <w:t>同控制</w:t>
      </w:r>
      <w:bookmarkEnd w:id="62"/>
    </w:p>
    <w:p>
      <w:pPr>
        <w:pStyle w:val="402"/>
        <w:overflowPunct w:val="0"/>
        <w:spacing w:beforeLines="0" w:before="468" w:afterLines="0" w:after="468"/>
        <w:rPr>
          <w:rFonts w:ascii="Times New Roman" w:cs="Times New Roman" w:hAnsi="Times New Roman"/>
          <w:bCs/>
        </w:rPr>
      </w:pPr>
      <w:bookmarkStart w:id="63" w:name="_Toc23267"/>
      <w:bookmarkStart w:id="64" w:name="_Toc62577566"/>
      <w:bookmarkStart w:id="65" w:name="_Toc21836"/>
      <w:bookmarkStart w:id="66" w:name="_Toc103"/>
      <w:bookmarkStart w:id="67" w:name="_Toc89691257"/>
      <w:bookmarkStart w:id="68" w:name="_Hlk76413843"/>
      <w:bookmarkStart w:id="69" w:name="_Toc62577579"/>
      <w:bookmarkStart w:id="70" w:name="_Toc18332"/>
      <w:bookmarkStart w:id="71" w:name="_Toc22937"/>
      <w:bookmarkStart w:id="72" w:name="_Toc11937"/>
      <w:r>
        <w:rPr>
          <w:rFonts w:ascii="Times New Roman" w:cs="Times New Roman" w:hAnsi="Times New Roman"/>
          <w:bCs/>
        </w:rPr>
        <w:t>第一节 积极推进低</w:t>
      </w:r>
      <w:r>
        <w:rPr>
          <w:rFonts w:ascii="楷体_GB2312" w:cs="Times New Roman" w:hint="eastAsia"/>
          <w:bCs/>
        </w:rPr>
        <w:t>VOC</w:t>
      </w:r>
      <w:r>
        <w:rPr>
          <w:rFonts w:ascii="楷体_GB2312" w:cs="Times New Roman" w:hint="eastAsia"/>
          <w:bCs/>
          <w:vertAlign w:val="subscript"/>
        </w:rPr>
        <w:t>s</w:t>
      </w:r>
      <w:r>
        <w:rPr>
          <w:rFonts w:ascii="Times New Roman" w:cs="Times New Roman" w:hAnsi="Times New Roman"/>
          <w:bCs/>
        </w:rPr>
        <w:t>含量原辅材料和产品源头替代</w:t>
      </w:r>
      <w:bookmarkEnd w:id="63"/>
      <w:bookmarkEnd w:id="64"/>
      <w:bookmarkEnd w:id="65"/>
      <w:bookmarkEnd w:id="66"/>
      <w:bookmarkEnd w:id="67"/>
    </w:p>
    <w:p>
      <w:pPr>
        <w:rPr>
          <w:rFonts w:ascii="仿宋_GB2312"/>
          <w:sz w:val="32"/>
          <w:szCs w:val="32"/>
        </w:rPr>
      </w:pPr>
      <w:r>
        <w:rPr>
          <w:rFonts w:ascii="仿宋_GB2312" w:hint="eastAsia"/>
          <w:sz w:val="32"/>
          <w:szCs w:val="32"/>
        </w:rPr>
        <w:t>推广使用水性、高固体分、无溶剂、粉末等低VOCs含量涂料，到2025年底前，汽车整车制造底漆、中涂、色漆，汽车修理底色漆、本色面漆，以及室外构筑物防护和道路交通标志全部使用低VOCs含量涂料；木质家具制造、汽车零部件、工程机械使用比例达到50%以上；船舶制造、钢结构制造使用比例达到30%以上。严格执行涂料、油墨、胶粘剂、清洗剂VOCs含量限值标准，加大抽检力度，确保生产、销售、进口、使用符合标准的产品。</w:t>
      </w:r>
    </w:p>
    <w:p>
      <w:pPr>
        <w:rPr>
          <w:rFonts w:ascii="仿宋_GB2312"/>
          <w:sz w:val="32"/>
          <w:szCs w:val="32"/>
        </w:rPr>
      </w:pPr>
      <w:r>
        <w:rPr>
          <w:rFonts w:ascii="仿宋_GB2312" w:hint="eastAsia"/>
          <w:bCs/>
          <w:sz w:val="32"/>
          <w:szCs w:val="32"/>
        </w:rPr>
        <w:t>严格涉VOCs建设项目环境影响评价，VOCs排放实行区域内等量替代，福州、厦门、漳州、泉州、莆田、宁德实施</w:t>
      </w:r>
      <w:r>
        <w:rPr>
          <w:rFonts w:ascii="仿宋_GB2312" w:hint="eastAsia"/>
          <w:sz w:val="32"/>
          <w:szCs w:val="32"/>
        </w:rPr>
        <w:t>VOCs</w:t>
      </w:r>
      <w:r>
        <w:rPr>
          <w:rFonts w:ascii="仿宋_GB2312" w:hint="eastAsia"/>
          <w:bCs/>
          <w:sz w:val="32"/>
          <w:szCs w:val="32"/>
        </w:rPr>
        <w:t>倍量替代</w:t>
      </w:r>
      <w:r>
        <w:rPr>
          <w:rFonts w:ascii="仿宋_GB2312" w:hint="eastAsia"/>
          <w:sz w:val="32"/>
          <w:szCs w:val="32"/>
        </w:rPr>
        <w:t>。</w:t>
      </w:r>
      <w:r>
        <w:rPr>
          <w:rFonts w:ascii="仿宋_GB2312"/>
          <w:sz w:val="32"/>
          <w:szCs w:val="32"/>
        </w:rPr>
        <w:t>探索</w:t>
      </w:r>
      <w:r>
        <w:rPr>
          <w:rFonts w:ascii="仿宋_GB2312" w:hint="eastAsia"/>
          <w:bCs/>
          <w:sz w:val="32"/>
          <w:szCs w:val="32"/>
        </w:rPr>
        <w:t>建立低VOCs原辅材料源头替代绩效等级企业清单名录，</w:t>
      </w:r>
      <w:r>
        <w:rPr>
          <w:rFonts w:ascii="仿宋_GB2312" w:hint="eastAsia"/>
          <w:sz w:val="32"/>
          <w:szCs w:val="32"/>
        </w:rPr>
        <w:t>将标杆企业纳入监督执法正面清单；对生产、使用低VOCs含量产品的企业，优先推荐参评绿色工厂、绿色产品及申请绿色融资。将低VOCs含量产品与使用低VOCs含量原辅材料的产品纳入政府采购名录，并在政府投资项目中优先使用。</w:t>
      </w:r>
    </w:p>
    <w:p>
      <w:pPr>
        <w:pStyle w:val="402"/>
        <w:overflowPunct w:val="0"/>
        <w:spacing w:beforeLines="0" w:before="468" w:afterLines="0" w:after="468"/>
        <w:rPr>
          <w:rFonts w:ascii="Times New Roman" w:cs="Times New Roman" w:hAnsi="Times New Roman"/>
          <w:bCs/>
        </w:rPr>
      </w:pPr>
      <w:bookmarkStart w:id="73" w:name="_Toc89691258"/>
      <w:r>
        <w:rPr>
          <w:rFonts w:ascii="Times New Roman" w:cs="Times New Roman" w:hAnsi="Times New Roman"/>
          <w:bCs/>
        </w:rPr>
        <w:t>第二节 深化涉</w:t>
      </w:r>
      <w:r>
        <w:rPr>
          <w:rFonts w:ascii="楷体_GB2312" w:cs="Times New Roman" w:hint="eastAsia"/>
          <w:bCs/>
        </w:rPr>
        <w:t>VOCs</w:t>
      </w:r>
      <w:r>
        <w:rPr>
          <w:rFonts w:ascii="Times New Roman" w:cs="Times New Roman" w:hAnsi="Times New Roman"/>
          <w:bCs/>
        </w:rPr>
        <w:t>重点行业整治</w:t>
      </w:r>
      <w:bookmarkEnd w:id="73"/>
    </w:p>
    <w:p>
      <w:pPr>
        <w:rPr>
          <w:rFonts w:ascii="仿宋_GB2312"/>
          <w:sz w:val="32"/>
          <w:szCs w:val="32"/>
        </w:rPr>
      </w:pPr>
      <w:r>
        <w:rPr>
          <w:rFonts w:ascii="仿宋_GB2312" w:hint="eastAsia"/>
          <w:b/>
          <w:bCs/>
          <w:sz w:val="32"/>
          <w:szCs w:val="32"/>
        </w:rPr>
        <w:t>开展重点行业VOCs2.0治理。</w:t>
      </w:r>
      <w:r>
        <w:rPr>
          <w:rFonts w:ascii="仿宋_GB2312" w:hint="eastAsia"/>
          <w:sz w:val="32"/>
          <w:szCs w:val="32"/>
        </w:rPr>
        <w:t>以石化、化工、工业涂装、包装印刷、制鞋、橡胶和塑料制品、油品储运销等为重点，制定行业治理任务对照表。涉及企业要“照表施治”，列入VOCs重点治理名单内的企业要开展自查、详查，编制挥发性有机物综合治理“一厂一策”（2.0），适时开展治理效果后评估工作。各级生态环境部门要对企业“一厂一策”（2.0）开展技术帮扶指导，确保企业治理措施的科学性、针对性和有效性。针对VOCs治理突出问题开展对标排查，探索涉VOCs企业分级管控和绩效评估，推动企业</w:t>
      </w:r>
      <w:r>
        <w:rPr>
          <w:rFonts w:ascii="仿宋_GB2312" w:hint="eastAsia"/>
          <w:sz w:val="28"/>
          <w:szCs w:val="28"/>
        </w:rPr>
        <w:t>“</w:t>
      </w:r>
      <w:r>
        <w:rPr>
          <w:rFonts w:ascii="仿宋_GB2312" w:hint="eastAsia"/>
          <w:sz w:val="32"/>
          <w:szCs w:val="32"/>
        </w:rPr>
        <w:t>梯度治理</w:t>
      </w:r>
      <w:r>
        <w:rPr>
          <w:rFonts w:ascii="仿宋_GB2312" w:hint="eastAsia"/>
          <w:sz w:val="28"/>
          <w:szCs w:val="28"/>
        </w:rPr>
        <w:t>”</w:t>
      </w:r>
      <w:r>
        <w:rPr>
          <w:rFonts w:ascii="仿宋_GB2312" w:hint="eastAsia"/>
          <w:sz w:val="32"/>
          <w:szCs w:val="32"/>
        </w:rPr>
        <w:t>，实现科学减排，到2025年，全面完成国家下达的VOCs减排任务。</w:t>
      </w:r>
    </w:p>
    <w:p>
      <w:pPr>
        <w:rPr>
          <w:rFonts w:ascii="仿宋_GB2312"/>
          <w:sz w:val="32"/>
          <w:szCs w:val="32"/>
        </w:rPr>
      </w:pPr>
      <w:r>
        <w:rPr>
          <w:rFonts w:ascii="仿宋_GB2312" w:hint="eastAsia"/>
          <w:b/>
          <w:bCs/>
          <w:sz w:val="32"/>
          <w:szCs w:val="32"/>
        </w:rPr>
        <w:t>开展无组织排放整治。</w:t>
      </w:r>
      <w:r>
        <w:rPr>
          <w:rFonts w:ascii="仿宋_GB2312" w:hint="eastAsia"/>
          <w:sz w:val="32"/>
          <w:szCs w:val="32"/>
        </w:rPr>
        <w:t>加强石油炼制、合成树脂、制药、涂料等行业储罐的无组织排放控制，加大含VOCs物料储存和装卸的治理力度。储罐按照无组织排放控制标准及相关行业排放标准要求，进行罐型和浮盘边缘密封方式选型。鼓励使用低泄漏的储罐呼吸阀、紧急泄压阀，定期开展储罐部件密封性检测，规范泄漏检测与修复(LDAR)。对装载汽油、煤油等高挥发性化工产品的汽车罐车，推广使用自封式快速接头。含有机废水系统中集水井（池）、均质罐等排放的高浓度废气要单独收集处理，采用燃烧等高效治理技术。</w:t>
      </w:r>
    </w:p>
    <w:p>
      <w:pPr>
        <w:rPr>
          <w:rFonts w:ascii="仿宋_GB2312"/>
          <w:sz w:val="32"/>
          <w:szCs w:val="32"/>
        </w:rPr>
      </w:pPr>
      <w:r>
        <w:rPr>
          <w:rFonts w:ascii="仿宋_GB2312" w:hint="eastAsia"/>
          <w:b/>
          <w:bCs/>
          <w:sz w:val="32"/>
          <w:szCs w:val="32"/>
        </w:rPr>
        <w:t>深化VOCs末端治理。</w:t>
      </w:r>
      <w:r>
        <w:rPr>
          <w:rFonts w:ascii="仿宋_GB2312" w:hint="eastAsia"/>
          <w:sz w:val="32"/>
          <w:szCs w:val="32"/>
        </w:rPr>
        <w:t>按照“应收尽收、分质收集”原则，将无组织排放转变为有组织排放，进行集中处理，选择适宜高效治理技术，对治理难度大、单一治理工艺难以稳定达标的，要采用多种技术的组合工艺，重点行业末端治理一般不使用等离子、光催化氧化等单级治理技术，全面提升治理设施“三率”，加强运行维护管理，治理设施较生产设备要做到“先启后停”。全面排查清理涉VOCs排放废气旁路，因安全生产等原因必须保留的要加强监管监控。</w:t>
      </w:r>
    </w:p>
    <w:p>
      <w:pPr>
        <w:rPr>
          <w:rFonts w:ascii="仿宋_GB2312"/>
          <w:sz w:val="32"/>
          <w:szCs w:val="32"/>
        </w:rPr>
      </w:pPr>
      <w:r>
        <w:rPr>
          <w:rFonts w:ascii="仿宋_GB2312" w:hint="eastAsia"/>
          <w:b/>
          <w:bCs/>
          <w:sz w:val="32"/>
          <w:szCs w:val="32"/>
        </w:rPr>
        <w:t>加强非正常工况废气排放控制。</w:t>
      </w:r>
      <w:r>
        <w:rPr>
          <w:rFonts w:ascii="仿宋_GB2312" w:hint="eastAsia"/>
          <w:sz w:val="32"/>
          <w:szCs w:val="32"/>
        </w:rPr>
        <w:t>企业开停工、检维修期间，按照规范及时收集处理退料、清洗、吹扫等作业产生的VOCs废气。石化、化工企业应制定并严格执行非正常工况VOCs管控规程，不得将火炬燃烧装置作为日常大气污染处理设施，火炬系统要安装温度监控、废气流量计、助燃气体流量计等，鼓励安装热值检测仪。</w:t>
      </w:r>
    </w:p>
    <w:p>
      <w:pPr>
        <w:rPr>
          <w:rFonts w:ascii="仿宋_GB2312"/>
          <w:sz w:val="32"/>
          <w:szCs w:val="32"/>
        </w:rPr>
      </w:pPr>
      <w:r>
        <w:rPr>
          <w:rFonts w:ascii="仿宋_GB2312" w:hint="eastAsia"/>
          <w:b/>
          <w:sz w:val="32"/>
          <w:szCs w:val="32"/>
        </w:rPr>
        <w:t>实施季节性调控。</w:t>
      </w:r>
      <w:r>
        <w:rPr>
          <w:rFonts w:ascii="仿宋_GB2312" w:hint="eastAsia"/>
          <w:sz w:val="32"/>
          <w:szCs w:val="32"/>
        </w:rPr>
        <w:t>引导石化、化工、涂装等行业企业合理安排停检修计划，春、秋</w:t>
      </w:r>
      <w:r>
        <w:rPr>
          <w:rFonts w:ascii="仿宋_GB2312"/>
          <w:sz w:val="32"/>
          <w:szCs w:val="32"/>
        </w:rPr>
        <w:t>等</w:t>
      </w:r>
      <w:r>
        <w:rPr>
          <w:rFonts w:ascii="仿宋_GB2312" w:hint="eastAsia"/>
          <w:sz w:val="32"/>
          <w:szCs w:val="32"/>
        </w:rPr>
        <w:t>臭氧污染高发季节尽量不安排开停车、装置停工检修、储罐清洗和防腐防水防锈涂装等作业。合理安排大中型装修、外立面改造、道路市政设施防腐、道路划线、沥青铺设等市政工程，尽量错开臭氧污染高发季节施工。</w:t>
      </w:r>
    </w:p>
    <w:p>
      <w:pPr>
        <w:pStyle w:val="402"/>
        <w:overflowPunct w:val="0"/>
        <w:spacing w:beforeLines="0" w:before="624" w:afterLines="0" w:after="624"/>
        <w:rPr>
          <w:rFonts w:ascii="Times New Roman" w:cs="Times New Roman" w:hAnsi="Times New Roman"/>
          <w:bCs/>
        </w:rPr>
      </w:pPr>
      <w:bookmarkStart w:id="74" w:name="_Toc89691259"/>
      <w:r>
        <w:rPr>
          <w:rFonts w:ascii="Times New Roman" w:cs="Times New Roman" w:hAnsi="Times New Roman"/>
          <w:bCs/>
        </w:rPr>
        <w:t>第三节 推进重点行业污染深度治理</w:t>
      </w:r>
      <w:bookmarkEnd w:id="74"/>
    </w:p>
    <w:p>
      <w:pPr>
        <w:rPr>
          <w:rFonts w:ascii="仿宋_GB2312"/>
          <w:sz w:val="32"/>
          <w:szCs w:val="32"/>
        </w:rPr>
      </w:pPr>
      <w:r>
        <w:rPr>
          <w:rFonts w:ascii="仿宋_GB2312" w:hint="eastAsia"/>
          <w:b/>
          <w:bCs/>
          <w:sz w:val="32"/>
          <w:szCs w:val="32"/>
        </w:rPr>
        <w:t>持续推进钢铁、水泥及锅炉超低排放改造。</w:t>
      </w:r>
      <w:r>
        <w:rPr>
          <w:rFonts w:ascii="仿宋_GB2312" w:hint="eastAsia"/>
          <w:sz w:val="32"/>
          <w:szCs w:val="32"/>
        </w:rPr>
        <w:t>以福州、宁德、漳州、三明等地为重点，推动29家钢铁企业全面实施超低排放改造，2025年底前</w:t>
      </w:r>
      <w:r>
        <w:rPr>
          <w:rFonts w:ascii="仿宋_GB2312"/>
          <w:sz w:val="32"/>
          <w:szCs w:val="32"/>
        </w:rPr>
        <w:t>基本</w:t>
      </w:r>
      <w:r>
        <w:rPr>
          <w:rFonts w:ascii="仿宋_GB2312" w:hint="eastAsia"/>
          <w:sz w:val="32"/>
          <w:szCs w:val="32"/>
        </w:rPr>
        <w:t>完成并确保按照要求稳定运行。推进泉州、三明、龙岩等20条水泥熟料窑实施超低排放改造。实施65蒸吨及以上燃煤锅炉超低排放改造，推进35蒸吨/小时以上燃煤锅炉超低排放改造。生物质锅炉采用专用锅炉，配套布袋等高效除尘设施，禁止掺烧煤炭、垃圾、工业固体废弃物等其他物料，积极推进城市建成区生物质锅炉超低排放改造</w:t>
      </w:r>
      <w:r>
        <w:rPr>
          <w:rFonts w:ascii="仿宋_GB2312" w:hint="eastAsia"/>
          <w:b/>
          <w:bCs/>
          <w:sz w:val="32"/>
          <w:szCs w:val="32"/>
        </w:rPr>
        <w:t>。</w:t>
      </w:r>
    </w:p>
    <w:p>
      <w:pPr>
        <w:rPr>
          <w:rFonts w:ascii="仿宋_GB2312"/>
          <w:bCs/>
          <w:sz w:val="32"/>
          <w:szCs w:val="32"/>
        </w:rPr>
      </w:pPr>
      <w:r>
        <w:rPr>
          <w:rFonts w:ascii="仿宋_GB2312" w:hint="eastAsia"/>
          <w:b/>
          <w:sz w:val="32"/>
          <w:szCs w:val="32"/>
        </w:rPr>
        <w:t>推进重点行业提标改造。</w:t>
      </w:r>
      <w:r>
        <w:rPr>
          <w:rFonts w:ascii="仿宋_GB2312" w:hint="eastAsia"/>
          <w:sz w:val="32"/>
          <w:szCs w:val="32"/>
        </w:rPr>
        <w:t>推进建陶、</w:t>
      </w:r>
      <w:r>
        <w:rPr>
          <w:rFonts w:ascii="仿宋_GB2312" w:hint="eastAsia"/>
          <w:bCs/>
          <w:sz w:val="32"/>
          <w:szCs w:val="32"/>
        </w:rPr>
        <w:t>玻璃行业实施深度治理</w:t>
      </w:r>
      <w:r>
        <w:rPr>
          <w:rFonts w:ascii="仿宋_GB2312" w:hint="eastAsia"/>
          <w:sz w:val="32"/>
          <w:szCs w:val="32"/>
        </w:rPr>
        <w:t>，强化建陶炉窑、喷雾干燥塔、原料破碎、筛分、成型等工序污染物排放控制。推动平板玻璃、建陶等行业企业取消烟气旁路，因安全无法取消的，安装备用烟气净化设施及监控装置；</w:t>
      </w:r>
      <w:r>
        <w:rPr>
          <w:rFonts w:ascii="仿宋_GB2312" w:hint="eastAsia"/>
          <w:kern w:val="0"/>
          <w:sz w:val="32"/>
          <w:szCs w:val="32"/>
        </w:rPr>
        <w:t>生活垃圾焚烧根据最新排放标准实施提标改造，确保污染物稳定达标排放。</w:t>
      </w:r>
      <w:r>
        <w:rPr>
          <w:rFonts w:ascii="仿宋_GB2312" w:hint="eastAsia"/>
          <w:sz w:val="32"/>
          <w:szCs w:val="32"/>
        </w:rPr>
        <w:t>积极推进燃气锅炉实施低氮燃烧技术改造，</w:t>
      </w:r>
      <w:r>
        <w:rPr>
          <w:rFonts w:ascii="仿宋_GB2312" w:hint="eastAsia"/>
          <w:bCs/>
          <w:sz w:val="32"/>
          <w:szCs w:val="32"/>
        </w:rPr>
        <w:t>氮氧化物排放浓度不高于50毫克/立方米。</w:t>
      </w:r>
    </w:p>
    <w:p>
      <w:pPr>
        <w:pStyle w:val="402"/>
        <w:overflowPunct w:val="0"/>
        <w:spacing w:beforeLines="0" w:before="468" w:afterLines="0" w:after="468"/>
        <w:rPr>
          <w:rFonts w:ascii="Times New Roman" w:cs="Times New Roman" w:hAnsi="Times New Roman"/>
          <w:bCs/>
        </w:rPr>
      </w:pPr>
      <w:bookmarkStart w:id="75" w:name="_Toc89691260"/>
      <w:bookmarkEnd w:id="68"/>
      <w:r>
        <w:rPr>
          <w:rFonts w:ascii="Times New Roman" w:cs="Times New Roman" w:hAnsi="Times New Roman"/>
          <w:bCs/>
        </w:rPr>
        <w:t>第四节 强化移动源综合治理</w:t>
      </w:r>
      <w:bookmarkEnd w:id="75"/>
    </w:p>
    <w:p>
      <w:pPr>
        <w:rPr>
          <w:rFonts w:ascii="仿宋_GB2312"/>
          <w:bCs/>
          <w:snapToGrid w:val="0"/>
          <w:kern w:val="0"/>
          <w:sz w:val="32"/>
          <w:szCs w:val="32"/>
        </w:rPr>
      </w:pPr>
      <w:r>
        <w:rPr>
          <w:rFonts w:ascii="仿宋_GB2312" w:hint="eastAsia"/>
          <w:b/>
          <w:bCs/>
          <w:snapToGrid w:val="0"/>
          <w:kern w:val="0"/>
          <w:sz w:val="32"/>
          <w:szCs w:val="32"/>
        </w:rPr>
        <w:t>强化机动车环保达标监管。</w:t>
      </w:r>
      <w:r>
        <w:rPr>
          <w:rFonts w:ascii="仿宋_GB2312" w:hint="eastAsia"/>
          <w:snapToGrid w:val="0"/>
          <w:kern w:val="0"/>
          <w:sz w:val="32"/>
          <w:szCs w:val="32"/>
        </w:rPr>
        <w:t>加强</w:t>
      </w:r>
      <w:r>
        <w:rPr>
          <w:rFonts w:ascii="仿宋_GB2312" w:hint="eastAsia"/>
          <w:sz w:val="32"/>
          <w:szCs w:val="32"/>
        </w:rPr>
        <w:t>高排放机动车限制通行区</w:t>
      </w:r>
      <w:r>
        <w:rPr>
          <w:rFonts w:ascii="仿宋_GB2312"/>
          <w:sz w:val="32"/>
          <w:szCs w:val="32"/>
        </w:rPr>
        <w:t>日常</w:t>
      </w:r>
      <w:r>
        <w:rPr>
          <w:rFonts w:ascii="仿宋_GB2312" w:hint="eastAsia"/>
          <w:sz w:val="32"/>
          <w:szCs w:val="32"/>
        </w:rPr>
        <w:t>管理，推广机动车遥感监测，推动监测数据全面应用于执法处罚，建立健全生态环境部门取证、公安部门处罚机制，</w:t>
      </w:r>
      <w:r>
        <w:rPr>
          <w:rFonts w:ascii="仿宋_GB2312" w:hint="eastAsia"/>
          <w:bCs/>
          <w:snapToGrid w:val="0"/>
          <w:kern w:val="0"/>
          <w:sz w:val="32"/>
          <w:szCs w:val="32"/>
        </w:rPr>
        <w:t>充分利用机动车遥感监测系统对机动车尾气排放进行监管。</w:t>
      </w:r>
      <w:r>
        <w:rPr>
          <w:rFonts w:ascii="仿宋_GB2312" w:hint="eastAsia"/>
          <w:sz w:val="32"/>
          <w:szCs w:val="32"/>
        </w:rPr>
        <w:t>强化</w:t>
      </w:r>
      <w:r>
        <w:rPr>
          <w:rFonts w:ascii="仿宋_GB2312" w:hint="eastAsia"/>
          <w:bCs/>
          <w:snapToGrid w:val="0"/>
          <w:kern w:val="0"/>
          <w:sz w:val="32"/>
          <w:szCs w:val="32"/>
        </w:rPr>
        <w:t>本地生产的国六排放标准柴油货车监督抽查。实现超标排放信息跨区域、跨部门共享和执法联动。加大对柴油车集中使用和停放地的入户检查，重点核查随车清单、车载诊断系统（OBD）、污染控制装置、排放情况等。</w:t>
      </w:r>
    </w:p>
    <w:p>
      <w:pPr>
        <w:rPr>
          <w:rFonts w:ascii="仿宋_GB2312"/>
          <w:bCs/>
          <w:snapToGrid w:val="0"/>
          <w:kern w:val="0"/>
          <w:sz w:val="32"/>
          <w:szCs w:val="32"/>
        </w:rPr>
      </w:pPr>
      <w:r>
        <w:rPr>
          <w:rFonts w:ascii="仿宋_GB2312" w:hint="eastAsia"/>
          <w:b/>
          <w:sz w:val="32"/>
          <w:szCs w:val="32"/>
        </w:rPr>
        <w:t>推进非道路移动源综合治理。</w:t>
      </w:r>
      <w:r>
        <w:rPr>
          <w:rFonts w:ascii="仿宋_GB2312" w:hint="eastAsia"/>
          <w:bCs/>
          <w:snapToGrid w:val="0"/>
          <w:kern w:val="0"/>
          <w:sz w:val="32"/>
          <w:szCs w:val="32"/>
        </w:rPr>
        <w:t>推动高排放非道路移动机械禁止使用区扩大调整，强化非道路移动机械禁止使用区管控。</w:t>
      </w:r>
      <w:r>
        <w:rPr>
          <w:rFonts w:ascii="仿宋_GB2312" w:hint="eastAsia"/>
          <w:bCs/>
          <w:sz w:val="32"/>
          <w:szCs w:val="32"/>
        </w:rPr>
        <w:t>推进船舶港口及机场移动源污染防治。</w:t>
      </w:r>
      <w:r>
        <w:rPr>
          <w:rFonts w:ascii="仿宋_GB2312" w:hint="eastAsia"/>
          <w:bCs/>
          <w:snapToGrid w:val="0"/>
          <w:kern w:val="0"/>
          <w:sz w:val="32"/>
          <w:szCs w:val="32"/>
        </w:rPr>
        <w:t>禁止使用不符合国家相关标准规定的燃油；船舶排放控制区内使用符合排放控制区标准的燃油，逐步扩大低硫燃油适用范围；加大船用</w:t>
      </w:r>
      <w:r>
        <w:rPr>
          <w:rFonts w:ascii="仿宋_GB2312" w:hint="eastAsia"/>
          <w:bCs/>
          <w:sz w:val="32"/>
          <w:szCs w:val="32"/>
        </w:rPr>
        <w:t>低硫燃油的供应保障和推广使用力度，内河和江海直达、江海联运船舶全面推广使用符合标准的普通柴油</w:t>
      </w:r>
      <w:r>
        <w:rPr>
          <w:rFonts w:ascii="仿宋_GB2312" w:hint="eastAsia"/>
          <w:bCs/>
          <w:snapToGrid w:val="0"/>
          <w:kern w:val="0"/>
          <w:sz w:val="32"/>
          <w:szCs w:val="32"/>
        </w:rPr>
        <w:t>。</w:t>
      </w:r>
      <w:r>
        <w:rPr>
          <w:rFonts w:ascii="仿宋_GB2312" w:hint="eastAsia"/>
          <w:bCs/>
          <w:sz w:val="32"/>
          <w:szCs w:val="32"/>
        </w:rPr>
        <w:t>加强示范引领，推进机场、港口、码头和货场非道路移动机械零排放或近零排放示范。</w:t>
      </w:r>
    </w:p>
    <w:p>
      <w:pPr>
        <w:rPr>
          <w:rFonts w:ascii="仿宋_GB2312"/>
          <w:sz w:val="32"/>
          <w:szCs w:val="32"/>
        </w:rPr>
      </w:pPr>
      <w:r>
        <w:rPr>
          <w:rFonts w:ascii="仿宋_GB2312" w:hint="eastAsia"/>
          <w:b/>
          <w:sz w:val="32"/>
          <w:szCs w:val="32"/>
        </w:rPr>
        <w:t>推进油品清洁化。</w:t>
      </w:r>
      <w:r>
        <w:rPr>
          <w:rFonts w:ascii="仿宋_GB2312" w:hint="eastAsia"/>
          <w:sz w:val="32"/>
          <w:szCs w:val="32"/>
        </w:rPr>
        <w:t>建立常态化油品监督检查机制，公安、税务、市场监管、交通、商务等部门每年组织开展非标油专项联合执法行动。进一步规范成品油市场，提高燃料指标清洁化水平，提高清洁油品供应保障能力，提升油品质量监管水平。集中打击劣质油品存储销售集散地和生产加工企业。以物流基地、货运车辆停车场和休息区、施工工地、国省道等为重点，开展打击、清理取缔黑加油站点、流动加油车和不符合要求的企业自备油罐及装置（设施）专项行动，对使用非标油品的运输企业和施工单位依法进行严厉处罚。</w:t>
      </w:r>
    </w:p>
    <w:p>
      <w:pPr>
        <w:pStyle w:val="26"/>
        <w:adjustRightInd w:val="0"/>
        <w:snapToGrid w:val="0"/>
        <w:spacing w:after="0" w:line="360" w:lineRule="auto"/>
        <w:ind w:leftChars="0" w:left="0"/>
        <w:jc w:val="center"/>
        <w:rPr>
          <w:rFonts w:ascii="Times New Roman" w:eastAsia="楷体_GB2312" w:hAnsi="Times New Roman"/>
          <w:b/>
          <w:bCs/>
          <w:spacing w:val="11"/>
          <w:kern w:val="0"/>
          <w:sz w:val="32"/>
          <w:szCs w:val="32"/>
        </w:rPr>
      </w:pPr>
      <w:r>
        <w:rPr>
          <w:rFonts w:ascii="Times New Roman" w:eastAsia="楷体_GB2312" w:hAnsi="Times New Roman"/>
          <w:b/>
          <w:bCs/>
          <w:spacing w:val="11"/>
          <w:kern w:val="0"/>
          <w:sz w:val="32"/>
          <w:szCs w:val="32"/>
        </w:rPr>
        <w:t>专栏四：VOCs和氮氧化物减排工程</w:t>
      </w:r>
    </w:p>
    <w:tbl>
      <w:tblPr>
        <w:jc w:val="center"/>
        <w:tblW w:w="8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8761"/>
      </w:tblGrid>
      <w:tr>
        <w:tc>
          <w:tcPr>
            <w:tcW w:w="8761" w:type="dxa"/>
          </w:tcPr>
          <w:p>
            <w:pPr>
              <w:spacing w:line="460" w:lineRule="exact"/>
              <w:rPr>
                <w:rFonts w:ascii="仿宋_GB2312"/>
                <w:sz w:val="28"/>
                <w:szCs w:val="28"/>
              </w:rPr>
            </w:pPr>
            <w:bookmarkStart w:id="76" w:name="_Hlk86623627"/>
            <w:r>
              <w:rPr>
                <w:rFonts w:ascii="仿宋_GB2312" w:hint="eastAsia"/>
                <w:b/>
                <w:bCs/>
                <w:sz w:val="28"/>
                <w:szCs w:val="28"/>
              </w:rPr>
              <w:t>（一）VOCs综合整治工程。</w:t>
            </w:r>
            <w:r>
              <w:rPr>
                <w:rFonts w:ascii="仿宋_GB2312" w:hint="eastAsia"/>
                <w:sz w:val="28"/>
                <w:szCs w:val="28"/>
              </w:rPr>
              <w:t>实施涉VOCs企业提标改造，全面提升治理设施“三率”，重点企业制定“一厂一策”。</w:t>
            </w:r>
          </w:p>
          <w:p>
            <w:pPr>
              <w:spacing w:line="460" w:lineRule="exact"/>
              <w:rPr>
                <w:rFonts w:ascii="仿宋_GB2312"/>
                <w:sz w:val="28"/>
                <w:szCs w:val="28"/>
              </w:rPr>
            </w:pPr>
            <w:bookmarkEnd w:id="76"/>
            <w:r>
              <w:rPr>
                <w:rFonts w:ascii="仿宋_GB2312" w:hint="eastAsia"/>
                <w:b/>
                <w:bCs/>
                <w:sz w:val="28"/>
                <w:szCs w:val="28"/>
              </w:rPr>
              <w:t>（二）涉VOCs无组织整治工程。</w:t>
            </w:r>
            <w:r>
              <w:rPr>
                <w:rFonts w:ascii="仿宋_GB2312" w:hint="eastAsia"/>
                <w:sz w:val="28"/>
                <w:szCs w:val="28"/>
              </w:rPr>
              <w:t>对储罐、装卸、敞开液面等进行排查整治；提升泄露检修与修复质量。</w:t>
            </w:r>
          </w:p>
          <w:p>
            <w:pPr>
              <w:spacing w:line="460" w:lineRule="exact"/>
              <w:rPr>
                <w:rFonts w:ascii="仿宋_GB2312"/>
                <w:sz w:val="28"/>
                <w:szCs w:val="28"/>
              </w:rPr>
            </w:pPr>
            <w:r>
              <w:rPr>
                <w:rFonts w:ascii="仿宋_GB2312" w:hint="eastAsia"/>
                <w:b/>
                <w:bCs/>
                <w:sz w:val="28"/>
                <w:szCs w:val="28"/>
              </w:rPr>
              <w:t>（三）</w:t>
            </w:r>
            <w:bookmarkStart w:id="77" w:name="_Hlk86623653"/>
            <w:r>
              <w:rPr>
                <w:rFonts w:ascii="仿宋_GB2312" w:hint="eastAsia"/>
                <w:b/>
                <w:bCs/>
                <w:sz w:val="28"/>
                <w:szCs w:val="28"/>
              </w:rPr>
              <w:t>重点行业深度治理工程。</w:t>
            </w:r>
            <w:r>
              <w:rPr>
                <w:rFonts w:ascii="仿宋_GB2312" w:hint="eastAsia"/>
                <w:sz w:val="28"/>
                <w:szCs w:val="28"/>
              </w:rPr>
              <w:t>完成38台每小时65蒸吨及以上燃煤锅炉超低排放改造，推进35蒸吨/小时以上燃煤锅炉超低排放改造；积极推进生物质锅炉超低排放改造；实施29家钢铁行业超低排放改造项目；20条水泥生产线试点超低排放改造；推进生活垃圾焚烧、玻璃、建陶行业深度治理；积极推进燃气锅炉实施低氮燃烧技术改造。</w:t>
            </w:r>
            <w:bookmarkEnd w:id="77"/>
          </w:p>
        </w:tc>
      </w:tr>
    </w:tbl>
    <w:p>
      <w:pPr>
        <w:rPr>
          <w:rFonts w:ascii="Times New Roman" w:hAnsi="Times New Roman"/>
          <w:szCs w:val="30"/>
        </w:rPr>
      </w:pPr>
    </w:p>
    <w:p>
      <w:pPr>
        <w:pStyle w:val="1"/>
        <w:keepNext w:val="0"/>
        <w:keepLines w:val="0"/>
        <w:widowControl w:val="0"/>
        <w:rPr>
          <w:rFonts w:ascii="Times New Roman" w:cs="Times New Roman" w:hAnsi="Times New Roman"/>
          <w:kern w:val="2"/>
          <w:sz w:val="30"/>
          <w:szCs w:val="30"/>
        </w:rPr>
      </w:pPr>
      <w:r>
        <w:rPr>
          <w:rFonts w:ascii="Times New Roman" w:cs="Times New Roman" w:hAnsi="Times New Roman"/>
          <w:kern w:val="2"/>
          <w:sz w:val="30"/>
          <w:szCs w:val="30"/>
        </w:rPr>
        <w:br w:type="page"/>
      </w:r>
    </w:p>
    <w:p>
      <w:pPr>
        <w:pStyle w:val="400"/>
        <w:widowControl w:val="0"/>
        <w:overflowPunct w:val="0"/>
        <w:adjustRightInd w:val="0"/>
        <w:snapToGrid w:val="0"/>
        <w:spacing w:beforeLines="0" w:before="200" w:afterLines="0" w:after="200"/>
        <w:jc w:val="center"/>
        <w:rPr>
          <w:rFonts w:ascii="Times New Roman" w:hAnsi="Times New Roman"/>
          <w:bCs w:val="0"/>
          <w:szCs w:val="28"/>
        </w:rPr>
      </w:pPr>
      <w:bookmarkStart w:id="78" w:name="_Toc89691261"/>
      <w:bookmarkStart w:id="79" w:name="_Toc10195"/>
      <w:bookmarkEnd w:id="69"/>
      <w:bookmarkEnd w:id="70"/>
      <w:bookmarkEnd w:id="71"/>
      <w:bookmarkEnd w:id="72"/>
      <w:r>
        <w:rPr>
          <w:rFonts w:ascii="Times New Roman" w:hAnsi="Times New Roman"/>
          <w:bCs w:val="0"/>
          <w:szCs w:val="28"/>
        </w:rPr>
        <w:t>第七章 建设美丽家园，解决群众关切的大气环境问题</w:t>
      </w:r>
      <w:bookmarkEnd w:id="78"/>
    </w:p>
    <w:p>
      <w:pPr>
        <w:pStyle w:val="402"/>
        <w:overflowPunct w:val="0"/>
        <w:spacing w:beforeLines="0" w:before="468" w:afterLines="0" w:after="468"/>
        <w:rPr>
          <w:rFonts w:ascii="Times New Roman" w:cs="Times New Roman" w:hAnsi="Times New Roman"/>
          <w:bCs/>
        </w:rPr>
      </w:pPr>
      <w:bookmarkStart w:id="80" w:name="_Toc89691262"/>
      <w:bookmarkStart w:id="81" w:name="_Toc11789"/>
      <w:bookmarkStart w:id="82" w:name="_Toc62577583"/>
      <w:bookmarkStart w:id="83" w:name="_Toc62577588"/>
      <w:bookmarkStart w:id="84" w:name="_Toc28926"/>
      <w:bookmarkStart w:id="85" w:name="_Toc8561"/>
      <w:bookmarkStart w:id="86" w:name="_Toc27352"/>
      <w:bookmarkStart w:id="87" w:name="_Toc6876"/>
      <w:bookmarkEnd w:id="79"/>
      <w:r>
        <w:rPr>
          <w:rFonts w:ascii="Times New Roman" w:cs="Times New Roman" w:hAnsi="Times New Roman"/>
          <w:bCs/>
        </w:rPr>
        <w:t>第一节 推进扬尘精细化管控</w:t>
      </w:r>
      <w:bookmarkEnd w:id="80"/>
    </w:p>
    <w:p>
      <w:pPr>
        <w:rPr>
          <w:rFonts w:ascii="仿宋_GB2312"/>
          <w:sz w:val="32"/>
          <w:szCs w:val="32"/>
        </w:rPr>
      </w:pPr>
      <w:r>
        <w:rPr>
          <w:rFonts w:ascii="仿宋_GB2312" w:hint="eastAsia"/>
          <w:b/>
          <w:sz w:val="32"/>
          <w:szCs w:val="32"/>
        </w:rPr>
        <w:t>强化道路扬尘综合治理。</w:t>
      </w:r>
      <w:r>
        <w:rPr>
          <w:rFonts w:ascii="仿宋_GB2312" w:hint="eastAsia"/>
          <w:bCs/>
          <w:sz w:val="32"/>
          <w:szCs w:val="32"/>
        </w:rPr>
        <w:t>推进吸尘式机械化清扫作业，到2025年，地级及以上城市建成区道路机械化清扫率达到80%，县城达到70%。加大城市外环路、城市出入口、城乡结合部等重要路段冲洗保洁力度。加强渣土车扬尘管理，推进</w:t>
      </w:r>
      <w:r>
        <w:rPr>
          <w:rFonts w:ascii="仿宋_GB2312" w:hint="eastAsia"/>
          <w:sz w:val="32"/>
          <w:szCs w:val="32"/>
        </w:rPr>
        <w:t>渣土车车轮、底盘和车身高效冲洗，保持行驶途中全密闭，通过视频监控、车牌号识别、卫星定位跟踪等手段，实行全过程监督。</w:t>
      </w:r>
    </w:p>
    <w:p>
      <w:pPr>
        <w:rPr>
          <w:rFonts w:ascii="仿宋_GB2312"/>
          <w:sz w:val="32"/>
          <w:szCs w:val="32"/>
        </w:rPr>
      </w:pPr>
      <w:r>
        <w:rPr>
          <w:rFonts w:ascii="仿宋_GB2312" w:hint="eastAsia"/>
          <w:b/>
          <w:sz w:val="32"/>
          <w:szCs w:val="32"/>
        </w:rPr>
        <w:t>深化施工扬尘污染源头防治。</w:t>
      </w:r>
      <w:r>
        <w:rPr>
          <w:rFonts w:ascii="仿宋_GB2312" w:hint="eastAsia"/>
          <w:sz w:val="32"/>
          <w:szCs w:val="32"/>
        </w:rPr>
        <w:t>推行建筑施工、拆迁施工、道路施工工地管理清单动态更新、网格化监管机制，全面推行绿色施工，严格执行“六个百分之百”，将扬尘防控工作和经费纳入招标文件和施工承包合同中，落实建设单位和施工单位扬尘防控责任。持续推进施工现场扬尘在线监测和视频监控工作。</w:t>
      </w:r>
    </w:p>
    <w:p>
      <w:pPr>
        <w:rPr>
          <w:rFonts w:ascii="仿宋_GB2312"/>
          <w:sz w:val="32"/>
          <w:szCs w:val="32"/>
        </w:rPr>
      </w:pPr>
      <w:r>
        <w:rPr>
          <w:rFonts w:ascii="仿宋_GB2312" w:hint="eastAsia"/>
          <w:b/>
          <w:sz w:val="32"/>
          <w:szCs w:val="32"/>
        </w:rPr>
        <w:t>加强裸地、堆场扬尘污染整治。</w:t>
      </w:r>
      <w:r>
        <w:rPr>
          <w:rFonts w:ascii="仿宋_GB2312" w:hint="eastAsia"/>
          <w:bCs/>
          <w:sz w:val="32"/>
          <w:szCs w:val="32"/>
        </w:rPr>
        <w:t>对城市公共区域、长期未开发的建设裸地，以及废旧厂区、闲置空地、院落、物流园、大型停车场等进行排查建档，并采取覆盖、绿化、硬化、清扫等措施减少扬尘。</w:t>
      </w:r>
      <w:r>
        <w:rPr>
          <w:rFonts w:ascii="仿宋_GB2312"/>
          <w:bCs/>
          <w:sz w:val="32"/>
          <w:szCs w:val="32"/>
        </w:rPr>
        <w:t>强化</w:t>
      </w:r>
      <w:r>
        <w:rPr>
          <w:rFonts w:ascii="仿宋_GB2312" w:hint="eastAsia"/>
          <w:sz w:val="32"/>
          <w:szCs w:val="32"/>
        </w:rPr>
        <w:t>预拌混凝土搅拌站、沥青混凝土搅拌站、余泥渣土堆场扬尘污染整治。加强港口、码头、堆场等扬尘综合管控，</w:t>
      </w:r>
      <w:r>
        <w:rPr>
          <w:rFonts w:ascii="仿宋_GB2312"/>
          <w:kern w:val="0"/>
          <w:sz w:val="32"/>
          <w:szCs w:val="32"/>
        </w:rPr>
        <w:t>大型煤炭、矿石等</w:t>
      </w:r>
      <w:r>
        <w:rPr>
          <w:rFonts w:ascii="仿宋_GB2312" w:hint="eastAsia"/>
          <w:kern w:val="0"/>
          <w:sz w:val="32"/>
          <w:szCs w:val="32"/>
        </w:rPr>
        <w:t>干散货码头</w:t>
      </w:r>
      <w:r>
        <w:rPr>
          <w:rFonts w:ascii="仿宋_GB2312"/>
          <w:kern w:val="0"/>
          <w:sz w:val="32"/>
          <w:szCs w:val="32"/>
        </w:rPr>
        <w:t>物料堆场应采取</w:t>
      </w:r>
      <w:r>
        <w:rPr>
          <w:rFonts w:ascii="仿宋_GB2312" w:hint="eastAsia"/>
          <w:kern w:val="0"/>
          <w:sz w:val="32"/>
          <w:szCs w:val="32"/>
        </w:rPr>
        <w:t>干雾抑尘、喷淋除尘等</w:t>
      </w:r>
      <w:r>
        <w:rPr>
          <w:rFonts w:ascii="仿宋_GB2312"/>
          <w:kern w:val="0"/>
          <w:sz w:val="32"/>
          <w:szCs w:val="32"/>
        </w:rPr>
        <w:t>防尘措施</w:t>
      </w:r>
      <w:r>
        <w:rPr>
          <w:rFonts w:ascii="仿宋_GB2312" w:hint="eastAsia"/>
          <w:kern w:val="0"/>
          <w:sz w:val="32"/>
          <w:szCs w:val="32"/>
        </w:rPr>
        <w:t>，条件成熟的码头实施</w:t>
      </w:r>
      <w:r>
        <w:rPr>
          <w:rFonts w:ascii="仿宋_GB2312"/>
          <w:kern w:val="0"/>
          <w:sz w:val="32"/>
          <w:szCs w:val="32"/>
        </w:rPr>
        <w:t>物料输送系统封闭</w:t>
      </w:r>
      <w:r>
        <w:rPr>
          <w:rFonts w:ascii="仿宋_GB2312" w:hint="eastAsia"/>
          <w:kern w:val="0"/>
          <w:sz w:val="32"/>
          <w:szCs w:val="32"/>
        </w:rPr>
        <w:t>改造</w:t>
      </w:r>
      <w:r>
        <w:rPr>
          <w:rFonts w:ascii="仿宋_GB2312" w:hint="eastAsia"/>
          <w:sz w:val="32"/>
          <w:szCs w:val="32"/>
        </w:rPr>
        <w:t>。</w:t>
      </w:r>
    </w:p>
    <w:p>
      <w:pPr>
        <w:widowControl/>
        <w:shd w:val="clear" w:color="auto" w:fill="FFFFFF"/>
        <w:rPr>
          <w:rFonts w:ascii="仿宋_GB2312"/>
          <w:sz w:val="32"/>
          <w:szCs w:val="32"/>
        </w:rPr>
      </w:pPr>
      <w:r>
        <w:rPr>
          <w:rFonts w:ascii="仿宋_GB2312" w:hint="eastAsia"/>
          <w:b/>
          <w:bCs/>
          <w:sz w:val="32"/>
          <w:szCs w:val="32"/>
        </w:rPr>
        <w:t>实施城市降尘监测考核。</w:t>
      </w:r>
      <w:r>
        <w:rPr>
          <w:rFonts w:ascii="仿宋_GB2312" w:hint="eastAsia"/>
          <w:sz w:val="32"/>
          <w:szCs w:val="32"/>
        </w:rPr>
        <w:t>全面开展城市环境空气降尘量监测工作，建立降尘考核评价体系，</w:t>
      </w:r>
      <w:r>
        <w:rPr>
          <w:rFonts w:ascii="仿宋_GB2312" w:hint="eastAsia"/>
          <w:bCs/>
          <w:sz w:val="32"/>
          <w:szCs w:val="32"/>
        </w:rPr>
        <w:t>到2025年设区市降尘</w:t>
      </w:r>
      <w:r>
        <w:rPr>
          <w:rFonts w:ascii="仿宋_GB2312" w:hint="eastAsia"/>
          <w:sz w:val="32"/>
          <w:szCs w:val="32"/>
        </w:rPr>
        <w:t>不得高于4吨/月·平方公里，鼓励各地细化降尘量控制要求。</w:t>
      </w:r>
    </w:p>
    <w:p>
      <w:pPr>
        <w:rPr>
          <w:rFonts w:ascii="仿宋_GB2312"/>
          <w:sz w:val="32"/>
          <w:szCs w:val="32"/>
        </w:rPr>
      </w:pPr>
      <w:r>
        <w:rPr>
          <w:rFonts w:ascii="仿宋_GB2312" w:hint="eastAsia"/>
          <w:b/>
          <w:sz w:val="32"/>
          <w:szCs w:val="32"/>
        </w:rPr>
        <w:t>推进矿山治理与防风固沙建设。</w:t>
      </w:r>
      <w:r>
        <w:rPr>
          <w:rFonts w:ascii="仿宋_GB2312" w:hint="eastAsia"/>
          <w:sz w:val="32"/>
          <w:szCs w:val="32"/>
        </w:rPr>
        <w:t>新建矿山按照规范要求建设和运营，生产矿山加快绿色化升级改造，积极推进责任主体灭失矿山迹地治理，利用卫星遥感对露天矿山生态环境实施动态监测。</w:t>
      </w:r>
    </w:p>
    <w:p>
      <w:pPr>
        <w:pStyle w:val="402"/>
        <w:overflowPunct w:val="0"/>
        <w:spacing w:beforeLines="0" w:before="468" w:afterLines="0" w:after="468"/>
        <w:rPr>
          <w:rFonts w:ascii="Times New Roman" w:cs="Times New Roman" w:hAnsi="Times New Roman"/>
          <w:bCs/>
        </w:rPr>
      </w:pPr>
      <w:bookmarkStart w:id="88" w:name="_Toc31472"/>
      <w:bookmarkStart w:id="89" w:name="_Toc62577587"/>
      <w:bookmarkStart w:id="90" w:name="_Toc89691263"/>
      <w:bookmarkStart w:id="91" w:name="_Hlk83559736"/>
      <w:r>
        <w:rPr>
          <w:rFonts w:ascii="Times New Roman" w:cs="Times New Roman" w:hAnsi="Times New Roman"/>
          <w:bCs/>
        </w:rPr>
        <w:t>第二节 开展餐饮油烟治理</w:t>
      </w:r>
      <w:bookmarkEnd w:id="88"/>
      <w:bookmarkEnd w:id="89"/>
      <w:bookmarkEnd w:id="90"/>
    </w:p>
    <w:p>
      <w:pPr>
        <w:rPr>
          <w:rFonts w:ascii="Times New Roman" w:hAnsi="Times New Roman"/>
          <w:sz w:val="32"/>
          <w:szCs w:val="32"/>
        </w:rPr>
      </w:pPr>
      <w:r>
        <w:rPr>
          <w:rFonts w:ascii="Times New Roman" w:hAnsi="Times New Roman"/>
          <w:sz w:val="32"/>
          <w:szCs w:val="32"/>
        </w:rPr>
        <w:t>加强餐饮业布局规划管理，餐饮服务业发展及空间布局规划应当符合环境功能区和污染防治要求，现有餐饮服务场所逐步与居民住宅楼分离。禁止在居民住宅楼、未配套设立专用烟道的商住综合楼以及商住综合楼内与居住层相邻的商业楼层内新建、改建、扩建产生油烟、异味、废气的餐饮服务项目。常态化开展餐饮油烟“烟火不扰民”联合执法行动，重点在餐饮集聚区、居民区周边以及群众投诉集中的餐饮敏感区，督促餐饮服务业经营者安装油烟净化设施、按规定正常使用和定期清洗油烟净化设施。对未安装油烟污染防治装置或者已安装油烟污染防治装置但油烟超过排放标准，对附近居民生活环境造成污染的行为实施处罚。市场监管部门统筹推进餐饮服务单位建档管理，建立“回头看”</w:t>
      </w:r>
      <w:r>
        <w:rPr>
          <w:rFonts w:ascii="Times New Roman" w:hAnsi="Times New Roman" w:hint="eastAsia"/>
          <w:sz w:val="32"/>
          <w:szCs w:val="32"/>
        </w:rPr>
        <w:t>及</w:t>
      </w:r>
      <w:r>
        <w:rPr>
          <w:rFonts w:ascii="Times New Roman" w:hAnsi="Times New Roman"/>
          <w:sz w:val="32"/>
          <w:szCs w:val="32"/>
        </w:rPr>
        <w:t>定人、定责巡查监管机制，建立问题台账清单，实时更新和动态管理，强化日常监督。</w:t>
      </w:r>
    </w:p>
    <w:p>
      <w:pPr>
        <w:pStyle w:val="402"/>
        <w:overflowPunct w:val="0"/>
        <w:spacing w:beforeLines="0" w:before="468" w:afterLines="0" w:after="468"/>
        <w:rPr>
          <w:rFonts w:ascii="Times New Roman" w:cs="Times New Roman" w:hAnsi="Times New Roman"/>
          <w:bCs/>
        </w:rPr>
      </w:pPr>
      <w:bookmarkStart w:id="92" w:name="_Toc89691264"/>
      <w:r>
        <w:rPr>
          <w:rFonts w:ascii="Times New Roman" w:cs="Times New Roman" w:hAnsi="Times New Roman"/>
          <w:bCs/>
        </w:rPr>
        <w:t>第三节 推进恶臭异味专项整治</w:t>
      </w:r>
      <w:bookmarkEnd w:id="92"/>
    </w:p>
    <w:p>
      <w:pPr>
        <w:rPr>
          <w:rFonts w:ascii="仿宋_GB2312"/>
          <w:sz w:val="32"/>
          <w:szCs w:val="32"/>
        </w:rPr>
      </w:pPr>
      <w:r>
        <w:rPr>
          <w:rFonts w:ascii="仿宋_GB2312" w:hint="eastAsia"/>
          <w:sz w:val="32"/>
          <w:szCs w:val="32"/>
        </w:rPr>
        <w:t>推进化工、制药、工业涂装等行业结合VOCs防治开展恶臭异味综合治理。橡胶、塑料、食品加工等行业要强化恶臭气体收集和治理。垃圾、污水集中式污染处理设施等加大密闭收集力度，因地制宜采取脱臭措施。探索研究小规模养殖场和散养户粪污收集处理方式。恶臭投诉集中的工业园区、重点企业要开展恶臭气体治理的源头削减、过程控制与末端治理，采用掩蔽法、水洗法、吸附法等有效控制技术，全方位降低恶臭气体的产生量。</w:t>
      </w:r>
    </w:p>
    <w:p>
      <w:pPr>
        <w:pStyle w:val="402"/>
        <w:overflowPunct w:val="0"/>
        <w:spacing w:beforeLines="0" w:before="468" w:afterLines="0" w:after="468"/>
        <w:rPr>
          <w:rFonts w:ascii="Times New Roman" w:cs="Times New Roman" w:hAnsi="Times New Roman"/>
          <w:bCs/>
        </w:rPr>
      </w:pPr>
      <w:bookmarkStart w:id="93" w:name="_Toc89691265"/>
      <w:bookmarkEnd w:id="91"/>
      <w:r>
        <w:rPr>
          <w:rFonts w:ascii="Times New Roman" w:cs="Times New Roman" w:hAnsi="Times New Roman"/>
          <w:bCs/>
        </w:rPr>
        <w:t>第四节 加强秸秆综合利用</w:t>
      </w:r>
      <w:bookmarkEnd w:id="93"/>
    </w:p>
    <w:p>
      <w:pPr>
        <w:rPr>
          <w:rFonts w:ascii="仿宋_GB2312"/>
          <w:sz w:val="32"/>
          <w:szCs w:val="32"/>
        </w:rPr>
      </w:pPr>
      <w:r>
        <w:rPr>
          <w:rFonts w:ascii="仿宋_GB2312" w:hint="eastAsia"/>
          <w:b/>
          <w:bCs/>
          <w:sz w:val="32"/>
          <w:szCs w:val="32"/>
        </w:rPr>
        <w:t>加强秸秆资源化利用。</w:t>
      </w:r>
      <w:r>
        <w:rPr>
          <w:rFonts w:ascii="仿宋_GB2312" w:hint="eastAsia"/>
          <w:sz w:val="32"/>
          <w:szCs w:val="32"/>
        </w:rPr>
        <w:t>推广秸秆还田、秸秆制肥、秸秆饲料化、秸秆能源化利用等综合利用措施，制定实施秸秆综合利用实施方案，推进秸秆综合利用示范工程建设，促进秸秆资源化利用，到2025年主要农作物秸秆综合利用率达到90%以上。建立秸秆资源台账系统和定期调度机制，完善秸秆收储运体系，发展一批市场化利用主体。加强宣传引导，增强农民秸秆利用和禁烧的主动性自觉性。</w:t>
      </w:r>
    </w:p>
    <w:p>
      <w:pPr>
        <w:rPr>
          <w:rFonts w:ascii="仿宋_GB2312"/>
          <w:sz w:val="32"/>
          <w:szCs w:val="32"/>
        </w:rPr>
      </w:pPr>
      <w:r>
        <w:rPr>
          <w:rFonts w:ascii="仿宋_GB2312" w:hint="eastAsia"/>
          <w:b/>
          <w:bCs/>
          <w:sz w:val="32"/>
          <w:szCs w:val="32"/>
        </w:rPr>
        <w:t>加强秸秆露天焚烧管控。</w:t>
      </w:r>
      <w:r>
        <w:rPr>
          <w:rFonts w:ascii="仿宋_GB2312" w:hint="eastAsia"/>
          <w:sz w:val="32"/>
          <w:szCs w:val="32"/>
        </w:rPr>
        <w:t>禁止农作物秸秆等生物质露天焚烧，紧盯夏收、秋收重点节点，发挥环保网格机制作用，实现全覆盖、无死角，加大巡查力度，推进“人防”“技防”结合，综合运用卫星遥感、高清视频监控、无人机等手段，提高秸秆焚烧火点监测精准度。</w:t>
      </w:r>
    </w:p>
    <w:p>
      <w:pPr>
        <w:pStyle w:val="402"/>
        <w:overflowPunct w:val="0"/>
        <w:spacing w:beforeLines="0" w:before="468" w:afterLines="0" w:after="468"/>
        <w:rPr>
          <w:rFonts w:ascii="Times New Roman" w:cs="Times New Roman" w:hAnsi="Times New Roman"/>
          <w:bCs/>
        </w:rPr>
      </w:pPr>
      <w:bookmarkStart w:id="94" w:name="_Toc89691266"/>
      <w:r>
        <w:rPr>
          <w:rFonts w:ascii="Times New Roman" w:cs="Times New Roman" w:hAnsi="Times New Roman"/>
          <w:bCs/>
        </w:rPr>
        <w:t>第五节 稳步推进大气氨污染防控</w:t>
      </w:r>
      <w:bookmarkEnd w:id="94"/>
    </w:p>
    <w:p>
      <w:pPr>
        <w:rPr>
          <w:rFonts w:ascii="Times New Roman" w:hAnsi="Times New Roman"/>
          <w:sz w:val="32"/>
          <w:szCs w:val="32"/>
        </w:rPr>
      </w:pPr>
      <w:r>
        <w:rPr>
          <w:rFonts w:ascii="Times New Roman" w:hAnsi="Times New Roman"/>
          <w:b/>
          <w:bCs/>
          <w:sz w:val="32"/>
          <w:szCs w:val="32"/>
        </w:rPr>
        <w:t>推进大气氨排放控制。</w:t>
      </w:r>
      <w:r>
        <w:rPr>
          <w:rFonts w:ascii="Times New Roman" w:hAnsi="Times New Roman"/>
          <w:sz w:val="32"/>
          <w:szCs w:val="32"/>
        </w:rPr>
        <w:t>推广标准化规模养殖，鼓励种养结合一体化经营。鼓励生猪、鸡等圈舍封闭管理，推进粪污输送、存储及处理设施封闭处理和废气治理，推进大型规模化养殖场大气氨排放总量削减。大力推进种植业肥药减量增效，深化测土配方施肥技术，积极推广配方肥和商品有机肥，扩大配方肥应用覆盖面。推行肥料深施、水肥一体化等高效施肥技术，减少化肥施用和流失，提高化肥利用率，减少农业氨排放。加强氮肥、纯碱等行业氨排放治理，强化工业源烟气脱硫脱硝氨逃逸防控，加强机动车氨排放监管。</w:t>
      </w:r>
    </w:p>
    <w:p>
      <w:pPr>
        <w:pStyle w:val="402"/>
        <w:overflowPunct w:val="0"/>
        <w:spacing w:beforeLines="0" w:before="468" w:afterLines="0" w:after="468"/>
        <w:rPr>
          <w:rFonts w:ascii="Times New Roman" w:cs="Times New Roman" w:hAnsi="Times New Roman"/>
          <w:bCs/>
        </w:rPr>
      </w:pPr>
      <w:bookmarkStart w:id="95" w:name="_Toc89691267"/>
      <w:bookmarkEnd w:id="81"/>
      <w:bookmarkEnd w:id="82"/>
      <w:bookmarkEnd w:id="83"/>
      <w:bookmarkEnd w:id="84"/>
      <w:bookmarkEnd w:id="85"/>
      <w:bookmarkEnd w:id="86"/>
      <w:bookmarkEnd w:id="87"/>
      <w:r>
        <w:rPr>
          <w:rFonts w:ascii="Times New Roman" w:cs="Times New Roman" w:hAnsi="Times New Roman"/>
          <w:bCs/>
        </w:rPr>
        <w:t>第六节 加强多污染物控制</w:t>
      </w:r>
      <w:bookmarkEnd w:id="95"/>
    </w:p>
    <w:p>
      <w:pPr>
        <w:rPr>
          <w:rFonts w:ascii="仿宋_GB2312"/>
          <w:sz w:val="32"/>
          <w:szCs w:val="32"/>
        </w:rPr>
      </w:pPr>
      <w:r>
        <w:rPr>
          <w:rFonts w:ascii="仿宋_GB2312" w:hint="eastAsia"/>
          <w:b/>
          <w:sz w:val="32"/>
          <w:szCs w:val="32"/>
        </w:rPr>
        <w:t>加强消耗臭氧层物质（ODS）和氢氟碳化物管理。</w:t>
      </w:r>
      <w:r>
        <w:rPr>
          <w:rFonts w:ascii="仿宋_GB2312" w:hint="eastAsia"/>
          <w:sz w:val="32"/>
          <w:szCs w:val="32"/>
        </w:rPr>
        <w:t>贯彻落实《消耗臭氧层物质管理条例》及其配套文件，深入开展ODS淘汰工作，持续推动含氢氯氟烃销售、使用备案管理，完善生产、消费和进出口全链条的监管体系，鼓励、支持ODS替代品的生产和使用。推动氟化工行业含氢氯氟烃生产线逐步淘汰，改造使用含氢氯氟烃生产线。</w:t>
      </w:r>
    </w:p>
    <w:p>
      <w:pPr>
        <w:rPr>
          <w:rFonts w:ascii="Times New Roman" w:hAnsi="Times New Roman"/>
          <w:sz w:val="32"/>
          <w:szCs w:val="32"/>
        </w:rPr>
      </w:pPr>
      <w:r>
        <w:rPr>
          <w:rFonts w:ascii="仿宋_GB2312" w:hint="eastAsia"/>
          <w:b/>
          <w:bCs/>
          <w:sz w:val="32"/>
          <w:szCs w:val="32"/>
        </w:rPr>
        <w:t>加强有毒有害大气污染物风险管控。</w:t>
      </w:r>
      <w:r>
        <w:rPr>
          <w:rFonts w:ascii="仿宋_GB2312" w:hint="eastAsia"/>
          <w:sz w:val="32"/>
          <w:szCs w:val="32"/>
        </w:rPr>
        <w:t>推进大气汞和持久性有机物排放控制，以水泥、有色金属冶炼等为重点，通过多污染物协同、采用低（无）汞原（燃）料源头替代、脱汞等措施控制大气汞排放。</w:t>
      </w:r>
      <w:r>
        <w:rPr>
          <w:rFonts w:ascii="Times New Roman" w:hAnsi="Times New Roman"/>
          <w:sz w:val="32"/>
          <w:szCs w:val="32"/>
        </w:rPr>
        <w:br w:type="page"/>
      </w:r>
    </w:p>
    <w:p>
      <w:pPr>
        <w:pStyle w:val="400"/>
        <w:widowControl w:val="0"/>
        <w:overflowPunct w:val="0"/>
        <w:adjustRightInd w:val="0"/>
        <w:snapToGrid w:val="0"/>
        <w:spacing w:beforeLines="0" w:before="200" w:afterLines="0" w:after="200"/>
        <w:jc w:val="center"/>
        <w:rPr>
          <w:rFonts w:ascii="Times New Roman" w:hAnsi="Times New Roman"/>
          <w:bCs w:val="0"/>
          <w:szCs w:val="28"/>
        </w:rPr>
      </w:pPr>
      <w:bookmarkStart w:id="96" w:name="_Toc89691268"/>
      <w:r>
        <w:rPr>
          <w:rFonts w:ascii="Times New Roman" w:hAnsi="Times New Roman"/>
          <w:bCs w:val="0"/>
          <w:szCs w:val="28"/>
        </w:rPr>
        <w:t>第八章 推进数字治气，提升区域联防联控水平</w:t>
      </w:r>
      <w:bookmarkEnd w:id="96"/>
    </w:p>
    <w:p>
      <w:pPr>
        <w:pStyle w:val="402"/>
        <w:overflowPunct w:val="0"/>
        <w:spacing w:beforeLines="0" w:before="468" w:afterLines="0" w:after="468"/>
        <w:rPr>
          <w:rFonts w:ascii="Times New Roman" w:cs="Times New Roman" w:hAnsi="Times New Roman"/>
          <w:bCs/>
        </w:rPr>
      </w:pPr>
      <w:bookmarkStart w:id="97" w:name="_Toc89691269"/>
      <w:bookmarkStart w:id="98" w:name="_Hlk76414710"/>
      <w:r>
        <w:rPr>
          <w:rFonts w:ascii="Times New Roman" w:cs="Times New Roman" w:hAnsi="Times New Roman"/>
          <w:bCs/>
        </w:rPr>
        <w:t>第一节 夯实福建生态云大气模块功能</w:t>
      </w:r>
      <w:bookmarkEnd w:id="97"/>
    </w:p>
    <w:p>
      <w:pPr>
        <w:rPr>
          <w:rFonts w:ascii="仿宋_GB2312"/>
          <w:sz w:val="32"/>
          <w:szCs w:val="32"/>
        </w:rPr>
      </w:pPr>
      <w:r>
        <w:rPr>
          <w:rFonts w:ascii="仿宋_GB2312" w:hint="eastAsia"/>
          <w:sz w:val="32"/>
          <w:szCs w:val="32"/>
        </w:rPr>
        <w:t>加快生态云平台3.0建设，拓展建设大气环境综合分析等功能模块，推动重点企业重点工序分表计电，并将数据接入生态云平台。结合大数据、云计算、物联网、人工智能、热点网格和5G技术的应用，构建环境信息“一张图”、监测监控“一张网”，开展大数据分析、污染成分监测、数值模拟集合预报等工作，对环境空气质量变化趋势、污染天气过程进行科学研判，并应用生态云平台开展区域联防联控和轻微污染天气应对。</w:t>
      </w:r>
    </w:p>
    <w:p>
      <w:pPr>
        <w:pStyle w:val="402"/>
        <w:overflowPunct w:val="0"/>
        <w:spacing w:beforeLines="0" w:before="468" w:afterLines="0" w:after="468"/>
        <w:rPr>
          <w:rFonts w:ascii="Times New Roman" w:cs="Times New Roman" w:hAnsi="Times New Roman"/>
          <w:bCs/>
        </w:rPr>
      </w:pPr>
      <w:bookmarkStart w:id="99" w:name="_Toc89691270"/>
      <w:r>
        <w:rPr>
          <w:rFonts w:ascii="Times New Roman" w:cs="Times New Roman" w:hAnsi="Times New Roman"/>
          <w:bCs/>
        </w:rPr>
        <w:t>第二节 提升空气质量预警预报能力</w:t>
      </w:r>
      <w:bookmarkEnd w:id="99"/>
    </w:p>
    <w:p>
      <w:pPr>
        <w:rPr>
          <w:rFonts w:ascii="仿宋_GB2312"/>
          <w:sz w:val="32"/>
          <w:szCs w:val="32"/>
        </w:rPr>
      </w:pPr>
      <w:r>
        <w:rPr>
          <w:rFonts w:ascii="仿宋_GB2312" w:hint="eastAsia"/>
          <w:sz w:val="32"/>
          <w:szCs w:val="32"/>
        </w:rPr>
        <w:t>加强省环境空气质量预测预报能力建设，建立社区多尺度空气质量模型（CMAQ）、区域气象-大气化学在线耦合模式（WRF-Chem）、空气质量模式系统（WRF-CMAQ）等多种数值模型及统计模型。进一步提升预报准确率，实现7-10天区域及城市空气质量预报能力，以及未来15天空气质量潜势预报，加强未来24小时短临预报能力，实现集合预报和信息共享。加强环境空气质量预报预警工作，完善空气质量预报日常会商制度和重大活动空气质量保障机制，规范会商程序、方式及内容。健全预警协调联动机制，密切关注趋势变化，及时启动污染天气预警和应急响应，为污染管控提供技术支持。</w:t>
      </w:r>
    </w:p>
    <w:p>
      <w:pPr>
        <w:pStyle w:val="402"/>
        <w:overflowPunct w:val="0"/>
        <w:spacing w:beforeLines="0" w:before="468" w:afterLines="0" w:after="468"/>
        <w:rPr>
          <w:rFonts w:ascii="Times New Roman" w:cs="Times New Roman" w:hAnsi="Times New Roman"/>
          <w:bCs/>
        </w:rPr>
      </w:pPr>
      <w:bookmarkStart w:id="100" w:name="_Toc89691271"/>
      <w:r>
        <w:rPr>
          <w:rFonts w:ascii="Times New Roman" w:cs="Times New Roman" w:hAnsi="Times New Roman"/>
          <w:bCs/>
        </w:rPr>
        <w:t>第三节 建立健全大气环境感知网络</w:t>
      </w:r>
      <w:bookmarkEnd w:id="100"/>
    </w:p>
    <w:p>
      <w:pPr>
        <w:rPr>
          <w:rFonts w:ascii="仿宋_GB2312"/>
          <w:sz w:val="32"/>
          <w:szCs w:val="32"/>
        </w:rPr>
      </w:pPr>
      <w:bookmarkStart w:id="101" w:name="_Hlk85156939"/>
      <w:r>
        <w:rPr>
          <w:rFonts w:ascii="仿宋_GB2312" w:hint="eastAsia"/>
          <w:b/>
          <w:bCs/>
          <w:sz w:val="32"/>
          <w:szCs w:val="32"/>
        </w:rPr>
        <w:t>持续织密“天地空”一体化监测体系。</w:t>
      </w:r>
      <w:r>
        <w:rPr>
          <w:rFonts w:ascii="仿宋_GB2312" w:hint="eastAsia"/>
          <w:sz w:val="32"/>
          <w:szCs w:val="32"/>
        </w:rPr>
        <w:t>优化完善现有城市站、区域站、超级站建设，对现有大气超级站进行升级改造，加快泉州大气超级站建设，进一步推动其他地市大气超级站建设。完善PM</w:t>
      </w:r>
      <w:r>
        <w:rPr>
          <w:rFonts w:ascii="仿宋_GB2312" w:hint="eastAsia"/>
          <w:sz w:val="32"/>
          <w:szCs w:val="32"/>
          <w:vertAlign w:val="subscript"/>
        </w:rPr>
        <w:t>2.5</w:t>
      </w:r>
      <w:r>
        <w:rPr>
          <w:rFonts w:ascii="仿宋_GB2312" w:hint="eastAsia"/>
          <w:sz w:val="32"/>
          <w:szCs w:val="32"/>
        </w:rPr>
        <w:t>和臭氧协同控制立体监测网络，加密全省光化学组分网，重点城市开展颗粒物组分自动监测，设区市开展城市环境空气降尘监测。推进建设完善重点港区、园区、机场等特殊场地空气监测站点，鼓励具备条件的地方先行建设乡镇空气质量自动监测站。</w:t>
      </w:r>
      <w:r>
        <w:rPr>
          <w:rFonts w:ascii="仿宋_GB2312"/>
          <w:sz w:val="32"/>
          <w:szCs w:val="32"/>
        </w:rPr>
        <w:t>在</w:t>
      </w:r>
      <w:r>
        <w:rPr>
          <w:rFonts w:ascii="仿宋_GB2312" w:hint="eastAsia"/>
          <w:sz w:val="32"/>
          <w:szCs w:val="32"/>
        </w:rPr>
        <w:t>环湄洲湾臭氧防控重点区域以及城市之间的大气污染传输通道布设环境空气质量监测多功能子站，强化对该区域臭氧生成能力和城市间污染物传输情况的研究。探索开展城市站和背景站温室气体（二氧化碳、甲烷和一氧化二氮等）浓度监测</w:t>
      </w:r>
      <w:r>
        <w:rPr>
          <w:rFonts w:ascii="仿宋_GB2312" w:hint="eastAsia"/>
          <w:bCs/>
          <w:sz w:val="32"/>
          <w:szCs w:val="32"/>
        </w:rPr>
        <w:t>。</w:t>
      </w:r>
    </w:p>
    <w:p>
      <w:pPr>
        <w:rPr>
          <w:rFonts w:ascii="仿宋_GB2312"/>
          <w:sz w:val="32"/>
          <w:szCs w:val="32"/>
        </w:rPr>
      </w:pPr>
      <w:bookmarkEnd w:id="101"/>
      <w:r>
        <w:rPr>
          <w:rFonts w:ascii="仿宋_GB2312" w:hint="eastAsia"/>
          <w:b/>
          <w:bCs/>
          <w:sz w:val="32"/>
          <w:szCs w:val="32"/>
        </w:rPr>
        <w:t>提升污染物监测能力。</w:t>
      </w:r>
      <w:r>
        <w:rPr>
          <w:rFonts w:ascii="仿宋_GB2312" w:hint="eastAsia"/>
          <w:bCs/>
          <w:sz w:val="32"/>
          <w:szCs w:val="32"/>
        </w:rPr>
        <w:t>扩大工业污染源在线监控范围，地级及以上城市将涉VOCs和氮氧化物的重点行业企业纳入重点排污单位名录，覆盖率不低于工业源VOCs、氮氧化物排放量的</w:t>
      </w:r>
      <w:r>
        <w:rPr>
          <w:rFonts w:ascii="仿宋_GB2312"/>
          <w:bCs/>
          <w:sz w:val="32"/>
          <w:szCs w:val="32"/>
        </w:rPr>
        <w:t>65</w:t>
      </w:r>
      <w:r>
        <w:rPr>
          <w:rFonts w:ascii="仿宋_GB2312" w:hint="eastAsia"/>
          <w:bCs/>
          <w:sz w:val="32"/>
          <w:szCs w:val="32"/>
        </w:rPr>
        <w:t>%。重点排污单位应依法安装使用大气污染物排放自动监测设备，2021年底前完成与国家联网；</w:t>
      </w:r>
      <w:r>
        <w:rPr>
          <w:rFonts w:ascii="仿宋_GB2312" w:hint="eastAsia"/>
          <w:sz w:val="32"/>
          <w:szCs w:val="32"/>
        </w:rPr>
        <w:t>完善重点工业园区挥发性有机物自动监测监控体系，大型石化、化工园区</w:t>
      </w:r>
      <w:r>
        <w:rPr>
          <w:rFonts w:ascii="仿宋_GB2312"/>
          <w:sz w:val="32"/>
          <w:szCs w:val="32"/>
        </w:rPr>
        <w:t>探索</w:t>
      </w:r>
      <w:r>
        <w:rPr>
          <w:rFonts w:ascii="仿宋_GB2312" w:hint="eastAsia"/>
          <w:sz w:val="32"/>
          <w:szCs w:val="32"/>
        </w:rPr>
        <w:t>建立完善的大气环境特征污染因子自动监测、预警和应急系统，并实现与生态环境部门监控网络联网。加强卫星遥感、无人机巡查、在线监测、大数据、人工智能等科技手段的综合运用，全面排查污染源排放情况。</w:t>
      </w:r>
    </w:p>
    <w:p>
      <w:pPr>
        <w:pStyle w:val="402"/>
        <w:overflowPunct w:val="0"/>
        <w:spacing w:beforeLines="0" w:before="468" w:afterLines="0" w:after="468"/>
        <w:rPr>
          <w:rFonts w:ascii="Times New Roman" w:cs="Times New Roman" w:hAnsi="Times New Roman"/>
          <w:bCs/>
        </w:rPr>
      </w:pPr>
      <w:bookmarkStart w:id="102" w:name="_Toc89691272"/>
      <w:r>
        <w:rPr>
          <w:rFonts w:ascii="Times New Roman" w:cs="Times New Roman" w:hAnsi="Times New Roman"/>
          <w:bCs/>
        </w:rPr>
        <w:t>第四节 强化大气环境执法</w:t>
      </w:r>
      <w:bookmarkEnd w:id="102"/>
    </w:p>
    <w:p>
      <w:pPr>
        <w:rPr>
          <w:rFonts w:ascii="仿宋_GB2312"/>
          <w:sz w:val="32"/>
          <w:szCs w:val="32"/>
        </w:rPr>
      </w:pPr>
      <w:r>
        <w:rPr>
          <w:rFonts w:ascii="仿宋_GB2312" w:hint="eastAsia"/>
          <w:sz w:val="32"/>
          <w:szCs w:val="32"/>
        </w:rPr>
        <w:t>结合排污许可证核发、标准宣贯等工作，加强对石化、化工、工业涂装、包装印刷、储油库、加油站，以及钢铁、建材、有色等重点领域的监督执法。严厉打击不正常运行废气治理设施等环境违法违规行为</w:t>
      </w:r>
      <w:bookmarkStart w:id="103" w:name="_Hlk62496218"/>
      <w:r>
        <w:rPr>
          <w:rFonts w:ascii="仿宋_GB2312" w:hint="eastAsia"/>
          <w:sz w:val="32"/>
          <w:szCs w:val="32"/>
        </w:rPr>
        <w:t>；对企业自动监测监控设备运行情况开展专项检查，严厉打击自动监测监控设备不正常运行和数据造假等违法行为；对排污单位和第三方机构、人员参与弄虚作假的，分别依法追究责任。</w:t>
      </w:r>
      <w:bookmarkStart w:id="104" w:name="_Hlk62496931"/>
      <w:bookmarkEnd w:id="103"/>
      <w:r>
        <w:rPr>
          <w:rFonts w:ascii="仿宋_GB2312" w:hint="eastAsia"/>
          <w:sz w:val="32"/>
          <w:szCs w:val="32"/>
        </w:rPr>
        <w:t>完善“双随机、一公开”监管制度，</w:t>
      </w:r>
      <w:bookmarkEnd w:id="104"/>
      <w:r>
        <w:rPr>
          <w:rFonts w:ascii="仿宋_GB2312" w:hint="eastAsia"/>
          <w:sz w:val="32"/>
          <w:szCs w:val="32"/>
        </w:rPr>
        <w:t>拓展非现场监管手段应用。强化自动监控系统运行监管和信息公开，提高监控质量。强化基层生态环境保护综合行政执法标准化、信息化建设，切实提高执法效能。</w:t>
      </w:r>
    </w:p>
    <w:p>
      <w:pPr>
        <w:pStyle w:val="26"/>
        <w:adjustRightInd w:val="0"/>
        <w:snapToGrid w:val="0"/>
        <w:spacing w:after="0" w:line="360" w:lineRule="auto"/>
        <w:ind w:leftChars="0" w:left="0"/>
        <w:jc w:val="center"/>
        <w:rPr>
          <w:rFonts w:ascii="Times New Roman" w:eastAsia="楷体_GB2312" w:hAnsi="Times New Roman"/>
          <w:b/>
          <w:bCs/>
          <w:spacing w:val="11"/>
          <w:kern w:val="0"/>
          <w:sz w:val="32"/>
          <w:szCs w:val="32"/>
        </w:rPr>
      </w:pPr>
      <w:bookmarkEnd w:id="98"/>
      <w:r>
        <w:rPr>
          <w:rFonts w:ascii="Times New Roman" w:eastAsia="楷体_GB2312" w:hAnsi="Times New Roman"/>
          <w:b/>
          <w:bCs/>
          <w:spacing w:val="11"/>
          <w:kern w:val="0"/>
          <w:sz w:val="32"/>
          <w:szCs w:val="32"/>
        </w:rPr>
        <w:br w:type="page"/>
      </w:r>
    </w:p>
    <w:p>
      <w:pPr>
        <w:pStyle w:val="26"/>
        <w:adjustRightInd w:val="0"/>
        <w:snapToGrid w:val="0"/>
        <w:spacing w:after="0" w:line="360" w:lineRule="auto"/>
        <w:ind w:leftChars="0" w:left="0"/>
        <w:jc w:val="center"/>
        <w:rPr>
          <w:rFonts w:ascii="Times New Roman" w:eastAsia="楷体_GB2312" w:hAnsi="Times New Roman"/>
          <w:b/>
          <w:bCs/>
          <w:spacing w:val="11"/>
          <w:kern w:val="0"/>
          <w:sz w:val="32"/>
          <w:szCs w:val="32"/>
        </w:rPr>
      </w:pPr>
      <w:r>
        <w:rPr>
          <w:rFonts w:ascii="Times New Roman" w:eastAsia="楷体_GB2312" w:hAnsi="Times New Roman"/>
          <w:b/>
          <w:bCs/>
          <w:spacing w:val="11"/>
          <w:kern w:val="0"/>
          <w:sz w:val="32"/>
          <w:szCs w:val="32"/>
        </w:rPr>
        <w:t>专栏五：数字治气工程</w:t>
      </w:r>
    </w:p>
    <w:p>
      <w:pPr>
        <w:pBdr>
          <w:top w:val="single" w:sz="4" w:space="1" w:color="auto"/>
          <w:left w:val="single" w:sz="4" w:space="4" w:color="auto"/>
          <w:bottom w:val="single" w:sz="4" w:space="1" w:color="auto"/>
          <w:right w:val="single" w:sz="4" w:space="4" w:color="auto"/>
        </w:pBdr>
        <w:spacing w:line="460" w:lineRule="exact"/>
        <w:rPr>
          <w:rFonts w:ascii="仿宋_GB2312"/>
          <w:sz w:val="28"/>
          <w:szCs w:val="28"/>
        </w:rPr>
      </w:pPr>
      <w:r>
        <w:rPr>
          <w:rFonts w:ascii="仿宋_GB2312" w:hint="eastAsia"/>
          <w:b/>
          <w:bCs/>
          <w:sz w:val="28"/>
          <w:szCs w:val="28"/>
        </w:rPr>
        <w:t>（一）开展湄洲湾、兴化湾地区大气光化学污染综合观测研究。</w:t>
      </w:r>
    </w:p>
    <w:p>
      <w:pPr>
        <w:pBdr>
          <w:top w:val="single" w:sz="4" w:space="1" w:color="auto"/>
          <w:left w:val="single" w:sz="4" w:space="4" w:color="auto"/>
          <w:bottom w:val="single" w:sz="4" w:space="1" w:color="auto"/>
          <w:right w:val="single" w:sz="4" w:space="4" w:color="auto"/>
        </w:pBdr>
        <w:spacing w:line="460" w:lineRule="exact"/>
        <w:rPr>
          <w:rFonts w:ascii="仿宋_GB2312"/>
          <w:sz w:val="28"/>
          <w:szCs w:val="28"/>
        </w:rPr>
      </w:pPr>
      <w:r>
        <w:rPr>
          <w:rFonts w:ascii="仿宋_GB2312" w:hint="eastAsia"/>
          <w:b/>
          <w:bCs/>
          <w:sz w:val="28"/>
          <w:szCs w:val="28"/>
        </w:rPr>
        <w:t>（二）生态云大气模块升级工程。</w:t>
      </w:r>
    </w:p>
    <w:p>
      <w:pPr>
        <w:pBdr>
          <w:top w:val="single" w:sz="4" w:space="1" w:color="auto"/>
          <w:left w:val="single" w:sz="4" w:space="4" w:color="auto"/>
          <w:bottom w:val="single" w:sz="4" w:space="1" w:color="auto"/>
          <w:right w:val="single" w:sz="4" w:space="4" w:color="auto"/>
        </w:pBdr>
        <w:spacing w:line="460" w:lineRule="exact"/>
        <w:rPr>
          <w:rFonts w:ascii="仿宋_GB2312"/>
          <w:sz w:val="28"/>
          <w:szCs w:val="28"/>
        </w:rPr>
      </w:pPr>
      <w:bookmarkStart w:id="105" w:name="_Hlk87252068"/>
      <w:r>
        <w:rPr>
          <w:rFonts w:ascii="仿宋_GB2312" w:hint="eastAsia"/>
          <w:b/>
          <w:bCs/>
          <w:sz w:val="28"/>
          <w:szCs w:val="28"/>
        </w:rPr>
        <w:t>（三）</w:t>
      </w:r>
      <w:bookmarkStart w:id="106" w:name="_Hlk86623749"/>
      <w:bookmarkStart w:id="107" w:name="_Hlk86623733"/>
      <w:bookmarkStart w:id="108" w:name="_Hlk86623722"/>
      <w:r>
        <w:rPr>
          <w:rFonts w:ascii="仿宋_GB2312" w:hint="eastAsia"/>
          <w:b/>
          <w:bCs/>
          <w:sz w:val="28"/>
          <w:szCs w:val="28"/>
        </w:rPr>
        <w:t>监测网络提升工程。</w:t>
      </w:r>
      <w:r>
        <w:rPr>
          <w:rFonts w:ascii="仿宋_GB2312" w:hint="eastAsia"/>
          <w:sz w:val="28"/>
          <w:szCs w:val="28"/>
        </w:rPr>
        <w:t>完善现有空气站点自动监测网络，实施现有大气超级站升级改造，建设泉州大气超级站；</w:t>
      </w:r>
      <w:r>
        <w:rPr>
          <w:rFonts w:ascii="仿宋_GB2312" w:hint="eastAsia"/>
          <w:sz w:val="28"/>
          <w:szCs w:val="28"/>
          <w:shd w:val="clear" w:color="auto" w:fill="FFFFFF"/>
        </w:rPr>
        <w:t>福州、厦门、泉州开展颗粒物组分和</w:t>
      </w:r>
      <w:r>
        <w:rPr>
          <w:rFonts w:ascii="仿宋_GB2312" w:hint="eastAsia"/>
          <w:sz w:val="28"/>
          <w:szCs w:val="28"/>
        </w:rPr>
        <w:t>交通污染空气自动监测；完善全省光化学组分网，沿海地市加密布设VOCs自动监测点位；设区市开展城市环境空气降尘监测，探索开展城市站和背景站温室气体（二氧化碳、甲烷和一氧化二氮等）浓度监测</w:t>
      </w:r>
      <w:bookmarkEnd w:id="106"/>
      <w:r>
        <w:rPr>
          <w:rFonts w:ascii="仿宋_GB2312" w:hint="eastAsia"/>
          <w:sz w:val="28"/>
          <w:szCs w:val="28"/>
        </w:rPr>
        <w:t>。</w:t>
      </w:r>
    </w:p>
    <w:p>
      <w:pPr>
        <w:pStyle w:val="1"/>
        <w:keepNext w:val="0"/>
        <w:keepLines w:val="0"/>
        <w:widowControl w:val="0"/>
        <w:rPr>
          <w:rFonts w:ascii="Times New Roman" w:cs="Times New Roman" w:hAnsi="Times New Roman"/>
          <w:kern w:val="2"/>
          <w:sz w:val="30"/>
          <w:szCs w:val="30"/>
        </w:rPr>
      </w:pPr>
      <w:bookmarkEnd w:id="105"/>
      <w:bookmarkEnd w:id="107"/>
      <w:bookmarkEnd w:id="108"/>
      <w:r>
        <w:rPr>
          <w:rFonts w:ascii="Times New Roman" w:cs="Times New Roman" w:hAnsi="Times New Roman"/>
          <w:kern w:val="2"/>
          <w:sz w:val="30"/>
          <w:szCs w:val="30"/>
        </w:rPr>
        <w:br w:type="page"/>
      </w:r>
    </w:p>
    <w:p>
      <w:pPr>
        <w:pStyle w:val="400"/>
        <w:widowControl w:val="0"/>
        <w:overflowPunct w:val="0"/>
        <w:adjustRightInd w:val="0"/>
        <w:snapToGrid w:val="0"/>
        <w:spacing w:beforeLines="0" w:before="200" w:afterLines="0" w:after="200"/>
        <w:jc w:val="center"/>
        <w:rPr>
          <w:rFonts w:ascii="Times New Roman" w:hAnsi="Times New Roman"/>
          <w:bCs w:val="0"/>
          <w:szCs w:val="28"/>
        </w:rPr>
      </w:pPr>
      <w:bookmarkStart w:id="109" w:name="_Toc89691273"/>
      <w:r>
        <w:rPr>
          <w:rFonts w:ascii="Times New Roman" w:hAnsi="Times New Roman"/>
          <w:bCs w:val="0"/>
          <w:szCs w:val="28"/>
        </w:rPr>
        <w:t>第九章 完善制度机制，推进大气治理体系现代化</w:t>
      </w:r>
      <w:bookmarkEnd w:id="109"/>
    </w:p>
    <w:p>
      <w:pPr>
        <w:pStyle w:val="402"/>
        <w:overflowPunct w:val="0"/>
        <w:spacing w:beforeLines="0" w:before="468" w:afterLines="0" w:after="468"/>
        <w:rPr>
          <w:rFonts w:ascii="Times New Roman" w:cs="Times New Roman" w:hAnsi="Times New Roman"/>
          <w:bCs/>
        </w:rPr>
      </w:pPr>
      <w:bookmarkStart w:id="110" w:name="_Toc89691274"/>
      <w:bookmarkStart w:id="111" w:name="_Hlk76415328"/>
      <w:r>
        <w:rPr>
          <w:rFonts w:ascii="Times New Roman" w:cs="Times New Roman" w:hAnsi="Times New Roman"/>
          <w:bCs/>
        </w:rPr>
        <w:t>第一节 健全污染过程预警应急响应机制</w:t>
      </w:r>
      <w:bookmarkEnd w:id="110"/>
    </w:p>
    <w:p>
      <w:pPr>
        <w:widowControl/>
        <w:jc w:val="left"/>
        <w:rPr>
          <w:rFonts w:ascii="Times New Roman" w:hAnsi="Times New Roman"/>
          <w:sz w:val="32"/>
          <w:szCs w:val="32"/>
        </w:rPr>
      </w:pPr>
      <w:r>
        <w:rPr>
          <w:rFonts w:ascii="Times New Roman" w:hAnsi="Times New Roman"/>
          <w:b/>
          <w:bCs/>
          <w:sz w:val="32"/>
          <w:szCs w:val="32"/>
        </w:rPr>
        <w:t>完善应急清单和预案。</w:t>
      </w:r>
      <w:r>
        <w:rPr>
          <w:rFonts w:ascii="Times New Roman" w:hAnsi="Times New Roman"/>
          <w:sz w:val="32"/>
          <w:szCs w:val="32"/>
        </w:rPr>
        <w:t>完善轻微污染天气应对预案，应急减排措施做到涉气工业源、扬尘源、移动源、农业源、生活源等方面全覆盖，细化企业“一厂一策”实施方案，制定科学可行的措施，落实到具体减排的生产线和生产设施。鼓励和指导企业调整生产计划、实施错峰生产或应急</w:t>
      </w:r>
      <w:r>
        <w:rPr>
          <w:rFonts w:ascii="Times New Roman" w:hAnsi="Times New Roman" w:hint="eastAsia"/>
          <w:sz w:val="32"/>
          <w:szCs w:val="32"/>
        </w:rPr>
        <w:t>响应</w:t>
      </w:r>
      <w:r>
        <w:rPr>
          <w:rFonts w:ascii="Times New Roman" w:hAnsi="Times New Roman"/>
          <w:sz w:val="32"/>
          <w:szCs w:val="32"/>
        </w:rPr>
        <w:t>期间限产停产。提高大气污染应急响应能力，完善应急响应专家库建设，提高应急基础硬件设施水平，壮大应急人员队伍。</w:t>
      </w:r>
    </w:p>
    <w:p>
      <w:pPr>
        <w:pStyle w:val="402"/>
        <w:overflowPunct w:val="0"/>
        <w:spacing w:beforeLines="0" w:before="468" w:afterLines="0" w:after="468"/>
        <w:rPr>
          <w:rFonts w:ascii="Times New Roman" w:cs="Times New Roman" w:hAnsi="Times New Roman"/>
          <w:bCs/>
        </w:rPr>
      </w:pPr>
      <w:bookmarkStart w:id="112" w:name="_Toc89691275"/>
      <w:r>
        <w:rPr>
          <w:rFonts w:ascii="Times New Roman" w:cs="Times New Roman" w:hAnsi="Times New Roman"/>
          <w:bCs/>
        </w:rPr>
        <w:t>第二节 强化精细化管理机制</w:t>
      </w:r>
      <w:bookmarkEnd w:id="112"/>
    </w:p>
    <w:p>
      <w:pPr>
        <w:rPr>
          <w:rFonts w:ascii="仿宋_GB2312"/>
          <w:sz w:val="32"/>
          <w:szCs w:val="32"/>
        </w:rPr>
      </w:pPr>
      <w:r>
        <w:rPr>
          <w:rFonts w:ascii="仿宋_GB2312" w:hint="eastAsia"/>
          <w:b/>
          <w:sz w:val="32"/>
          <w:szCs w:val="32"/>
        </w:rPr>
        <w:t>深化大气污染成因分析。</w:t>
      </w:r>
      <w:r>
        <w:rPr>
          <w:rFonts w:ascii="仿宋_GB2312" w:hint="eastAsia"/>
          <w:sz w:val="32"/>
          <w:szCs w:val="32"/>
        </w:rPr>
        <w:t>持续开展沿海地区污染源追踪与解析，开展O</w:t>
      </w:r>
      <w:r>
        <w:rPr>
          <w:rFonts w:ascii="仿宋_GB2312" w:hint="eastAsia"/>
          <w:sz w:val="32"/>
          <w:szCs w:val="32"/>
          <w:vertAlign w:val="subscript"/>
        </w:rPr>
        <w:t>3</w:t>
      </w:r>
      <w:r>
        <w:rPr>
          <w:rFonts w:ascii="仿宋_GB2312" w:hint="eastAsia"/>
          <w:sz w:val="32"/>
          <w:szCs w:val="32"/>
        </w:rPr>
        <w:t>、PM</w:t>
      </w:r>
      <w:r>
        <w:rPr>
          <w:rFonts w:ascii="仿宋_GB2312" w:hint="eastAsia"/>
          <w:sz w:val="32"/>
          <w:szCs w:val="32"/>
          <w:vertAlign w:val="subscript"/>
        </w:rPr>
        <w:t>2.5</w:t>
      </w:r>
      <w:r>
        <w:rPr>
          <w:rFonts w:ascii="仿宋_GB2312" w:hint="eastAsia"/>
          <w:sz w:val="32"/>
          <w:szCs w:val="32"/>
        </w:rPr>
        <w:t>、VOCs等来源解析工作，找准本地区大气污染成因及污染来源。设区市开展污染源清单更新</w:t>
      </w:r>
      <w:r>
        <w:rPr>
          <w:rFonts w:ascii="仿宋_GB2312"/>
          <w:sz w:val="32"/>
          <w:szCs w:val="32"/>
        </w:rPr>
        <w:t>工作</w:t>
      </w:r>
      <w:r>
        <w:rPr>
          <w:rFonts w:ascii="仿宋_GB2312" w:hint="eastAsia"/>
          <w:sz w:val="32"/>
          <w:szCs w:val="32"/>
        </w:rPr>
        <w:t>，建立跨部门数据收集和动态更新机制，推进清单编制程序化、标准化、业务化，实现污染源清单动态更新。</w:t>
      </w:r>
      <w:bookmarkStart w:id="113" w:name="_Hlk88345470"/>
      <w:r>
        <w:rPr>
          <w:rFonts w:ascii="仿宋_GB2312" w:hint="eastAsia"/>
          <w:sz w:val="32"/>
          <w:szCs w:val="32"/>
        </w:rPr>
        <w:t>推进精准治污，</w:t>
      </w:r>
      <w:bookmarkEnd w:id="113"/>
      <w:r>
        <w:rPr>
          <w:rFonts w:ascii="仿宋_GB2312" w:hint="eastAsia"/>
          <w:sz w:val="32"/>
          <w:szCs w:val="32"/>
        </w:rPr>
        <w:t>选取莆田、泉州、漳州等典型城市积极推广实施细颗粒物和臭氧污染协同防控“一市一策”驻点跟踪研究；分类施策，实施重点企业“一厂一策”管理，推进产业转型升级。深化差异化管控，按照污染天气应对管理办法，排查重点行业工业企业，探索建立分类分级企业应急减排清单。</w:t>
      </w:r>
    </w:p>
    <w:p>
      <w:pPr>
        <w:pStyle w:val="402"/>
        <w:overflowPunct w:val="0"/>
        <w:spacing w:beforeLines="0" w:before="468" w:afterLines="0" w:after="468"/>
        <w:rPr>
          <w:rFonts w:ascii="Times New Roman" w:cs="Times New Roman" w:hAnsi="Times New Roman"/>
          <w:bCs/>
        </w:rPr>
      </w:pPr>
      <w:bookmarkStart w:id="114" w:name="_Toc22927"/>
      <w:bookmarkStart w:id="115" w:name="_Toc62577597"/>
      <w:bookmarkStart w:id="116" w:name="_Toc24032"/>
      <w:bookmarkStart w:id="117" w:name="_Toc4716"/>
      <w:bookmarkStart w:id="118" w:name="_Toc89691276"/>
      <w:r>
        <w:rPr>
          <w:rFonts w:ascii="Times New Roman" w:cs="Times New Roman" w:hAnsi="Times New Roman"/>
          <w:bCs/>
        </w:rPr>
        <w:t>第三节 完善固定污染源排污许可制度</w:t>
      </w:r>
      <w:bookmarkEnd w:id="114"/>
      <w:bookmarkEnd w:id="115"/>
      <w:bookmarkEnd w:id="116"/>
      <w:bookmarkEnd w:id="117"/>
      <w:bookmarkEnd w:id="118"/>
    </w:p>
    <w:p>
      <w:pPr>
        <w:rPr>
          <w:rFonts w:ascii="Times New Roman" w:hAnsi="Times New Roman"/>
          <w:bCs/>
          <w:sz w:val="32"/>
          <w:szCs w:val="32"/>
        </w:rPr>
      </w:pPr>
      <w:r>
        <w:rPr>
          <w:rFonts w:ascii="Times New Roman" w:hAnsi="Times New Roman"/>
          <w:bCs/>
          <w:sz w:val="32"/>
          <w:szCs w:val="32"/>
        </w:rPr>
        <w:t>将环评中污染物排放控制、特殊时段禁止或者限制污染物排放、企事业单位污染物排放量削减要求以及排污权分配交易情况等载入排污许可证。加强排污许可的事中事后监管以及排污许可证内容的核查，加强对无证排污、不按证排污以及不按许可证要求落实环境管理等违法行为的监督执法。</w:t>
      </w:r>
    </w:p>
    <w:p>
      <w:pPr>
        <w:rPr>
          <w:rFonts w:ascii="Times New Roman" w:hAnsi="Times New Roman"/>
          <w:bCs/>
          <w:sz w:val="32"/>
          <w:szCs w:val="32"/>
        </w:rPr>
      </w:pPr>
    </w:p>
    <w:p>
      <w:pPr>
        <w:pStyle w:val="273"/>
      </w:pPr>
      <w:bookmarkEnd w:id="111"/>
      <w:r>
        <w:br w:type="page"/>
      </w:r>
    </w:p>
    <w:p>
      <w:pPr>
        <w:pStyle w:val="400"/>
        <w:widowControl w:val="0"/>
        <w:overflowPunct w:val="0"/>
        <w:adjustRightInd w:val="0"/>
        <w:snapToGrid w:val="0"/>
        <w:spacing w:beforeLines="0" w:before="200" w:afterLines="0" w:after="200"/>
        <w:jc w:val="center"/>
        <w:rPr>
          <w:rFonts w:ascii="Times New Roman" w:hAnsi="Times New Roman"/>
          <w:bCs w:val="0"/>
          <w:szCs w:val="28"/>
        </w:rPr>
      </w:pPr>
      <w:bookmarkStart w:id="119" w:name="_Toc89691277"/>
      <w:bookmarkStart w:id="120" w:name="_Hlk87246312"/>
      <w:r>
        <w:rPr>
          <w:rFonts w:ascii="Times New Roman" w:hAnsi="Times New Roman"/>
          <w:bCs w:val="0"/>
          <w:szCs w:val="28"/>
        </w:rPr>
        <w:t>第十章 强化“一区一策”，推动区域精细化管控</w:t>
      </w:r>
      <w:bookmarkEnd w:id="119"/>
    </w:p>
    <w:p>
      <w:pPr>
        <w:pStyle w:val="402"/>
        <w:overflowPunct w:val="0"/>
        <w:spacing w:beforeLines="0" w:before="468" w:afterLines="0" w:after="468"/>
        <w:rPr>
          <w:rFonts w:ascii="Times New Roman" w:cs="Times New Roman" w:hAnsi="Times New Roman"/>
          <w:bCs/>
        </w:rPr>
      </w:pPr>
      <w:bookmarkStart w:id="121" w:name="_Toc89691278"/>
      <w:r>
        <w:rPr>
          <w:rFonts w:ascii="Times New Roman" w:cs="Times New Roman" w:hAnsi="Times New Roman"/>
          <w:bCs/>
        </w:rPr>
        <w:t>第一节 环罗源湾—三都澳区</w:t>
      </w:r>
      <w:bookmarkEnd w:id="121"/>
    </w:p>
    <w:p>
      <w:pPr>
        <w:ind w:firstLineChars="196" w:firstLine="627"/>
        <w:rPr>
          <w:rFonts w:ascii="仿宋_GB2312"/>
          <w:bCs/>
          <w:sz w:val="32"/>
          <w:szCs w:val="32"/>
        </w:rPr>
      </w:pPr>
      <w:r>
        <w:rPr>
          <w:rFonts w:ascii="仿宋_GB2312"/>
          <w:bCs/>
          <w:sz w:val="32"/>
          <w:szCs w:val="32"/>
        </w:rPr>
        <w:t>对</w:t>
      </w:r>
      <w:r>
        <w:rPr>
          <w:rFonts w:ascii="仿宋_GB2312" w:hint="eastAsia"/>
          <w:bCs/>
          <w:sz w:val="32"/>
          <w:szCs w:val="32"/>
        </w:rPr>
        <w:t>以福州（福清江阴除外）、宁德为主的环罗源湾、环三都澳区域，深入开展臭氧和细颗粒物协同控制，推进钢铁、火电、化工、建陶等重点行业减污降碳协同增效。强化大气污染区域联防联控。</w:t>
      </w:r>
    </w:p>
    <w:p>
      <w:pPr>
        <w:ind w:firstLineChars="196" w:firstLine="627"/>
        <w:rPr>
          <w:rFonts w:ascii="仿宋_GB2312"/>
          <w:sz w:val="24"/>
          <w:szCs w:val="24"/>
        </w:rPr>
      </w:pPr>
      <w:r>
        <w:rPr>
          <w:rFonts w:ascii="仿宋_GB2312" w:hint="eastAsia"/>
          <w:bCs/>
          <w:sz w:val="32"/>
          <w:szCs w:val="32"/>
        </w:rPr>
        <w:t>福州市空气质量</w:t>
      </w:r>
      <w:r>
        <w:rPr>
          <w:rFonts w:ascii="仿宋_GB2312" w:hint="eastAsia"/>
          <w:sz w:val="32"/>
          <w:szCs w:val="32"/>
        </w:rPr>
        <w:t>继续保持全国重点城市前列</w:t>
      </w:r>
      <w:r>
        <w:rPr>
          <w:rFonts w:ascii="仿宋_GB2312" w:hint="eastAsia"/>
          <w:bCs/>
          <w:sz w:val="32"/>
          <w:szCs w:val="32"/>
        </w:rPr>
        <w:t>。加快环罗源湾钢铁产业集中区超低排放改造；推进闽清建陶行业炉窑 “煤改气”、“煤改电”，积极开展干燥塔等其他工艺流程深度治理。推进重点行业VOCs2.0整治，深化储罐、家具、包装印刷、船舶涂装工序、汽车涂装工序、化纤与纺织、化工等重点行业VOCs治理。进一步完善建筑施工扬尘管控长效机制，强化道路扬尘综合整治及裸露地管控，有效削减颗粒物浓度。</w:t>
      </w:r>
    </w:p>
    <w:p>
      <w:pPr>
        <w:ind w:firstLineChars="196" w:firstLine="627"/>
        <w:rPr>
          <w:rFonts w:ascii="仿宋_GB2312"/>
          <w:bCs/>
          <w:sz w:val="32"/>
          <w:szCs w:val="32"/>
        </w:rPr>
      </w:pPr>
      <w:r>
        <w:rPr>
          <w:rFonts w:ascii="仿宋_GB2312" w:hint="eastAsia"/>
          <w:bCs/>
          <w:sz w:val="32"/>
          <w:szCs w:val="32"/>
        </w:rPr>
        <w:t>宁德市要加快推动青拓镍业、青拓实业</w:t>
      </w:r>
      <w:r>
        <w:rPr>
          <w:rFonts w:ascii="仿宋_GB2312"/>
          <w:bCs/>
          <w:sz w:val="32"/>
          <w:szCs w:val="32"/>
        </w:rPr>
        <w:t>等钢铁企业</w:t>
      </w:r>
      <w:r>
        <w:rPr>
          <w:rFonts w:ascii="仿宋_GB2312" w:hint="eastAsia"/>
          <w:bCs/>
          <w:sz w:val="32"/>
          <w:szCs w:val="32"/>
        </w:rPr>
        <w:t>超低排放改造，推进漳湾垃圾焚烧发电提标改造。积极推进宁德市精制茶、食用菌等燃煤锅炉清洁能源替代。强化锂电池制造、汽车涂装、化工、电机、包装印刷等重点行业VOCs治理。加强福鼎龙安、文渡工业区合成革企业二甲胺等臭气污染治理。大力推广使用新能源汽车，推进</w:t>
      </w:r>
      <w:r>
        <w:rPr>
          <w:rFonts w:ascii="仿宋_GB2312" w:hint="eastAsia"/>
          <w:sz w:val="32"/>
          <w:szCs w:val="32"/>
        </w:rPr>
        <w:t>机动车遥感监测数据执法处罚应用，</w:t>
      </w:r>
      <w:r>
        <w:rPr>
          <w:rFonts w:ascii="仿宋_GB2312" w:hint="eastAsia"/>
          <w:bCs/>
          <w:snapToGrid w:val="0"/>
          <w:kern w:val="0"/>
          <w:sz w:val="32"/>
          <w:szCs w:val="32"/>
        </w:rPr>
        <w:t>利用机动车遥感监测系统对机动车尾气排放监管。</w:t>
      </w:r>
    </w:p>
    <w:p>
      <w:pPr>
        <w:pStyle w:val="402"/>
        <w:overflowPunct w:val="0"/>
        <w:spacing w:beforeLines="0" w:before="468" w:afterLines="0" w:after="468"/>
        <w:rPr>
          <w:rFonts w:ascii="Times New Roman" w:cs="Times New Roman" w:hAnsi="Times New Roman"/>
          <w:bCs/>
        </w:rPr>
      </w:pPr>
      <w:bookmarkStart w:id="122" w:name="_Toc89691279"/>
      <w:r>
        <w:rPr>
          <w:rFonts w:ascii="Times New Roman" w:cs="Times New Roman" w:hAnsi="Times New Roman"/>
          <w:bCs/>
        </w:rPr>
        <w:t>第二节 环湄洲湾区</w:t>
      </w:r>
      <w:bookmarkEnd w:id="122"/>
    </w:p>
    <w:p>
      <w:pPr>
        <w:rPr>
          <w:rFonts w:ascii="仿宋_GB2312"/>
          <w:bCs/>
          <w:sz w:val="32"/>
          <w:szCs w:val="32"/>
        </w:rPr>
      </w:pPr>
      <w:r>
        <w:rPr>
          <w:rFonts w:ascii="仿宋_GB2312"/>
          <w:bCs/>
          <w:sz w:val="32"/>
          <w:szCs w:val="32"/>
        </w:rPr>
        <w:t>对</w:t>
      </w:r>
      <w:r>
        <w:rPr>
          <w:rFonts w:ascii="仿宋_GB2312" w:hint="eastAsia"/>
          <w:bCs/>
          <w:sz w:val="32"/>
          <w:szCs w:val="32"/>
        </w:rPr>
        <w:t>以福清江阴、莆田、泉州泉港及泉惠为主的环湄洲湾区域，着力打好臭氧污染防治攻坚战，强化臭氧与细颗粒物协同控制，推动石化、化工等重点行业减污降碳协同增效。加快开展大气光化学污染综合观测研究，探索大气污染成因。</w:t>
      </w:r>
    </w:p>
    <w:p>
      <w:pPr>
        <w:rPr>
          <w:rFonts w:ascii="仿宋_GB2312"/>
          <w:bCs/>
          <w:sz w:val="32"/>
          <w:szCs w:val="32"/>
        </w:rPr>
      </w:pPr>
      <w:r>
        <w:rPr>
          <w:rFonts w:ascii="仿宋_GB2312" w:hint="eastAsia"/>
          <w:bCs/>
          <w:sz w:val="32"/>
          <w:szCs w:val="32"/>
        </w:rPr>
        <w:t>福清江阴工业区全面加强VOCs治理。大力推进化工、制药等行业VOCs综合治理，推广LDAR（泄漏检测与修复）技术。实施储罐综合治理，强化化工码头物料装卸的管理，提高物料输送管道、接头密闭性等，减少VOCs无组织排放，开展园区监测评估。</w:t>
      </w:r>
    </w:p>
    <w:p>
      <w:pPr>
        <w:rPr>
          <w:rFonts w:ascii="仿宋_GB2312"/>
          <w:bCs/>
          <w:sz w:val="32"/>
          <w:szCs w:val="32"/>
        </w:rPr>
      </w:pPr>
      <w:r>
        <w:rPr>
          <w:rFonts w:ascii="仿宋_GB2312" w:hint="eastAsia"/>
          <w:bCs/>
          <w:sz w:val="32"/>
          <w:szCs w:val="32"/>
        </w:rPr>
        <w:t>莆田市强化臭氧污染防控。推进制鞋、包装印刷、家具制造等重点行业实施低VOCs原辅材料替代等全过程治理。积极</w:t>
      </w:r>
      <w:r>
        <w:rPr>
          <w:rFonts w:ascii="仿宋_GB2312"/>
          <w:bCs/>
          <w:sz w:val="32"/>
          <w:szCs w:val="32"/>
        </w:rPr>
        <w:t>推进</w:t>
      </w:r>
      <w:r>
        <w:rPr>
          <w:rFonts w:ascii="仿宋_GB2312" w:hint="eastAsia"/>
          <w:bCs/>
          <w:sz w:val="32"/>
          <w:szCs w:val="32"/>
        </w:rPr>
        <w:t>制鞋等产业集中区推进建立统一的活性炭脱附、处理中心，规范环境管理。深化城区周边橡胶、湄洲湾北岸化纤等VOCs综合整治。</w:t>
      </w:r>
    </w:p>
    <w:p>
      <w:pPr>
        <w:rPr>
          <w:rFonts w:ascii="仿宋_GB2312"/>
          <w:bCs/>
          <w:sz w:val="32"/>
          <w:szCs w:val="32"/>
        </w:rPr>
      </w:pPr>
      <w:r>
        <w:rPr>
          <w:rFonts w:ascii="仿宋_GB2312" w:hint="eastAsia"/>
          <w:bCs/>
          <w:sz w:val="32"/>
          <w:szCs w:val="32"/>
        </w:rPr>
        <w:t>泉港、泉惠大力推进石化园区减污降碳。深化工艺过程VOCs排放控制水平，实施储罐综合治理、装卸废气收集治理、开展敞开液面废气专项治理。</w:t>
      </w:r>
      <w:r>
        <w:rPr>
          <w:rFonts w:ascii="仿宋_GB2312" w:hint="eastAsia"/>
          <w:sz w:val="32"/>
          <w:szCs w:val="32"/>
        </w:rPr>
        <w:t>开展园区监测评估</w:t>
      </w:r>
      <w:r>
        <w:rPr>
          <w:rFonts w:ascii="仿宋_GB2312" w:hint="eastAsia"/>
          <w:bCs/>
          <w:sz w:val="32"/>
          <w:szCs w:val="32"/>
        </w:rPr>
        <w:t>及VOCs组分清单编制。进一步提升LDAR的修复合格率，强化LDAR</w:t>
      </w:r>
      <w:r>
        <w:rPr>
          <w:rFonts w:ascii="仿宋_GB2312" w:hint="eastAsia"/>
          <w:sz w:val="32"/>
          <w:szCs w:val="32"/>
        </w:rPr>
        <w:t>统一监管。</w:t>
      </w:r>
    </w:p>
    <w:p>
      <w:pPr>
        <w:pStyle w:val="402"/>
        <w:overflowPunct w:val="0"/>
        <w:spacing w:beforeLines="0" w:before="468" w:afterLines="0" w:after="468"/>
        <w:rPr>
          <w:rFonts w:ascii="Times New Roman" w:cs="Times New Roman" w:hAnsi="Times New Roman"/>
          <w:bCs/>
        </w:rPr>
      </w:pPr>
      <w:bookmarkStart w:id="123" w:name="_Toc89691280"/>
      <w:r>
        <w:rPr>
          <w:rFonts w:ascii="Times New Roman" w:cs="Times New Roman" w:hAnsi="Times New Roman"/>
          <w:bCs/>
        </w:rPr>
        <w:t>第三节 闽南三角区</w:t>
      </w:r>
      <w:bookmarkEnd w:id="123"/>
    </w:p>
    <w:p>
      <w:pPr>
        <w:rPr>
          <w:rFonts w:ascii="仿宋_GB2312"/>
          <w:bCs/>
          <w:sz w:val="32"/>
          <w:szCs w:val="32"/>
        </w:rPr>
      </w:pPr>
      <w:r>
        <w:rPr>
          <w:rFonts w:ascii="仿宋_GB2312"/>
          <w:bCs/>
          <w:sz w:val="32"/>
          <w:szCs w:val="32"/>
        </w:rPr>
        <w:t>对</w:t>
      </w:r>
      <w:r>
        <w:rPr>
          <w:rFonts w:ascii="仿宋_GB2312" w:hint="eastAsia"/>
          <w:bCs/>
          <w:sz w:val="32"/>
          <w:szCs w:val="32"/>
        </w:rPr>
        <w:t>以厦门、泉州（泉港、泉惠除外）、漳州城区及其沿海区县为主的闽南三角区，深入开展臭氧和细颗粒物协同控制，实施VOCs源头控制、运行管理和末端治理全过程管控，强化大气污染区域联防联控。</w:t>
      </w:r>
    </w:p>
    <w:p>
      <w:pPr>
        <w:rPr>
          <w:rFonts w:ascii="仿宋_GB2312"/>
          <w:bCs/>
          <w:sz w:val="32"/>
          <w:szCs w:val="32"/>
        </w:rPr>
      </w:pPr>
      <w:r>
        <w:rPr>
          <w:rFonts w:ascii="仿宋_GB2312" w:hint="eastAsia"/>
          <w:bCs/>
          <w:sz w:val="32"/>
          <w:szCs w:val="32"/>
        </w:rPr>
        <w:t>厦门市空气质量</w:t>
      </w:r>
      <w:r>
        <w:rPr>
          <w:rFonts w:ascii="仿宋_GB2312" w:hint="eastAsia"/>
          <w:sz w:val="32"/>
          <w:szCs w:val="32"/>
        </w:rPr>
        <w:t>继续保持全国重点城市前列</w:t>
      </w:r>
      <w:r>
        <w:rPr>
          <w:rFonts w:ascii="仿宋_GB2312" w:hint="eastAsia"/>
          <w:bCs/>
          <w:sz w:val="32"/>
          <w:szCs w:val="32"/>
        </w:rPr>
        <w:t>。深化岛内移动源污染防治，大力推广使用新能源汽车，加强厦门港区、物流园区以及进出岛柴油车的日常监督抽测。加强绿色港口建设，强化</w:t>
      </w:r>
      <w:r>
        <w:rPr>
          <w:rFonts w:ascii="仿宋_GB2312" w:hint="eastAsia"/>
          <w:sz w:val="32"/>
          <w:szCs w:val="32"/>
        </w:rPr>
        <w:t>船舶排放控制区日常监管和执法检查，推广船舶岸电使</w:t>
      </w:r>
      <w:r>
        <w:rPr>
          <w:rFonts w:ascii="仿宋_GB2312" w:hint="eastAsia"/>
          <w:bCs/>
          <w:sz w:val="32"/>
          <w:szCs w:val="32"/>
        </w:rPr>
        <w:t>用；加快</w:t>
      </w:r>
      <w:r>
        <w:rPr>
          <w:rFonts w:ascii="仿宋_GB2312" w:hint="eastAsia"/>
          <w:sz w:val="32"/>
          <w:szCs w:val="32"/>
        </w:rPr>
        <w:t>石湖山散杂货码头及海沧7#、8#泊位煤码头搬迁或整合，实施干散货码头扬尘综合整治</w:t>
      </w:r>
      <w:r>
        <w:rPr>
          <w:rFonts w:ascii="仿宋_GB2312" w:hint="eastAsia"/>
          <w:bCs/>
          <w:sz w:val="32"/>
          <w:szCs w:val="32"/>
        </w:rPr>
        <w:t>；油品码头安装油气回收系统，实施油气回收系统改造。持续推进岛外工业涂装、化工、机械加工、包装印刷等重点行业开展新一轮的VOCs整治，</w:t>
      </w:r>
      <w:r>
        <w:rPr>
          <w:rFonts w:ascii="仿宋_GB2312" w:hint="eastAsia"/>
          <w:sz w:val="32"/>
          <w:szCs w:val="32"/>
        </w:rPr>
        <w:t>推进实施VOCs源头替代</w:t>
      </w:r>
      <w:r>
        <w:rPr>
          <w:rFonts w:ascii="仿宋_GB2312" w:hint="eastAsia"/>
          <w:b/>
          <w:sz w:val="32"/>
          <w:szCs w:val="32"/>
        </w:rPr>
        <w:t>，</w:t>
      </w:r>
      <w:r>
        <w:rPr>
          <w:rFonts w:ascii="仿宋_GB2312" w:hint="eastAsia"/>
          <w:sz w:val="32"/>
          <w:szCs w:val="32"/>
        </w:rPr>
        <w:t>推广使用低（无）VOCs含量的原辅材料。强化</w:t>
      </w:r>
      <w:r>
        <w:rPr>
          <w:rFonts w:ascii="仿宋_GB2312" w:hint="eastAsia"/>
          <w:bCs/>
          <w:sz w:val="32"/>
          <w:szCs w:val="32"/>
        </w:rPr>
        <w:t>扬尘治理，进一步完善建筑施工扬尘管控的长效机制，加强裸露地块整治。</w:t>
      </w:r>
    </w:p>
    <w:p>
      <w:pPr>
        <w:rPr>
          <w:rFonts w:ascii="仿宋_GB2312"/>
        </w:rPr>
      </w:pPr>
      <w:r>
        <w:rPr>
          <w:rFonts w:ascii="仿宋_GB2312" w:hint="eastAsia"/>
          <w:bCs/>
          <w:sz w:val="32"/>
          <w:szCs w:val="32"/>
        </w:rPr>
        <w:t>漳州市全面提升颗粒物和臭氧精细化管控水平。深化城区及周边施工扬尘、道路扬尘治理，建立建筑施工扬尘管控的长效机制，加强裸露地块整治，有效削减PM</w:t>
      </w:r>
      <w:r>
        <w:rPr>
          <w:rFonts w:ascii="仿宋_GB2312" w:hint="eastAsia"/>
          <w:bCs/>
          <w:sz w:val="32"/>
          <w:szCs w:val="32"/>
          <w:vertAlign w:val="subscript"/>
        </w:rPr>
        <w:t>2.5</w:t>
      </w:r>
      <w:r>
        <w:rPr>
          <w:rFonts w:ascii="仿宋_GB2312" w:hint="eastAsia"/>
          <w:bCs/>
          <w:sz w:val="32"/>
          <w:szCs w:val="32"/>
        </w:rPr>
        <w:t>、PM</w:t>
      </w:r>
      <w:r>
        <w:rPr>
          <w:rFonts w:ascii="仿宋_GB2312" w:hint="eastAsia"/>
          <w:bCs/>
          <w:sz w:val="32"/>
          <w:szCs w:val="32"/>
          <w:vertAlign w:val="subscript"/>
        </w:rPr>
        <w:t>10</w:t>
      </w:r>
      <w:r>
        <w:rPr>
          <w:rFonts w:ascii="仿宋_GB2312" w:hint="eastAsia"/>
          <w:bCs/>
          <w:sz w:val="32"/>
          <w:szCs w:val="32"/>
        </w:rPr>
        <w:t>浓度。加快三宝等钢铁行业超低排放改造，推进蒲姜岭生活垃圾焚烧发电厂</w:t>
      </w:r>
      <w:r>
        <w:rPr>
          <w:rFonts w:ascii="仿宋_GB2312"/>
          <w:bCs/>
          <w:sz w:val="32"/>
          <w:szCs w:val="32"/>
        </w:rPr>
        <w:t>实施</w:t>
      </w:r>
      <w:r>
        <w:rPr>
          <w:rFonts w:ascii="仿宋_GB2312" w:hint="eastAsia"/>
          <w:bCs/>
          <w:sz w:val="32"/>
          <w:szCs w:val="32"/>
        </w:rPr>
        <w:t>提标改造工程。强化城区周边金峰开发区、蓝田开发区及上风向漳州台商投资区包装印刷、涂装工序、家具、化工等行业VOCs综合整治。推进华能古雷热电厂一期（北厂区）、漳浦县赤湖工业园等热电联产机组或大型集中供热设施建设，淘汰管网覆盖范围内的燃煤锅炉。推进古雷石化园区减污降碳，深化工艺过程VOCs排放控制水平，实施储罐综合治理、装卸废气收集治理</w:t>
      </w:r>
      <w:r>
        <w:rPr>
          <w:rFonts w:ascii="仿宋_GB2312"/>
          <w:bCs/>
          <w:sz w:val="32"/>
          <w:szCs w:val="32"/>
        </w:rPr>
        <w:t>，</w:t>
      </w:r>
      <w:r>
        <w:rPr>
          <w:rFonts w:ascii="仿宋_GB2312" w:hint="eastAsia"/>
          <w:bCs/>
          <w:sz w:val="32"/>
          <w:szCs w:val="32"/>
        </w:rPr>
        <w:t>开展敞开液面废气</w:t>
      </w:r>
      <w:r>
        <w:rPr>
          <w:rFonts w:ascii="仿宋_GB2312"/>
          <w:bCs/>
          <w:sz w:val="32"/>
          <w:szCs w:val="32"/>
        </w:rPr>
        <w:t>排查整治</w:t>
      </w:r>
      <w:r>
        <w:rPr>
          <w:rFonts w:ascii="仿宋_GB2312" w:hint="eastAsia"/>
          <w:bCs/>
          <w:sz w:val="32"/>
          <w:szCs w:val="32"/>
        </w:rPr>
        <w:t>，</w:t>
      </w:r>
      <w:r>
        <w:rPr>
          <w:rFonts w:ascii="仿宋_GB2312" w:hint="eastAsia"/>
          <w:sz w:val="32"/>
          <w:szCs w:val="32"/>
        </w:rPr>
        <w:t>开展园区监测评估</w:t>
      </w:r>
      <w:r>
        <w:rPr>
          <w:rFonts w:ascii="仿宋_GB2312" w:hint="eastAsia"/>
          <w:bCs/>
          <w:sz w:val="32"/>
          <w:szCs w:val="32"/>
        </w:rPr>
        <w:t>及VOCs组分清单编制。进一步提升LDAR的修复合格率，强化LDAR</w:t>
      </w:r>
      <w:r>
        <w:rPr>
          <w:rFonts w:ascii="仿宋_GB2312" w:hint="eastAsia"/>
          <w:sz w:val="32"/>
          <w:szCs w:val="32"/>
        </w:rPr>
        <w:t>统一监管</w:t>
      </w:r>
      <w:r>
        <w:rPr>
          <w:rFonts w:ascii="仿宋_GB2312" w:hint="eastAsia"/>
          <w:bCs/>
          <w:sz w:val="32"/>
          <w:szCs w:val="32"/>
        </w:rPr>
        <w:t>。</w:t>
      </w:r>
    </w:p>
    <w:p>
      <w:pPr>
        <w:rPr>
          <w:rFonts w:ascii="Times New Roman" w:hAnsi="Times New Roman"/>
          <w:bCs/>
          <w:sz w:val="32"/>
          <w:szCs w:val="32"/>
        </w:rPr>
      </w:pPr>
      <w:r>
        <w:rPr>
          <w:rFonts w:ascii="仿宋_GB2312" w:hint="eastAsia"/>
          <w:bCs/>
          <w:sz w:val="32"/>
          <w:szCs w:val="32"/>
        </w:rPr>
        <w:t>泉州市大力推动减污降碳协同增效，着力打好臭氧污染防治攻坚战。持续巩固泉州晋江、南安建陶行业“煤改气”、“煤改电”治理成效，积极开展</w:t>
      </w:r>
      <w:r>
        <w:rPr>
          <w:rFonts w:ascii="仿宋_GB2312" w:hint="eastAsia"/>
          <w:sz w:val="32"/>
          <w:szCs w:val="32"/>
        </w:rPr>
        <w:t>炉窑、喷雾干燥塔等深度治理。积极推进石狮、晋江制鞋等产业集中区</w:t>
      </w:r>
      <w:r>
        <w:rPr>
          <w:rFonts w:ascii="仿宋_GB2312" w:hint="eastAsia"/>
          <w:bCs/>
          <w:sz w:val="32"/>
          <w:szCs w:val="32"/>
        </w:rPr>
        <w:t>建立统一的</w:t>
      </w:r>
      <w:r>
        <w:rPr>
          <w:rFonts w:ascii="仿宋_GB2312" w:hint="eastAsia"/>
          <w:sz w:val="32"/>
          <w:szCs w:val="32"/>
        </w:rPr>
        <w:t>活性炭</w:t>
      </w:r>
      <w:r>
        <w:rPr>
          <w:rFonts w:ascii="仿宋_GB2312" w:hint="eastAsia"/>
          <w:bCs/>
          <w:sz w:val="32"/>
          <w:szCs w:val="32"/>
        </w:rPr>
        <w:t>脱附、处理中心，</w:t>
      </w:r>
      <w:r>
        <w:rPr>
          <w:rFonts w:ascii="仿宋_GB2312" w:hint="eastAsia"/>
          <w:sz w:val="32"/>
          <w:szCs w:val="32"/>
        </w:rPr>
        <w:t>着重推动</w:t>
      </w:r>
      <w:r>
        <w:rPr>
          <w:rFonts w:ascii="仿宋_GB2312" w:hint="eastAsia"/>
          <w:bCs/>
          <w:sz w:val="32"/>
          <w:szCs w:val="32"/>
        </w:rPr>
        <w:t>制鞋业胶黏剂等低VOCs含量原辅材料替代，强化全过程治理。加强工业企业恶臭污染治理，深化城区周边施工扬尘、道路扬尘治</w:t>
      </w:r>
      <w:r>
        <w:rPr>
          <w:rFonts w:ascii="Times New Roman" w:hAnsi="Times New Roman"/>
          <w:bCs/>
          <w:sz w:val="32"/>
          <w:szCs w:val="32"/>
        </w:rPr>
        <w:t>理，深化移动源污染防治，大力推广使用新能源汽车。</w:t>
      </w:r>
    </w:p>
    <w:p>
      <w:pPr>
        <w:pStyle w:val="402"/>
        <w:overflowPunct w:val="0"/>
        <w:spacing w:beforeLines="0" w:before="468" w:afterLines="0" w:after="468"/>
        <w:rPr>
          <w:rFonts w:ascii="Times New Roman" w:cs="Times New Roman" w:hAnsi="Times New Roman"/>
          <w:bCs/>
        </w:rPr>
      </w:pPr>
      <w:bookmarkStart w:id="124" w:name="_Toc89691281"/>
      <w:r>
        <w:rPr>
          <w:rFonts w:ascii="Times New Roman" w:cs="Times New Roman" w:hAnsi="Times New Roman"/>
          <w:bCs/>
        </w:rPr>
        <w:t>第四节 漳州内陆—龙岩区</w:t>
      </w:r>
      <w:bookmarkEnd w:id="124"/>
    </w:p>
    <w:p>
      <w:pPr>
        <w:rPr>
          <w:rFonts w:ascii="Times New Roman" w:hAnsi="Times New Roman"/>
          <w:bCs/>
          <w:sz w:val="32"/>
          <w:szCs w:val="32"/>
        </w:rPr>
      </w:pPr>
      <w:r>
        <w:rPr>
          <w:rFonts w:ascii="Times New Roman" w:hAnsi="Times New Roman"/>
          <w:bCs/>
          <w:sz w:val="32"/>
          <w:szCs w:val="32"/>
        </w:rPr>
        <w:t>以漳州内陆区县（长泰、南靖、华安、平和）及龙岩为主区域，积极推动臭氧和细颗粒物的协同控制，强化大气污染区域联防联控。</w:t>
      </w:r>
    </w:p>
    <w:p>
      <w:pPr>
        <w:rPr>
          <w:rFonts w:ascii="仿宋_GB2312"/>
          <w:bCs/>
          <w:sz w:val="32"/>
          <w:szCs w:val="32"/>
        </w:rPr>
      </w:pPr>
      <w:r>
        <w:rPr>
          <w:rFonts w:ascii="Times New Roman" w:hAnsi="Times New Roman"/>
          <w:bCs/>
          <w:sz w:val="32"/>
          <w:szCs w:val="32"/>
        </w:rPr>
        <w:t>漳州内陆区县加强长泰经济开发区、华安、南靖等工业园区综合整治。加快推进华安、南靖、平和建陶行业“煤改气”、“煤改电”，</w:t>
      </w:r>
      <w:r>
        <w:rPr>
          <w:rFonts w:ascii="仿宋_GB2312" w:hint="eastAsia"/>
          <w:bCs/>
          <w:sz w:val="32"/>
          <w:szCs w:val="32"/>
        </w:rPr>
        <w:t>深化锅炉综合治理，加快实施清洁能源替代，</w:t>
      </w:r>
      <w:r>
        <w:rPr>
          <w:rFonts w:ascii="仿宋_GB2312"/>
          <w:bCs/>
          <w:sz w:val="32"/>
          <w:szCs w:val="32"/>
        </w:rPr>
        <w:t>积极推进</w:t>
      </w:r>
      <w:r>
        <w:rPr>
          <w:rFonts w:ascii="仿宋_GB2312" w:hint="eastAsia"/>
          <w:bCs/>
          <w:sz w:val="32"/>
          <w:szCs w:val="32"/>
        </w:rPr>
        <w:t>不符合产业政策的燃煤小锅炉淘汰。加强长泰林墩工业园区石材加工业颗粒物防治。</w:t>
      </w:r>
    </w:p>
    <w:p>
      <w:pPr>
        <w:rPr>
          <w:rFonts w:ascii="Times New Roman" w:hAnsi="Times New Roman"/>
          <w:bCs/>
          <w:sz w:val="32"/>
          <w:szCs w:val="32"/>
        </w:rPr>
      </w:pPr>
      <w:r>
        <w:rPr>
          <w:rFonts w:ascii="仿宋_GB2312" w:hint="eastAsia"/>
          <w:bCs/>
          <w:sz w:val="32"/>
          <w:szCs w:val="32"/>
        </w:rPr>
        <w:t>龙岩应合理控制龙岩水泥产业发展规模，推进新罗区、漳平市、永定区、</w:t>
      </w:r>
      <w:r>
        <w:rPr>
          <w:rFonts w:ascii="仿宋_GB2312"/>
          <w:bCs/>
          <w:sz w:val="32"/>
          <w:szCs w:val="32"/>
        </w:rPr>
        <w:t>武平</w:t>
      </w:r>
      <w:r>
        <w:rPr>
          <w:rFonts w:ascii="仿宋_GB2312" w:hint="eastAsia"/>
          <w:bCs/>
          <w:sz w:val="32"/>
          <w:szCs w:val="32"/>
        </w:rPr>
        <w:t>县等地区水泥行业超低排放改造，协同减污降碳。推进城区周边龙工机械、龙马环卫等装备制造业涂装工序低VOCs涂料替代，强化全流程治理。加强武平印刷电路、上杭化工等VOCs综合整治。开展煤矸石综合利用处置企业、堆存点和煤炭贮存转运点、加工点整治，坚决打击非法加工处置点，引导煤矸石、煤炭</w:t>
      </w:r>
      <w:r>
        <w:rPr>
          <w:rFonts w:ascii="Times New Roman" w:hAnsi="Times New Roman"/>
          <w:bCs/>
          <w:sz w:val="32"/>
          <w:szCs w:val="32"/>
        </w:rPr>
        <w:t>转运加工企业规范有序、绿色和谐发展。</w:t>
      </w:r>
    </w:p>
    <w:p>
      <w:pPr>
        <w:pStyle w:val="402"/>
        <w:overflowPunct w:val="0"/>
        <w:spacing w:beforeLines="0" w:before="468" w:afterLines="0" w:after="468"/>
        <w:rPr>
          <w:rFonts w:ascii="Times New Roman" w:cs="Times New Roman" w:hAnsi="Times New Roman"/>
          <w:bCs/>
        </w:rPr>
      </w:pPr>
      <w:bookmarkStart w:id="125" w:name="_Toc89691282"/>
      <w:r>
        <w:rPr>
          <w:rFonts w:ascii="Times New Roman" w:cs="Times New Roman" w:hAnsi="Times New Roman"/>
          <w:bCs/>
        </w:rPr>
        <w:t>第五节 南平三明山区</w:t>
      </w:r>
      <w:bookmarkEnd w:id="125"/>
    </w:p>
    <w:p>
      <w:pPr>
        <w:rPr>
          <w:rFonts w:ascii="Times New Roman" w:hAnsi="Times New Roman"/>
          <w:bCs/>
          <w:sz w:val="32"/>
          <w:szCs w:val="32"/>
        </w:rPr>
      </w:pPr>
      <w:r>
        <w:rPr>
          <w:rFonts w:ascii="Times New Roman" w:hAnsi="Times New Roman"/>
          <w:bCs/>
          <w:sz w:val="32"/>
          <w:szCs w:val="32"/>
        </w:rPr>
        <w:t>南平、三明两地持续巩固大气环境治理成效，推进绿色低碳发展，持续推动生态产品价值转化，厚植环境绿色底蕴，营造清新空气。</w:t>
      </w:r>
    </w:p>
    <w:p>
      <w:pPr>
        <w:rPr>
          <w:rFonts w:ascii="仿宋_GB2312"/>
          <w:bCs/>
          <w:sz w:val="32"/>
          <w:szCs w:val="32"/>
        </w:rPr>
      </w:pPr>
      <w:r>
        <w:rPr>
          <w:rFonts w:ascii="Times New Roman" w:hAnsi="Times New Roman"/>
          <w:bCs/>
          <w:sz w:val="32"/>
          <w:szCs w:val="32"/>
        </w:rPr>
        <w:t>南平市持续推进“两山”转化，建设美丽城市。持续深化建阳城区及周边施工扬尘、道路扬尘治理，建立建筑施工扬</w:t>
      </w:r>
      <w:r>
        <w:rPr>
          <w:rFonts w:ascii="仿宋_GB2312" w:hint="eastAsia"/>
          <w:bCs/>
          <w:sz w:val="32"/>
          <w:szCs w:val="32"/>
        </w:rPr>
        <w:t>尘管控的长效机制，加强裸露地块整治。强化南平浦城荣华山产业组团的合成革VOCs整治，提升浦城化工、制药工艺装备水平，生产线、配料系统等产生废气的工序设备实现全封闭集气，强化VOCs全流程、全环节综合治理。加强露天焚烧秸秆监管工作。</w:t>
      </w:r>
    </w:p>
    <w:p>
      <w:pPr>
        <w:rPr>
          <w:rFonts w:ascii="Times New Roman" w:hAnsi="Times New Roman"/>
          <w:bCs/>
          <w:sz w:val="32"/>
          <w:szCs w:val="32"/>
        </w:rPr>
      </w:pPr>
      <w:r>
        <w:rPr>
          <w:rFonts w:ascii="仿宋_GB2312" w:hint="eastAsia"/>
          <w:bCs/>
          <w:sz w:val="32"/>
          <w:szCs w:val="32"/>
        </w:rPr>
        <w:t>三明市继续擦亮“醉氧三明”城市名片。重点推进钢铁、水泥等重点行业减污降碳。加快三钢超低排放改造，推进水泥行业超低排放改造；深化沙县金沙园机械装备制造业、尤溪化纤、永安纺织等重点行业VOCs综合整治，加快永安尼葛工业园区恶臭治理。深化锅炉综合治理，加快实施清洁能源替代，</w:t>
      </w:r>
      <w:bookmarkStart w:id="126" w:name="_Hlk93334922"/>
      <w:r>
        <w:rPr>
          <w:rFonts w:ascii="仿宋_GB2312"/>
          <w:bCs/>
          <w:sz w:val="32"/>
          <w:szCs w:val="32"/>
        </w:rPr>
        <w:t>积极推进</w:t>
      </w:r>
      <w:r>
        <w:rPr>
          <w:rFonts w:ascii="仿宋_GB2312" w:hint="eastAsia"/>
          <w:bCs/>
          <w:sz w:val="32"/>
          <w:szCs w:val="32"/>
        </w:rPr>
        <w:t>不符合产业政策的燃煤小锅炉</w:t>
      </w:r>
      <w:bookmarkEnd w:id="126"/>
      <w:r>
        <w:rPr>
          <w:rFonts w:ascii="仿宋_GB2312" w:hint="eastAsia"/>
          <w:bCs/>
          <w:sz w:val="32"/>
          <w:szCs w:val="32"/>
        </w:rPr>
        <w:t>淘汰。强化烟花爆竹燃放监管。</w:t>
      </w:r>
      <w:r>
        <w:rPr>
          <w:rFonts w:ascii="Times New Roman" w:hAnsi="Times New Roman"/>
        </w:rPr>
        <w:br w:type="page"/>
      </w:r>
    </w:p>
    <w:p>
      <w:pPr>
        <w:pStyle w:val="400"/>
        <w:widowControl w:val="0"/>
        <w:overflowPunct w:val="0"/>
        <w:adjustRightInd w:val="0"/>
        <w:snapToGrid w:val="0"/>
        <w:spacing w:beforeLines="0" w:before="200" w:afterLines="0" w:after="200"/>
        <w:jc w:val="center"/>
        <w:rPr>
          <w:rFonts w:ascii="Times New Roman" w:hAnsi="Times New Roman"/>
          <w:bCs w:val="0"/>
          <w:szCs w:val="28"/>
        </w:rPr>
      </w:pPr>
      <w:bookmarkStart w:id="127" w:name="_Toc89691283"/>
      <w:bookmarkEnd w:id="120"/>
      <w:r>
        <w:rPr>
          <w:rFonts w:ascii="Times New Roman" w:hAnsi="Times New Roman"/>
          <w:bCs w:val="0"/>
          <w:szCs w:val="28"/>
        </w:rPr>
        <w:t>第十一章 保障措施</w:t>
      </w:r>
      <w:bookmarkEnd w:id="127"/>
    </w:p>
    <w:p>
      <w:pPr>
        <w:pStyle w:val="402"/>
        <w:overflowPunct w:val="0"/>
        <w:spacing w:beforeLines="0" w:before="468" w:afterLines="0" w:after="468"/>
        <w:rPr>
          <w:rFonts w:ascii="Times New Roman" w:cs="Times New Roman" w:hAnsi="Times New Roman"/>
          <w:bCs/>
        </w:rPr>
      </w:pPr>
      <w:bookmarkStart w:id="128" w:name="_Toc89691284"/>
      <w:r>
        <w:rPr>
          <w:rFonts w:ascii="Times New Roman" w:cs="Times New Roman" w:hAnsi="Times New Roman"/>
          <w:bCs/>
        </w:rPr>
        <w:t>第一节 加强组织领导</w:t>
      </w:r>
      <w:bookmarkEnd w:id="128"/>
    </w:p>
    <w:p>
      <w:pPr>
        <w:rPr>
          <w:rFonts w:ascii="Times New Roman" w:hAnsi="Times New Roman"/>
          <w:sz w:val="32"/>
          <w:szCs w:val="32"/>
        </w:rPr>
      </w:pPr>
      <w:r>
        <w:rPr>
          <w:rFonts w:ascii="Times New Roman" w:hAnsi="Times New Roman"/>
          <w:sz w:val="32"/>
          <w:szCs w:val="32"/>
        </w:rPr>
        <w:t>省生态环境厅会同有关部门，建立省级部门推进规划落实的分工协作机制，明确职责分工，加强规划实施的组织领导，强化指导、协调以及监督作用，确保规划顺利实施。各地要充分认识空气质量改善工作的重要性，切实加强对本规划实施工作的组织领导。市、县（区）政府是空气质量改善规划实施的责任主体，对本辖区的大气环境质量负总责。九市一区和重点县（市）政府应当根据本规划确定的目标指标和主要任务，结合当地实际，制定本地区空气质量改善实施方案，分解落实规划目标和任务，明确重点工程和部门职责分工，确保任务到位、项目到位、责任到位、资金到位，保证规划目标顺利实现。</w:t>
      </w:r>
    </w:p>
    <w:p>
      <w:pPr>
        <w:pStyle w:val="402"/>
        <w:overflowPunct w:val="0"/>
        <w:spacing w:beforeLines="0" w:before="468" w:afterLines="0" w:after="468"/>
        <w:rPr>
          <w:rFonts w:ascii="Times New Roman" w:cs="Times New Roman" w:hAnsi="Times New Roman"/>
          <w:bCs/>
        </w:rPr>
      </w:pPr>
      <w:bookmarkStart w:id="129" w:name="_Toc89691285"/>
      <w:r>
        <w:rPr>
          <w:rFonts w:ascii="Times New Roman" w:cs="Times New Roman" w:hAnsi="Times New Roman"/>
          <w:bCs/>
        </w:rPr>
        <w:t>第二节 健全法规标准</w:t>
      </w:r>
      <w:bookmarkEnd w:id="129"/>
    </w:p>
    <w:p>
      <w:pPr>
        <w:widowControl/>
        <w:jc w:val="left"/>
        <w:rPr>
          <w:rFonts w:ascii="Times New Roman" w:hAnsi="Times New Roman"/>
          <w:sz w:val="32"/>
          <w:szCs w:val="32"/>
        </w:rPr>
      </w:pPr>
      <w:r>
        <w:rPr>
          <w:rFonts w:ascii="仿宋_GB2312" w:hint="eastAsia"/>
          <w:sz w:val="32"/>
          <w:szCs w:val="32"/>
        </w:rPr>
        <w:t>加快完善地方和国家标准体系有机衔接，推进重点领域、重点行业标准全覆盖。制修订制鞋、纺织染整等重点行业大气污染物（或恶臭）排放标准，探索制定地方陶瓷、水泥等重点行业的排放标准及地方产品VOCs含量限值标准。</w:t>
      </w:r>
      <w:r>
        <w:rPr>
          <w:rFonts w:ascii="Times New Roman" w:hAnsi="Times New Roman"/>
          <w:sz w:val="32"/>
          <w:szCs w:val="32"/>
        </w:rPr>
        <w:t>推进排污许可证制度改革，完善区域重点大气污染物排放指标有偿使用和交易制度。</w:t>
      </w:r>
    </w:p>
    <w:p>
      <w:pPr>
        <w:pStyle w:val="402"/>
        <w:overflowPunct w:val="0"/>
        <w:spacing w:beforeLines="0" w:before="468" w:afterLines="0" w:after="468"/>
        <w:rPr>
          <w:rFonts w:ascii="Times New Roman" w:cs="Times New Roman" w:hAnsi="Times New Roman"/>
          <w:bCs/>
        </w:rPr>
      </w:pPr>
      <w:bookmarkStart w:id="130" w:name="_Toc89691286"/>
      <w:r>
        <w:rPr>
          <w:rFonts w:ascii="Times New Roman" w:cs="Times New Roman" w:hAnsi="Times New Roman"/>
          <w:bCs/>
        </w:rPr>
        <w:t>第三节 完善政策激励</w:t>
      </w:r>
      <w:bookmarkEnd w:id="130"/>
    </w:p>
    <w:p>
      <w:pPr>
        <w:rPr>
          <w:rFonts w:ascii="Times New Roman" w:hAnsi="Times New Roman"/>
          <w:sz w:val="32"/>
          <w:szCs w:val="32"/>
        </w:rPr>
      </w:pPr>
      <w:r>
        <w:rPr>
          <w:rFonts w:ascii="Times New Roman" w:hAnsi="Times New Roman"/>
          <w:sz w:val="32"/>
          <w:szCs w:val="32"/>
        </w:rPr>
        <w:t>综合考虑大气环境质量改善目标完成情况、大气污染防治努力程度以及人口健康效益等因素，建立以质量改善为目标导向的大气污染防治资金分配机制，实施“以奖代补”大气污染防治资金的分配与奖惩双向结合的绩效模式。</w:t>
      </w:r>
    </w:p>
    <w:p>
      <w:pPr>
        <w:rPr>
          <w:rFonts w:ascii="Times New Roman" w:hAnsi="Times New Roman"/>
          <w:sz w:val="32"/>
          <w:szCs w:val="32"/>
        </w:rPr>
      </w:pPr>
      <w:r>
        <w:rPr>
          <w:rFonts w:ascii="Times New Roman" w:hAnsi="Times New Roman"/>
          <w:sz w:val="32"/>
          <w:szCs w:val="32"/>
        </w:rPr>
        <w:t>完善大气主要污染物防治经济政策。</w:t>
      </w:r>
      <w:r>
        <w:rPr>
          <w:rFonts w:ascii="Times New Roman" w:hAnsi="Times New Roman" w:hint="eastAsia"/>
          <w:sz w:val="32"/>
          <w:szCs w:val="32"/>
        </w:rPr>
        <w:t>持续</w:t>
      </w:r>
      <w:r>
        <w:rPr>
          <w:rFonts w:ascii="Times New Roman" w:hAnsi="Times New Roman"/>
          <w:sz w:val="32"/>
          <w:szCs w:val="32"/>
        </w:rPr>
        <w:t>落实火电脱硫脱硝除尘环保电价和超低排放电价政策，强化火力发电绿色调度，推进电力市场建设和体制机制创新，构建适应以新能源为主体的新型电力系统的市场体系。</w:t>
      </w:r>
      <w:r>
        <w:rPr>
          <w:rFonts w:ascii="Times New Roman" w:hAnsi="Times New Roman" w:hint="eastAsia"/>
          <w:sz w:val="32"/>
          <w:szCs w:val="32"/>
        </w:rPr>
        <w:t>积极探索</w:t>
      </w:r>
      <w:r>
        <w:rPr>
          <w:rFonts w:ascii="Times New Roman" w:hAnsi="Times New Roman"/>
          <w:sz w:val="32"/>
          <w:szCs w:val="32"/>
        </w:rPr>
        <w:t>石化、化工、钢铁、建材等高耗能行业差别</w:t>
      </w:r>
      <w:r>
        <w:rPr>
          <w:rFonts w:ascii="Times New Roman" w:hAnsi="Times New Roman" w:hint="eastAsia"/>
          <w:sz w:val="32"/>
          <w:szCs w:val="32"/>
        </w:rPr>
        <w:t>化</w:t>
      </w:r>
      <w:r>
        <w:rPr>
          <w:rFonts w:ascii="Times New Roman" w:hAnsi="Times New Roman"/>
          <w:sz w:val="32"/>
          <w:szCs w:val="32"/>
        </w:rPr>
        <w:t>电价政策，充分发挥价格杠杆的调节作用。建立政府、企业、社会多元化投资机制，拓宽融资渠道。大力推广绿色信贷，研究采取财政贴息等方式加大扶持力度，鼓励金融机构加大绿色信贷发放力度，严格限制“两高一资”和过剩产能扩张类项目融资。</w:t>
      </w:r>
    </w:p>
    <w:p>
      <w:pPr>
        <w:pStyle w:val="402"/>
        <w:overflowPunct w:val="0"/>
        <w:spacing w:beforeLines="0" w:before="468" w:afterLines="0" w:after="468"/>
        <w:rPr>
          <w:rFonts w:ascii="Times New Roman" w:cs="Times New Roman" w:hAnsi="Times New Roman"/>
          <w:bCs/>
        </w:rPr>
      </w:pPr>
      <w:bookmarkStart w:id="131" w:name="_Toc89691287"/>
      <w:r>
        <w:rPr>
          <w:rFonts w:ascii="Times New Roman" w:cs="Times New Roman" w:hAnsi="Times New Roman"/>
          <w:bCs/>
        </w:rPr>
        <w:t>第四节 严格监督考核</w:t>
      </w:r>
      <w:bookmarkEnd w:id="131"/>
    </w:p>
    <w:p>
      <w:pPr>
        <w:rPr>
          <w:rFonts w:ascii="Times New Roman" w:hAnsi="Times New Roman"/>
          <w:sz w:val="32"/>
          <w:szCs w:val="32"/>
        </w:rPr>
      </w:pPr>
      <w:r>
        <w:rPr>
          <w:rFonts w:ascii="Times New Roman" w:hAnsi="Times New Roman"/>
          <w:sz w:val="32"/>
          <w:szCs w:val="32"/>
        </w:rPr>
        <w:t>积极开展各类执法检查，始终保持打击各类环境违法行为的高压态势，落实企业对大气污染排放治理的主体责任。建立以空气质量改善为核心的规划实施评估和考核制度，将规划目标和主要任务纳入各地、各有关部门政绩考核和环保目标责任制考核内容。</w:t>
      </w:r>
      <w:r>
        <w:rPr>
          <w:rFonts w:ascii="仿宋_GB2312" w:hint="eastAsia"/>
          <w:sz w:val="32"/>
          <w:szCs w:val="32"/>
        </w:rPr>
        <w:t>在2023年、2025年年底，</w:t>
      </w:r>
      <w:r>
        <w:rPr>
          <w:rFonts w:ascii="Times New Roman" w:hAnsi="Times New Roman"/>
          <w:sz w:val="32"/>
          <w:szCs w:val="32"/>
        </w:rPr>
        <w:t>由省生态环境厅会同有关部门，分别对规划执行情况开展中期评估和总结评估，依据评估结果对规划目标任务进行科学调整。</w:t>
      </w:r>
    </w:p>
    <w:p>
      <w:pPr>
        <w:pStyle w:val="402"/>
        <w:overflowPunct w:val="0"/>
        <w:spacing w:beforeLines="0" w:before="468" w:afterLines="0" w:after="468"/>
        <w:rPr>
          <w:rFonts w:ascii="Times New Roman" w:cs="Times New Roman" w:hAnsi="Times New Roman"/>
          <w:bCs/>
        </w:rPr>
      </w:pPr>
      <w:bookmarkStart w:id="132" w:name="_Toc89691288"/>
      <w:r>
        <w:rPr>
          <w:rFonts w:ascii="Times New Roman" w:cs="Times New Roman" w:hAnsi="Times New Roman"/>
          <w:bCs/>
        </w:rPr>
        <w:t>第五节 强化科技支撑</w:t>
      </w:r>
      <w:bookmarkEnd w:id="132"/>
    </w:p>
    <w:p>
      <w:pPr>
        <w:rPr>
          <w:rFonts w:ascii="Times New Roman" w:hAnsi="Times New Roman"/>
          <w:kern w:val="0"/>
          <w:sz w:val="32"/>
          <w:szCs w:val="32"/>
        </w:rPr>
      </w:pPr>
      <w:r>
        <w:rPr>
          <w:rFonts w:ascii="Times New Roman" w:hAnsi="Times New Roman"/>
          <w:kern w:val="0"/>
          <w:sz w:val="32"/>
          <w:szCs w:val="32"/>
        </w:rPr>
        <w:t>加大臭氧、细颗粒物的形成机理、来源解析、迁移规律、监测预警等研究，</w:t>
      </w:r>
      <w:r>
        <w:rPr>
          <w:rFonts w:ascii="Times New Roman" w:hAnsi="Times New Roman"/>
          <w:sz w:val="32"/>
          <w:szCs w:val="32"/>
        </w:rPr>
        <w:t>加强省内科研院所的大气科研能力和重点实验室建设，开展大气复合污染成因与防治</w:t>
      </w:r>
      <w:r>
        <w:rPr>
          <w:rFonts w:ascii="Times New Roman" w:hAnsi="Times New Roman" w:hint="eastAsia"/>
          <w:sz w:val="32"/>
          <w:szCs w:val="32"/>
        </w:rPr>
        <w:t>科学研究</w:t>
      </w:r>
      <w:r>
        <w:rPr>
          <w:rFonts w:ascii="Times New Roman" w:hAnsi="Times New Roman"/>
          <w:sz w:val="32"/>
          <w:szCs w:val="32"/>
        </w:rPr>
        <w:t>。</w:t>
      </w:r>
      <w:r>
        <w:rPr>
          <w:rFonts w:ascii="Times New Roman" w:hAnsi="Times New Roman" w:hint="eastAsia"/>
          <w:sz w:val="32"/>
          <w:szCs w:val="32"/>
        </w:rPr>
        <w:t>积极推进</w:t>
      </w:r>
      <w:r>
        <w:rPr>
          <w:rFonts w:ascii="Times New Roman" w:hAnsi="Times New Roman"/>
          <w:sz w:val="32"/>
          <w:szCs w:val="32"/>
        </w:rPr>
        <w:t>挥发性有机物</w:t>
      </w:r>
      <w:r>
        <w:rPr>
          <w:rFonts w:ascii="仿宋_GB2312" w:hint="eastAsia"/>
          <w:sz w:val="32"/>
          <w:szCs w:val="32"/>
        </w:rPr>
        <w:t>源头、过程、末端控制技术研发与示范</w:t>
      </w:r>
      <w:r>
        <w:rPr>
          <w:rFonts w:ascii="仿宋_GB2312"/>
          <w:sz w:val="32"/>
          <w:szCs w:val="32"/>
        </w:rPr>
        <w:t>，探索</w:t>
      </w:r>
      <w:r>
        <w:rPr>
          <w:rFonts w:ascii="仿宋_GB2312" w:hint="eastAsia"/>
          <w:sz w:val="32"/>
          <w:szCs w:val="32"/>
        </w:rPr>
        <w:t>非电行业超低排放</w:t>
      </w:r>
      <w:r>
        <w:rPr>
          <w:rFonts w:ascii="仿宋_GB2312"/>
          <w:sz w:val="32"/>
          <w:szCs w:val="32"/>
        </w:rPr>
        <w:t>改造</w:t>
      </w:r>
      <w:r>
        <w:rPr>
          <w:rFonts w:ascii="仿宋_GB2312" w:hint="eastAsia"/>
          <w:sz w:val="32"/>
          <w:szCs w:val="32"/>
        </w:rPr>
        <w:t>关键技术产业化应用，</w:t>
      </w:r>
      <w:r>
        <w:rPr>
          <w:rFonts w:ascii="仿宋_GB2312" w:hint="eastAsia"/>
          <w:kern w:val="0"/>
          <w:sz w:val="32"/>
          <w:szCs w:val="32"/>
        </w:rPr>
        <w:t>增强污染管</w:t>
      </w:r>
      <w:r>
        <w:rPr>
          <w:rFonts w:ascii="Times New Roman" w:hAnsi="Times New Roman"/>
          <w:kern w:val="0"/>
          <w:sz w:val="32"/>
          <w:szCs w:val="32"/>
        </w:rPr>
        <w:t>控的科学性、靶向性。</w:t>
      </w:r>
    </w:p>
    <w:p>
      <w:pPr>
        <w:pStyle w:val="402"/>
        <w:overflowPunct w:val="0"/>
        <w:spacing w:beforeLines="0" w:before="468" w:afterLines="0" w:after="468"/>
        <w:rPr>
          <w:rFonts w:ascii="Times New Roman" w:cs="Times New Roman" w:hAnsi="Times New Roman"/>
          <w:bCs/>
        </w:rPr>
      </w:pPr>
      <w:bookmarkStart w:id="133" w:name="_Toc89691289"/>
      <w:r>
        <w:rPr>
          <w:rFonts w:ascii="Times New Roman" w:cs="Times New Roman" w:hAnsi="Times New Roman"/>
          <w:bCs/>
        </w:rPr>
        <w:t>第六节 引导公众参与</w:t>
      </w:r>
      <w:bookmarkEnd w:id="133"/>
    </w:p>
    <w:p>
      <w:pPr>
        <w:rPr>
          <w:rFonts w:ascii="Times New Roman" w:hAnsi="Times New Roman"/>
          <w:sz w:val="32"/>
          <w:szCs w:val="32"/>
        </w:rPr>
        <w:sectPr>
          <w:footerReference w:type="default" r:id="rId4"/>
          <w:pgSz w:w="11906" w:h="16838"/>
          <w:pgMar w:top="1440" w:right="1797" w:bottom="1440" w:left="1797" w:header="851" w:footer="992" w:gutter="0"/>
          <w:pgNumType w:start="1"/>
          <w:docGrid w:type="lines" w:linePitch="312" w:charSpace="0"/>
        </w:sectPr>
      </w:pPr>
      <w:r>
        <w:rPr>
          <w:rFonts w:ascii="Times New Roman" w:hAnsi="Times New Roman"/>
          <w:sz w:val="32"/>
          <w:szCs w:val="32"/>
        </w:rPr>
        <w:t>全面推进大气环境治理信息公开，确保公众畅通获取大气污染排放和大气环境质量等各类环境信息。持续开展“大气超级监测站”公众开放日等环保设施向公众开</w:t>
      </w:r>
      <w:r>
        <w:rPr>
          <w:rFonts w:ascii="Times New Roman" w:hAnsi="Times New Roman" w:hint="eastAsia"/>
          <w:sz w:val="32"/>
          <w:szCs w:val="32"/>
        </w:rPr>
        <w:t>放</w:t>
      </w:r>
      <w:r>
        <w:rPr>
          <w:rFonts w:ascii="Times New Roman" w:hAnsi="Times New Roman"/>
          <w:sz w:val="32"/>
          <w:szCs w:val="32"/>
        </w:rPr>
        <w:t>活动。积极开展多种形式的宣传教育，普及大气污染防治的科学知识，不断提升全社会大气污染防治意识。动员全社会践行绿色环保的生产、消费、生活方式，引导全社会积极参与环保行动，共同参与改善环境空</w:t>
      </w:r>
      <w:r>
        <w:rPr>
          <w:rFonts w:ascii="仿宋_GB2312" w:hint="eastAsia"/>
          <w:sz w:val="32"/>
          <w:szCs w:val="32"/>
        </w:rPr>
        <w:t>气质量。建立公众参与区域和城市大气环境管理的有效渠道和合理机制，建立环境投诉举报奖励制度，建设环保微信、官方网站等</w:t>
      </w:r>
      <w:r>
        <w:rPr>
          <w:rFonts w:ascii="Times New Roman" w:hAnsi="Times New Roman"/>
          <w:sz w:val="32"/>
          <w:szCs w:val="32"/>
        </w:rPr>
        <w:t>举报平台，进一步畅通群众投诉举报渠道，鼓励公众对各级政府大气污染防治工作和企业污染排放行为进行监督。</w:t>
      </w:r>
    </w:p>
    <w:p>
      <w:pPr>
        <w:pStyle w:val="400"/>
        <w:widowControl w:val="0"/>
        <w:overflowPunct w:val="0"/>
        <w:adjustRightInd w:val="0"/>
        <w:snapToGrid w:val="0"/>
        <w:spacing w:beforeLines="0" w:before="200" w:afterLines="0" w:after="200"/>
        <w:rPr>
          <w:rFonts w:ascii="Times New Roman" w:hAnsi="Times New Roman"/>
          <w:bCs w:val="0"/>
          <w:szCs w:val="28"/>
        </w:rPr>
      </w:pPr>
      <w:bookmarkStart w:id="134" w:name="_Toc89691290"/>
      <w:r>
        <w:rPr>
          <w:rFonts w:ascii="Times New Roman" w:hAnsi="Times New Roman"/>
          <w:bCs w:val="0"/>
          <w:szCs w:val="28"/>
        </w:rPr>
        <w:t>附表</w:t>
      </w:r>
      <w:bookmarkEnd w:id="134"/>
    </w:p>
    <w:p>
      <w:pPr>
        <w:pStyle w:val="402"/>
        <w:overflowPunct w:val="0"/>
        <w:spacing w:beforeLines="0" w:before="468" w:afterLines="0" w:after="468"/>
        <w:rPr>
          <w:rFonts w:ascii="Times New Roman" w:cs="Times New Roman" w:hAnsi="Times New Roman"/>
          <w:bCs/>
        </w:rPr>
      </w:pPr>
      <w:bookmarkStart w:id="135" w:name="_Toc68681956"/>
      <w:bookmarkStart w:id="136" w:name="_Toc67416026"/>
      <w:bookmarkStart w:id="137" w:name="_Toc83391918"/>
      <w:bookmarkStart w:id="138" w:name="_Toc89691291"/>
      <w:bookmarkStart w:id="139" w:name="_Toc80146932"/>
      <w:bookmarkStart w:id="140" w:name="_Toc81206230"/>
      <w:bookmarkStart w:id="141" w:name="_Toc76382439"/>
      <w:bookmarkStart w:id="142" w:name="_Toc80602092"/>
      <w:bookmarkStart w:id="143" w:name="_Toc75128390"/>
      <w:bookmarkStart w:id="144" w:name="_Toc80143789"/>
      <w:bookmarkStart w:id="145" w:name="_Toc81489857"/>
      <w:bookmarkStart w:id="146" w:name="_Toc83366165"/>
      <w:bookmarkStart w:id="147" w:name="_Toc83622593"/>
      <w:r>
        <w:rPr>
          <w:rFonts w:ascii="Times New Roman" w:cs="Times New Roman" w:hAnsi="Times New Roman"/>
          <w:bCs/>
        </w:rPr>
        <w:t>附表1 福建省“十四五”</w:t>
      </w:r>
      <w:bookmarkStart w:id="148" w:name="_Hlk88345800"/>
      <w:r>
        <w:rPr>
          <w:rFonts w:ascii="Times New Roman" w:cs="Times New Roman" w:hAnsi="Times New Roman"/>
          <w:bCs/>
        </w:rPr>
        <w:t>空气质量改善分区重点任务</w:t>
      </w:r>
      <w:bookmarkEnd w:id="148"/>
      <w:r>
        <w:rPr>
          <w:rFonts w:ascii="Times New Roman" w:cs="Times New Roman" w:hAnsi="Times New Roman"/>
          <w:bCs/>
        </w:rPr>
        <w:t>统计表</w:t>
      </w:r>
      <w:bookmarkEnd w:id="135"/>
      <w:bookmarkEnd w:id="136"/>
      <w:bookmarkEnd w:id="137"/>
      <w:bookmarkEnd w:id="138"/>
    </w:p>
    <w:tbl>
      <w:tblPr>
        <w:jc w:val="cent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28" w:type="dxa"/>
          <w:bottom w:w="0" w:type="dxa"/>
          <w:right w:w="28" w:type="dxa"/>
        </w:tblCellMar>
      </w:tblPr>
      <w:tblGrid>
        <w:gridCol w:w="292"/>
        <w:gridCol w:w="554"/>
        <w:gridCol w:w="567"/>
        <w:gridCol w:w="567"/>
        <w:gridCol w:w="567"/>
        <w:gridCol w:w="567"/>
        <w:gridCol w:w="709"/>
        <w:gridCol w:w="708"/>
        <w:gridCol w:w="709"/>
        <w:gridCol w:w="567"/>
        <w:gridCol w:w="709"/>
        <w:gridCol w:w="850"/>
        <w:gridCol w:w="709"/>
        <w:gridCol w:w="709"/>
        <w:gridCol w:w="567"/>
        <w:gridCol w:w="567"/>
        <w:gridCol w:w="567"/>
        <w:gridCol w:w="567"/>
        <w:gridCol w:w="567"/>
        <w:gridCol w:w="709"/>
        <w:gridCol w:w="567"/>
        <w:gridCol w:w="567"/>
        <w:gridCol w:w="567"/>
        <w:gridCol w:w="567"/>
        <w:gridCol w:w="567"/>
        <w:gridCol w:w="567"/>
      </w:tblGrid>
      <w:tr>
        <w:trPr>
          <w:tblHeader/>
        </w:trPr>
        <w:tc>
          <w:tcPr>
            <w:tcW w:w="292"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560"/>
              <w:jc w:val="center"/>
              <w:rPr>
                <w:rFonts w:ascii="仿宋_GB2312"/>
                <w:b/>
                <w:kern w:val="0"/>
                <w:sz w:val="21"/>
                <w:szCs w:val="21"/>
              </w:rPr>
            </w:pPr>
            <w:r>
              <w:rPr>
                <w:rFonts w:ascii="仿宋_GB2312" w:hint="eastAsia"/>
                <w:b/>
                <w:kern w:val="0"/>
                <w:sz w:val="21"/>
                <w:szCs w:val="21"/>
              </w:rPr>
              <w:t>序序号</w:t>
            </w:r>
          </w:p>
        </w:tc>
        <w:tc>
          <w:tcPr>
            <w:tcW w:w="554"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区域</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组成</w:t>
            </w:r>
          </w:p>
        </w:tc>
        <w:tc>
          <w:tcPr>
            <w:tcW w:w="7371" w:type="dxa"/>
            <w:gridSpan w:val="11"/>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VOCs和NOx协同治理减排</w:t>
            </w:r>
          </w:p>
        </w:tc>
        <w:tc>
          <w:tcPr>
            <w:tcW w:w="3544" w:type="dxa"/>
            <w:gridSpan w:val="6"/>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面源综合整治</w:t>
            </w:r>
          </w:p>
        </w:tc>
        <w:tc>
          <w:tcPr>
            <w:tcW w:w="2268" w:type="dxa"/>
            <w:gridSpan w:val="4"/>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移动源污染防治</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大气环境监测能力建设</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科研支撑</w:t>
            </w:r>
          </w:p>
        </w:tc>
      </w:tr>
      <w:tr>
        <w:trPr>
          <w:tblHeader/>
        </w:trPr>
        <w:tc>
          <w:tcPr>
            <w:tcW w:w="292" w:type="dxa"/>
            <w:vMerge/>
            <w:tcBorders>
              <w:top w:val="single" w:sz="4" w:space="0" w:color="auto"/>
              <w:left w:val="single" w:sz="4" w:space="0" w:color="auto"/>
              <w:bottom w:val="single" w:sz="4" w:space="0" w:color="auto"/>
              <w:right w:val="single" w:sz="4" w:space="0" w:color="auto"/>
            </w:tcBorders>
            <w:vAlign w:val="center"/>
          </w:tcPr>
          <w:p/>
        </w:tc>
        <w:tc>
          <w:tcPr>
            <w:tcW w:w="554" w:type="dxa"/>
            <w:vMerge/>
            <w:tcBorders>
              <w:top w:val="single" w:sz="4" w:space="0" w:color="auto"/>
              <w:left w:val="single" w:sz="4" w:space="0" w:color="auto"/>
              <w:bottom w:val="single" w:sz="4" w:space="0" w:color="auto"/>
              <w:right w:val="single" w:sz="4" w:space="0" w:color="auto"/>
            </w:tcBorders>
            <w:vAlign w:val="center"/>
          </w:tcPr>
          <w:p/>
        </w:tc>
        <w:tc>
          <w:tcPr>
            <w:tcW w:w="567" w:type="dxa"/>
            <w:vMerge/>
            <w:tcBorders>
              <w:top w:val="single" w:sz="4" w:space="0" w:color="auto"/>
              <w:left w:val="single" w:sz="4" w:space="0" w:color="auto"/>
              <w:bottom w:val="single" w:sz="4" w:space="0" w:color="auto"/>
              <w:right w:val="single" w:sz="4" w:space="0" w:color="auto"/>
            </w:tcBorders>
            <w:vAlign w:val="center"/>
          </w:tcP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钢铁超低</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水泥超低</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建陶深度治理</w:t>
            </w: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燃煤锅炉综合整治</w:t>
            </w:r>
          </w:p>
        </w:tc>
        <w:tc>
          <w:tcPr>
            <w:tcW w:w="708"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石化行业综合整治</w:t>
            </w: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化工行业综合整治</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储罐综合治理</w:t>
            </w: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工业涂装行业综合整治</w:t>
            </w:r>
          </w:p>
        </w:tc>
        <w:tc>
          <w:tcPr>
            <w:tcW w:w="850"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包装印刷行业综合整治</w:t>
            </w: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家具行业综合整治</w:t>
            </w: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制鞋行业综合整治</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道路扬尘</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施工扬尘</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堆场扬尘</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裸露地管控</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恶臭污染防治</w:t>
            </w: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餐饮油烟治理</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b/>
                <w:kern w:val="0"/>
                <w:sz w:val="21"/>
                <w:szCs w:val="21"/>
              </w:rPr>
            </w:pPr>
            <w:r>
              <w:rPr>
                <w:rFonts w:ascii="仿宋_GB2312" w:hint="eastAsia"/>
                <w:b/>
                <w:kern w:val="0"/>
                <w:sz w:val="21"/>
                <w:szCs w:val="21"/>
              </w:rPr>
              <w:t>机动车污染防治</w:t>
            </w:r>
          </w:p>
        </w:tc>
        <w:tc>
          <w:tcPr>
            <w:tcW w:w="567" w:type="dxa"/>
            <w:tcBorders>
              <w:top w:val="single" w:sz="4" w:space="0" w:color="auto"/>
              <w:left w:val="single" w:sz="4" w:space="0" w:color="auto"/>
              <w:bottom w:val="single" w:sz="4" w:space="0" w:color="auto"/>
              <w:right w:val="single" w:sz="4" w:space="0" w:color="auto"/>
            </w:tcBorders>
          </w:tcPr>
          <w:p>
            <w:pPr>
              <w:widowControl/>
              <w:spacing w:line="240" w:lineRule="auto"/>
              <w:ind w:firstLineChars="0" w:firstLine="0"/>
              <w:jc w:val="left"/>
              <w:rPr>
                <w:rFonts w:ascii="仿宋_GB2312"/>
                <w:b/>
                <w:kern w:val="0"/>
                <w:sz w:val="21"/>
                <w:szCs w:val="21"/>
              </w:rPr>
            </w:pPr>
            <w:r>
              <w:rPr>
                <w:rFonts w:ascii="仿宋_GB2312" w:hint="eastAsia"/>
                <w:b/>
                <w:kern w:val="0"/>
                <w:sz w:val="21"/>
                <w:szCs w:val="21"/>
              </w:rPr>
              <w:t>船舶污染防治</w:t>
            </w:r>
          </w:p>
        </w:tc>
        <w:tc>
          <w:tcPr>
            <w:tcW w:w="567" w:type="dxa"/>
            <w:tcBorders>
              <w:top w:val="single" w:sz="4" w:space="0" w:color="auto"/>
              <w:left w:val="single" w:sz="4" w:space="0" w:color="auto"/>
              <w:bottom w:val="single" w:sz="4" w:space="0" w:color="auto"/>
              <w:right w:val="single" w:sz="4" w:space="0" w:color="auto"/>
            </w:tcBorders>
          </w:tcPr>
          <w:p>
            <w:pPr>
              <w:widowControl/>
              <w:spacing w:line="240" w:lineRule="auto"/>
              <w:ind w:firstLineChars="0" w:firstLine="0"/>
              <w:jc w:val="left"/>
              <w:rPr>
                <w:rFonts w:ascii="仿宋_GB2312"/>
                <w:b/>
                <w:kern w:val="0"/>
                <w:sz w:val="21"/>
                <w:szCs w:val="21"/>
              </w:rPr>
            </w:pPr>
            <w:r>
              <w:rPr>
                <w:rFonts w:ascii="仿宋_GB2312" w:hint="eastAsia"/>
                <w:b/>
                <w:kern w:val="0"/>
                <w:sz w:val="21"/>
                <w:szCs w:val="21"/>
              </w:rPr>
              <w:t>非道路移动机械</w:t>
            </w:r>
          </w:p>
        </w:tc>
        <w:tc>
          <w:tcPr>
            <w:tcW w:w="567" w:type="dxa"/>
            <w:tcBorders>
              <w:top w:val="single" w:sz="4" w:space="0" w:color="auto"/>
              <w:left w:val="single" w:sz="4" w:space="0" w:color="auto"/>
              <w:bottom w:val="single" w:sz="4" w:space="0" w:color="auto"/>
              <w:right w:val="single" w:sz="4" w:space="0" w:color="auto"/>
            </w:tcBorders>
          </w:tcPr>
          <w:p>
            <w:pPr>
              <w:widowControl/>
              <w:spacing w:line="240" w:lineRule="auto"/>
              <w:ind w:firstLineChars="0" w:firstLine="0"/>
              <w:jc w:val="left"/>
              <w:rPr>
                <w:rFonts w:ascii="仿宋_GB2312"/>
                <w:b/>
                <w:kern w:val="0"/>
                <w:sz w:val="21"/>
                <w:szCs w:val="21"/>
              </w:rPr>
            </w:pPr>
            <w:r>
              <w:rPr>
                <w:rFonts w:ascii="仿宋_GB2312" w:hint="eastAsia"/>
                <w:b/>
                <w:kern w:val="0"/>
                <w:sz w:val="21"/>
                <w:szCs w:val="21"/>
              </w:rPr>
              <w:t>新能源汽车替代</w:t>
            </w:r>
          </w:p>
        </w:tc>
        <w:tc>
          <w:tcPr>
            <w:tcW w:w="567" w:type="dxa"/>
            <w:vMerge/>
            <w:tcBorders>
              <w:top w:val="single" w:sz="4" w:space="0" w:color="auto"/>
              <w:left w:val="single" w:sz="4" w:space="0" w:color="auto"/>
              <w:bottom w:val="single" w:sz="4" w:space="0" w:color="auto"/>
              <w:right w:val="single" w:sz="4" w:space="0" w:color="auto"/>
            </w:tcBorders>
            <w:vAlign w:val="center"/>
          </w:tcPr>
          <w:p/>
        </w:tc>
        <w:tc>
          <w:tcPr>
            <w:tcW w:w="567" w:type="dxa"/>
            <w:vMerge/>
            <w:tcBorders>
              <w:top w:val="single" w:sz="4" w:space="0" w:color="auto"/>
              <w:left w:val="single" w:sz="4" w:space="0" w:color="auto"/>
              <w:bottom w:val="single" w:sz="4" w:space="0" w:color="auto"/>
              <w:right w:val="single" w:sz="4" w:space="0" w:color="auto"/>
            </w:tcBorders>
            <w:vAlign w:val="center"/>
          </w:tcPr>
          <w:p/>
        </w:tc>
      </w:tr>
      <w:tr>
        <w:tc>
          <w:tcPr>
            <w:tcW w:w="292"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textAlignment w:val="center"/>
              <w:rPr>
                <w:rFonts w:ascii="仿宋_GB2312"/>
                <w:kern w:val="0"/>
                <w:sz w:val="21"/>
                <w:szCs w:val="21"/>
              </w:rPr>
            </w:pPr>
            <w:r>
              <w:rPr>
                <w:rFonts w:ascii="仿宋_GB2312" w:hint="eastAsia"/>
                <w:sz w:val="21"/>
                <w:szCs w:val="21"/>
              </w:rPr>
              <w:t>1</w:t>
            </w:r>
          </w:p>
        </w:tc>
        <w:tc>
          <w:tcPr>
            <w:tcW w:w="554" w:type="dxa"/>
            <w:vMerge w:val="restart"/>
            <w:tcBorders>
              <w:top w:val="single" w:sz="4" w:space="0" w:color="auto"/>
              <w:left w:val="single" w:sz="4" w:space="0" w:color="auto"/>
              <w:right w:val="single" w:sz="4" w:space="0" w:color="auto"/>
            </w:tcBorders>
            <w:vAlign w:val="center"/>
          </w:tcPr>
          <w:p>
            <w:pPr>
              <w:widowControl/>
              <w:spacing w:line="240" w:lineRule="auto"/>
              <w:ind w:firstLineChars="0" w:firstLine="0"/>
              <w:jc w:val="center"/>
              <w:rPr>
                <w:rFonts w:ascii="仿宋_GB2312"/>
                <w:kern w:val="0"/>
                <w:sz w:val="21"/>
                <w:szCs w:val="21"/>
              </w:rPr>
            </w:pPr>
            <w:r>
              <w:rPr>
                <w:rFonts w:ascii="仿宋_GB2312" w:hint="eastAsia"/>
                <w:kern w:val="0"/>
                <w:sz w:val="21"/>
                <w:szCs w:val="21"/>
              </w:rPr>
              <w:t>环罗源湾</w:t>
            </w:r>
          </w:p>
          <w:p>
            <w:pPr>
              <w:widowControl/>
              <w:spacing w:line="240" w:lineRule="auto"/>
              <w:ind w:firstLineChars="0" w:firstLine="0"/>
              <w:jc w:val="center"/>
              <w:rPr>
                <w:rFonts w:ascii="仿宋_GB2312"/>
                <w:kern w:val="0"/>
                <w:sz w:val="21"/>
                <w:szCs w:val="21"/>
              </w:rPr>
            </w:pPr>
            <w:r>
              <w:rPr>
                <w:rFonts w:ascii="仿宋_GB2312"/>
                <w:kern w:val="0"/>
                <w:sz w:val="21"/>
                <w:szCs w:val="21"/>
              </w:rPr>
              <w:t>—</w:t>
            </w:r>
            <w:r>
              <w:rPr>
                <w:rFonts w:ascii="仿宋_GB2312" w:hint="eastAsia"/>
                <w:kern w:val="0"/>
                <w:sz w:val="21"/>
                <w:szCs w:val="21"/>
              </w:rPr>
              <w:t>三都澳区</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福州</w:t>
            </w:r>
          </w:p>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（除江阴外）</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p>
        </w:tc>
      </w:tr>
      <w:tr>
        <w:tc>
          <w:tcPr>
            <w:tcW w:w="292"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textAlignment w:val="center"/>
              <w:rPr>
                <w:rFonts w:ascii="仿宋_GB2312"/>
                <w:kern w:val="0"/>
                <w:sz w:val="21"/>
                <w:szCs w:val="21"/>
              </w:rPr>
            </w:pPr>
            <w:r>
              <w:rPr>
                <w:rFonts w:ascii="仿宋_GB2312" w:hint="eastAsia"/>
                <w:sz w:val="21"/>
                <w:szCs w:val="21"/>
              </w:rPr>
              <w:t>2</w:t>
            </w:r>
          </w:p>
        </w:tc>
        <w:tc>
          <w:tcPr>
            <w:tcW w:w="554" w:type="dxa"/>
            <w:vMerge/>
            <w:tcBorders>
              <w:left w:val="single" w:sz="4" w:space="0" w:color="auto"/>
              <w:bottom w:val="single" w:sz="4" w:space="0" w:color="auto"/>
              <w:right w:val="single" w:sz="4" w:space="0" w:color="auto"/>
            </w:tcBorders>
            <w:vAlign w:val="center"/>
          </w:tcP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宁德</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p>
        </w:tc>
      </w:tr>
      <w:tr>
        <w:tc>
          <w:tcPr>
            <w:tcW w:w="292"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textAlignment w:val="center"/>
              <w:rPr>
                <w:rFonts w:ascii="仿宋_GB2312"/>
                <w:kern w:val="0"/>
                <w:sz w:val="21"/>
                <w:szCs w:val="21"/>
              </w:rPr>
            </w:pPr>
            <w:r>
              <w:rPr>
                <w:rFonts w:ascii="仿宋_GB2312" w:hint="eastAsia"/>
                <w:sz w:val="21"/>
                <w:szCs w:val="21"/>
              </w:rPr>
              <w:t>3</w:t>
            </w:r>
          </w:p>
        </w:tc>
        <w:tc>
          <w:tcPr>
            <w:tcW w:w="554" w:type="dxa"/>
            <w:vMerge w:val="restart"/>
            <w:tcBorders>
              <w:top w:val="single" w:sz="4" w:space="0" w:color="auto"/>
              <w:left w:val="single" w:sz="4" w:space="0" w:color="auto"/>
              <w:right w:val="single" w:sz="4" w:space="0" w:color="auto"/>
            </w:tcBorders>
            <w:vAlign w:val="center"/>
          </w:tcPr>
          <w:p>
            <w:pPr>
              <w:widowControl/>
              <w:spacing w:line="240" w:lineRule="auto"/>
              <w:ind w:firstLineChars="0" w:firstLine="0"/>
              <w:jc w:val="left"/>
              <w:rPr>
                <w:rFonts w:ascii="仿宋_GB2312"/>
                <w:kern w:val="0"/>
                <w:sz w:val="21"/>
                <w:szCs w:val="21"/>
              </w:rPr>
            </w:pPr>
            <w:r>
              <w:rPr>
                <w:rFonts w:ascii="仿宋_GB2312" w:hint="eastAsia"/>
                <w:kern w:val="0"/>
                <w:sz w:val="21"/>
                <w:szCs w:val="21"/>
              </w:rPr>
              <w:t>环湄洲湾区</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left"/>
              <w:textAlignment w:val="center"/>
              <w:rPr>
                <w:rFonts w:ascii="仿宋_GB2312"/>
                <w:kern w:val="0"/>
                <w:sz w:val="21"/>
                <w:szCs w:val="21"/>
              </w:rPr>
            </w:pPr>
            <w:r>
              <w:rPr>
                <w:rFonts w:ascii="仿宋_GB2312" w:hint="eastAsia"/>
                <w:kern w:val="0"/>
                <w:sz w:val="21"/>
                <w:szCs w:val="21"/>
              </w:rPr>
              <w:t>福州江阴</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r>
      <w:tr>
        <w:tc>
          <w:tcPr>
            <w:tcW w:w="292"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textAlignment w:val="center"/>
              <w:rPr>
                <w:rFonts w:ascii="仿宋_GB2312"/>
                <w:kern w:val="0"/>
                <w:sz w:val="21"/>
                <w:szCs w:val="21"/>
              </w:rPr>
            </w:pPr>
            <w:r>
              <w:rPr>
                <w:rFonts w:ascii="仿宋_GB2312" w:hint="eastAsia"/>
                <w:sz w:val="21"/>
                <w:szCs w:val="21"/>
              </w:rPr>
              <w:t>4</w:t>
            </w:r>
          </w:p>
        </w:tc>
        <w:tc>
          <w:tcPr>
            <w:tcW w:w="554" w:type="dxa"/>
            <w:vMerge/>
            <w:tcBorders>
              <w:left w:val="single" w:sz="4" w:space="0" w:color="auto"/>
              <w:right w:val="single" w:sz="4" w:space="0" w:color="auto"/>
            </w:tcBorders>
            <w:vAlign w:val="center"/>
          </w:tcP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left"/>
              <w:textAlignment w:val="center"/>
              <w:rPr>
                <w:rFonts w:ascii="仿宋_GB2312"/>
                <w:kern w:val="0"/>
                <w:sz w:val="21"/>
                <w:szCs w:val="21"/>
              </w:rPr>
            </w:pPr>
            <w:r>
              <w:rPr>
                <w:rFonts w:ascii="仿宋_GB2312" w:hint="eastAsia"/>
                <w:kern w:val="0"/>
                <w:sz w:val="21"/>
                <w:szCs w:val="21"/>
              </w:rPr>
              <w:t>莆田</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850" w:type="dxa"/>
            <w:tcBorders>
              <w:top w:val="single" w:sz="4" w:space="0" w:color="auto"/>
              <w:left w:val="single" w:sz="4" w:space="0" w:color="auto"/>
              <w:bottom w:val="single" w:sz="4" w:space="0" w:color="auto"/>
              <w:right w:val="single" w:sz="4" w:space="0" w:color="auto"/>
            </w:tcBorders>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r>
      <w:tr>
        <w:tc>
          <w:tcPr>
            <w:tcW w:w="292"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textAlignment w:val="center"/>
              <w:rPr>
                <w:rFonts w:ascii="仿宋_GB2312"/>
                <w:kern w:val="0"/>
                <w:sz w:val="21"/>
                <w:szCs w:val="21"/>
              </w:rPr>
            </w:pPr>
            <w:r>
              <w:rPr>
                <w:rFonts w:ascii="仿宋_GB2312" w:hint="eastAsia"/>
                <w:sz w:val="21"/>
                <w:szCs w:val="21"/>
              </w:rPr>
              <w:t>5</w:t>
            </w:r>
          </w:p>
        </w:tc>
        <w:tc>
          <w:tcPr>
            <w:tcW w:w="554" w:type="dxa"/>
            <w:vMerge/>
            <w:tcBorders>
              <w:left w:val="single" w:sz="4" w:space="0" w:color="auto"/>
              <w:bottom w:val="single" w:sz="4" w:space="0" w:color="auto"/>
              <w:right w:val="single" w:sz="4" w:space="0" w:color="auto"/>
            </w:tcBorders>
            <w:vAlign w:val="center"/>
          </w:tcP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left"/>
              <w:textAlignment w:val="center"/>
              <w:rPr>
                <w:rFonts w:ascii="仿宋_GB2312"/>
                <w:color w:val="FF0000"/>
                <w:kern w:val="0"/>
                <w:sz w:val="21"/>
                <w:szCs w:val="21"/>
              </w:rPr>
            </w:pPr>
            <w:r>
              <w:rPr>
                <w:rFonts w:ascii="仿宋_GB2312" w:hint="eastAsia"/>
                <w:kern w:val="0"/>
                <w:sz w:val="21"/>
                <w:szCs w:val="21"/>
              </w:rPr>
              <w:t>泉州泉港、</w:t>
            </w:r>
            <w:r>
              <w:rPr>
                <w:rFonts w:ascii="仿宋_GB2312"/>
                <w:kern w:val="0"/>
                <w:sz w:val="21"/>
                <w:szCs w:val="21"/>
              </w:rPr>
              <w:t>泉</w:t>
            </w:r>
            <w:r>
              <w:rPr>
                <w:rFonts w:ascii="仿宋_GB2312" w:hint="eastAsia"/>
                <w:kern w:val="0"/>
                <w:sz w:val="21"/>
                <w:szCs w:val="21"/>
              </w:rPr>
              <w:t>惠</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color w:val="FF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r>
      <w:tr>
        <w:trPr>
          <w:trHeight w:val="1100"/>
        </w:trPr>
        <w:tc>
          <w:tcPr>
            <w:tcW w:w="292"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textAlignment w:val="center"/>
              <w:rPr>
                <w:rFonts w:ascii="仿宋_GB2312"/>
                <w:kern w:val="0"/>
                <w:sz w:val="21"/>
                <w:szCs w:val="21"/>
              </w:rPr>
            </w:pPr>
            <w:r>
              <w:rPr>
                <w:rFonts w:ascii="仿宋_GB2312" w:hint="eastAsia"/>
                <w:sz w:val="21"/>
                <w:szCs w:val="21"/>
              </w:rPr>
              <w:t>6</w:t>
            </w:r>
          </w:p>
        </w:tc>
        <w:tc>
          <w:tcPr>
            <w:tcW w:w="554"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ascii="仿宋_GB2312"/>
                <w:kern w:val="0"/>
                <w:sz w:val="21"/>
                <w:szCs w:val="21"/>
              </w:rPr>
            </w:pPr>
            <w:r>
              <w:rPr>
                <w:rFonts w:ascii="仿宋_GB2312" w:hint="eastAsia"/>
                <w:kern w:val="0"/>
                <w:sz w:val="21"/>
                <w:szCs w:val="21"/>
              </w:rPr>
              <w:t>闽南三角区</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left"/>
              <w:textAlignment w:val="center"/>
              <w:rPr>
                <w:rFonts w:ascii="仿宋_GB2312"/>
                <w:kern w:val="0"/>
                <w:sz w:val="21"/>
                <w:szCs w:val="21"/>
              </w:rPr>
            </w:pPr>
            <w:r>
              <w:rPr>
                <w:rFonts w:ascii="仿宋_GB2312" w:hint="eastAsia"/>
                <w:kern w:val="0"/>
                <w:sz w:val="21"/>
                <w:szCs w:val="21"/>
              </w:rPr>
              <w:t>厦门</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b/>
                <w:bCs/>
                <w:sz w:val="21"/>
                <w:szCs w:val="21"/>
              </w:rPr>
            </w:pPr>
            <w:r>
              <w:rPr>
                <w:rFonts w:ascii="仿宋_GB2312" w:hint="eastAsia"/>
                <w:kern w:val="0"/>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r>
      <w:tr>
        <w:tc>
          <w:tcPr>
            <w:tcW w:w="292"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textAlignment w:val="center"/>
              <w:rPr>
                <w:rFonts w:ascii="仿宋_GB2312"/>
                <w:kern w:val="0"/>
                <w:sz w:val="21"/>
                <w:szCs w:val="21"/>
              </w:rPr>
            </w:pPr>
            <w:r>
              <w:rPr>
                <w:rFonts w:ascii="仿宋_GB2312" w:hint="eastAsia"/>
                <w:sz w:val="21"/>
                <w:szCs w:val="21"/>
              </w:rPr>
              <w:t>7</w:t>
            </w:r>
          </w:p>
        </w:tc>
        <w:tc>
          <w:tcPr>
            <w:tcW w:w="554" w:type="dxa"/>
            <w:vMerge w:val="restart"/>
            <w:tcBorders>
              <w:top w:val="single" w:sz="4" w:space="0" w:color="auto"/>
              <w:left w:val="single" w:sz="4" w:space="0" w:color="auto"/>
              <w:right w:val="single" w:sz="4" w:space="0" w:color="auto"/>
            </w:tcBorders>
            <w:vAlign w:val="center"/>
          </w:tcPr>
          <w:p>
            <w:pPr>
              <w:widowControl/>
              <w:spacing w:line="240" w:lineRule="auto"/>
              <w:ind w:firstLineChars="0" w:firstLine="0"/>
              <w:jc w:val="left"/>
              <w:rPr>
                <w:rFonts w:ascii="仿宋_GB2312"/>
                <w:kern w:val="0"/>
                <w:sz w:val="21"/>
                <w:szCs w:val="21"/>
              </w:rPr>
            </w:pPr>
            <w:r>
              <w:rPr>
                <w:rFonts w:ascii="仿宋_GB2312" w:hint="eastAsia"/>
                <w:kern w:val="0"/>
                <w:sz w:val="21"/>
                <w:szCs w:val="21"/>
              </w:rPr>
              <w:t>闽南三角区</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left"/>
              <w:textAlignment w:val="center"/>
              <w:rPr>
                <w:rFonts w:ascii="仿宋_GB2312"/>
                <w:kern w:val="0"/>
                <w:sz w:val="21"/>
                <w:szCs w:val="21"/>
              </w:rPr>
            </w:pPr>
            <w:r>
              <w:rPr>
                <w:rFonts w:ascii="仿宋_GB2312" w:hint="eastAsia"/>
                <w:kern w:val="0"/>
                <w:sz w:val="21"/>
                <w:szCs w:val="21"/>
              </w:rPr>
              <w:t>漳州城区及其沿海区县</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r>
      <w:tr>
        <w:tc>
          <w:tcPr>
            <w:tcW w:w="292"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textAlignment w:val="center"/>
              <w:rPr>
                <w:rFonts w:ascii="仿宋_GB2312"/>
                <w:kern w:val="0"/>
                <w:sz w:val="21"/>
                <w:szCs w:val="21"/>
              </w:rPr>
            </w:pPr>
            <w:r>
              <w:rPr>
                <w:rFonts w:ascii="仿宋_GB2312" w:hint="eastAsia"/>
                <w:sz w:val="21"/>
                <w:szCs w:val="21"/>
              </w:rPr>
              <w:t>8</w:t>
            </w:r>
          </w:p>
        </w:tc>
        <w:tc>
          <w:tcPr>
            <w:tcW w:w="554" w:type="dxa"/>
            <w:vMerge/>
            <w:tcBorders>
              <w:left w:val="single" w:sz="4" w:space="0" w:color="auto"/>
              <w:bottom w:val="single" w:sz="4" w:space="0" w:color="auto"/>
              <w:right w:val="single" w:sz="4" w:space="0" w:color="auto"/>
            </w:tcBorders>
            <w:vAlign w:val="center"/>
          </w:tcP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left"/>
              <w:textAlignment w:val="center"/>
              <w:rPr>
                <w:rFonts w:ascii="仿宋_GB2312"/>
                <w:kern w:val="0"/>
                <w:sz w:val="21"/>
                <w:szCs w:val="21"/>
              </w:rPr>
            </w:pPr>
            <w:r>
              <w:rPr>
                <w:rFonts w:ascii="仿宋_GB2312" w:hint="eastAsia"/>
                <w:kern w:val="0"/>
                <w:sz w:val="21"/>
                <w:szCs w:val="21"/>
              </w:rPr>
              <w:t>泉州（除泉港、惠安外）</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r>
      <w:tr>
        <w:tc>
          <w:tcPr>
            <w:tcW w:w="292"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textAlignment w:val="center"/>
              <w:rPr>
                <w:rFonts w:ascii="仿宋_GB2312"/>
                <w:kern w:val="0"/>
                <w:sz w:val="21"/>
                <w:szCs w:val="21"/>
              </w:rPr>
            </w:pPr>
            <w:r>
              <w:rPr>
                <w:rFonts w:ascii="仿宋_GB2312" w:hint="eastAsia"/>
                <w:sz w:val="21"/>
                <w:szCs w:val="21"/>
              </w:rPr>
              <w:t>9</w:t>
            </w:r>
          </w:p>
        </w:tc>
        <w:tc>
          <w:tcPr>
            <w:tcW w:w="554" w:type="dxa"/>
            <w:vMerge w:val="restart"/>
            <w:tcBorders>
              <w:top w:val="single" w:sz="4" w:space="0" w:color="auto"/>
              <w:left w:val="single" w:sz="4" w:space="0" w:color="auto"/>
              <w:right w:val="single" w:sz="4" w:space="0" w:color="auto"/>
            </w:tcBorders>
            <w:vAlign w:val="center"/>
          </w:tcPr>
          <w:p>
            <w:pPr>
              <w:widowControl/>
              <w:spacing w:line="240" w:lineRule="auto"/>
              <w:ind w:firstLineChars="0" w:firstLine="0"/>
              <w:jc w:val="left"/>
              <w:rPr>
                <w:rFonts w:ascii="仿宋_GB2312"/>
                <w:kern w:val="0"/>
                <w:sz w:val="21"/>
                <w:szCs w:val="21"/>
              </w:rPr>
            </w:pPr>
            <w:r>
              <w:rPr>
                <w:rFonts w:ascii="仿宋_GB2312" w:hint="eastAsia"/>
                <w:kern w:val="0"/>
                <w:sz w:val="21"/>
                <w:szCs w:val="21"/>
              </w:rPr>
              <w:t>漳州内陆</w:t>
            </w:r>
            <w:r>
              <w:rPr>
                <w:rFonts w:ascii="仿宋_GB2312"/>
                <w:kern w:val="0"/>
                <w:sz w:val="21"/>
                <w:szCs w:val="21"/>
              </w:rPr>
              <w:t>—</w:t>
            </w:r>
            <w:r>
              <w:rPr>
                <w:rFonts w:ascii="仿宋_GB2312" w:hint="eastAsia"/>
                <w:kern w:val="0"/>
                <w:sz w:val="21"/>
                <w:szCs w:val="21"/>
              </w:rPr>
              <w:t>龙岩区</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left"/>
              <w:textAlignment w:val="center"/>
              <w:rPr>
                <w:rFonts w:ascii="仿宋_GB2312"/>
                <w:kern w:val="0"/>
                <w:sz w:val="21"/>
                <w:szCs w:val="21"/>
              </w:rPr>
            </w:pPr>
            <w:r>
              <w:rPr>
                <w:rFonts w:ascii="仿宋_GB2312" w:hint="eastAsia"/>
                <w:kern w:val="0"/>
                <w:sz w:val="21"/>
                <w:szCs w:val="21"/>
              </w:rPr>
              <w:t>漳州内陆区县（长泰、南靖、华安、平和）</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r>
      <w:tr>
        <w:tc>
          <w:tcPr>
            <w:tcW w:w="292"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textAlignment w:val="center"/>
              <w:rPr>
                <w:rFonts w:ascii="仿宋_GB2312"/>
                <w:kern w:val="0"/>
                <w:sz w:val="21"/>
                <w:szCs w:val="21"/>
              </w:rPr>
            </w:pPr>
            <w:r>
              <w:rPr>
                <w:rFonts w:ascii="仿宋_GB2312" w:hint="eastAsia"/>
                <w:sz w:val="21"/>
                <w:szCs w:val="21"/>
              </w:rPr>
              <w:t>10</w:t>
            </w:r>
          </w:p>
        </w:tc>
        <w:tc>
          <w:tcPr>
            <w:tcW w:w="554" w:type="dxa"/>
            <w:vMerge/>
            <w:tcBorders>
              <w:left w:val="single" w:sz="4" w:space="0" w:color="auto"/>
              <w:bottom w:val="single" w:sz="4" w:space="0" w:color="auto"/>
              <w:right w:val="single" w:sz="4" w:space="0" w:color="auto"/>
            </w:tcBorders>
            <w:vAlign w:val="center"/>
          </w:tcP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left"/>
              <w:textAlignment w:val="center"/>
              <w:rPr>
                <w:rFonts w:ascii="仿宋_GB2312"/>
                <w:kern w:val="0"/>
                <w:sz w:val="21"/>
                <w:szCs w:val="21"/>
              </w:rPr>
            </w:pPr>
            <w:r>
              <w:rPr>
                <w:rFonts w:ascii="仿宋_GB2312" w:hint="eastAsia"/>
                <w:kern w:val="0"/>
                <w:sz w:val="21"/>
                <w:szCs w:val="21"/>
              </w:rPr>
              <w:t>龙岩</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567" w:type="dxa"/>
            <w:tcBorders>
              <w:top w:val="single" w:sz="4" w:space="0" w:color="auto"/>
              <w:left w:val="single" w:sz="4" w:space="0" w:color="auto"/>
              <w:bottom w:val="single" w:sz="4" w:space="0" w:color="auto"/>
              <w:right w:val="single" w:sz="4" w:space="0" w:color="auto"/>
            </w:tcBorders>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r>
      <w:tr>
        <w:tc>
          <w:tcPr>
            <w:tcW w:w="292"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textAlignment w:val="center"/>
              <w:rPr>
                <w:rFonts w:ascii="仿宋_GB2312"/>
                <w:kern w:val="0"/>
                <w:sz w:val="21"/>
                <w:szCs w:val="21"/>
              </w:rPr>
            </w:pPr>
            <w:r>
              <w:rPr>
                <w:rFonts w:ascii="仿宋_GB2312" w:hint="eastAsia"/>
                <w:sz w:val="21"/>
                <w:szCs w:val="21"/>
              </w:rPr>
              <w:t>11</w:t>
            </w:r>
          </w:p>
        </w:tc>
        <w:tc>
          <w:tcPr>
            <w:tcW w:w="554" w:type="dxa"/>
            <w:vMerge w:val="restart"/>
            <w:tcBorders>
              <w:top w:val="single" w:sz="4" w:space="0" w:color="auto"/>
              <w:left w:val="single" w:sz="4" w:space="0" w:color="auto"/>
              <w:right w:val="single" w:sz="4" w:space="0" w:color="auto"/>
            </w:tcBorders>
            <w:vAlign w:val="center"/>
          </w:tcPr>
          <w:p>
            <w:pPr>
              <w:widowControl/>
              <w:spacing w:line="240" w:lineRule="auto"/>
              <w:ind w:firstLineChars="0" w:firstLine="0"/>
              <w:jc w:val="left"/>
              <w:rPr>
                <w:rFonts w:ascii="仿宋_GB2312"/>
                <w:kern w:val="0"/>
                <w:sz w:val="21"/>
                <w:szCs w:val="21"/>
              </w:rPr>
            </w:pPr>
            <w:r>
              <w:rPr>
                <w:rFonts w:ascii="仿宋_GB2312" w:hint="eastAsia"/>
                <w:kern w:val="0"/>
                <w:sz w:val="21"/>
                <w:szCs w:val="21"/>
              </w:rPr>
              <w:t>南平三明山区</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left"/>
              <w:textAlignment w:val="center"/>
              <w:rPr>
                <w:rFonts w:ascii="仿宋_GB2312"/>
                <w:kern w:val="0"/>
                <w:sz w:val="21"/>
                <w:szCs w:val="21"/>
              </w:rPr>
            </w:pPr>
            <w:r>
              <w:rPr>
                <w:rFonts w:ascii="仿宋_GB2312" w:hint="eastAsia"/>
                <w:kern w:val="0"/>
                <w:sz w:val="21"/>
                <w:szCs w:val="21"/>
              </w:rPr>
              <w:t>南平</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567" w:type="dxa"/>
            <w:tcBorders>
              <w:top w:val="single" w:sz="4" w:space="0" w:color="auto"/>
              <w:left w:val="single" w:sz="4" w:space="0" w:color="auto"/>
              <w:bottom w:val="single" w:sz="4" w:space="0" w:color="auto"/>
              <w:right w:val="single" w:sz="4" w:space="0" w:color="auto"/>
            </w:tcBorders>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r>
      <w:tr>
        <w:tc>
          <w:tcPr>
            <w:tcW w:w="292"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textAlignment w:val="center"/>
              <w:rPr>
                <w:rFonts w:ascii="仿宋_GB2312"/>
                <w:sz w:val="21"/>
                <w:szCs w:val="21"/>
              </w:rPr>
            </w:pPr>
            <w:r>
              <w:rPr>
                <w:rFonts w:ascii="仿宋_GB2312" w:hint="eastAsia"/>
                <w:sz w:val="21"/>
                <w:szCs w:val="21"/>
              </w:rPr>
              <w:t>12</w:t>
            </w:r>
          </w:p>
        </w:tc>
        <w:tc>
          <w:tcPr>
            <w:tcW w:w="554" w:type="dxa"/>
            <w:vMerge/>
            <w:tcBorders>
              <w:left w:val="single" w:sz="4" w:space="0" w:color="auto"/>
              <w:bottom w:val="single" w:sz="4" w:space="0" w:color="auto"/>
              <w:right w:val="single" w:sz="4" w:space="0" w:color="auto"/>
            </w:tcBorders>
            <w:vAlign w:val="center"/>
          </w:tcP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left"/>
              <w:textAlignment w:val="center"/>
              <w:rPr>
                <w:rFonts w:ascii="仿宋_GB2312"/>
                <w:kern w:val="0"/>
                <w:sz w:val="21"/>
                <w:szCs w:val="21"/>
              </w:rPr>
            </w:pPr>
            <w:r>
              <w:rPr>
                <w:rFonts w:ascii="仿宋_GB2312" w:hint="eastAsia"/>
                <w:kern w:val="0"/>
                <w:sz w:val="21"/>
                <w:szCs w:val="21"/>
              </w:rPr>
              <w:t>三明</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spacing w:line="240" w:lineRule="exact"/>
              <w:ind w:firstLineChars="0" w:firstLine="0"/>
              <w:jc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kern w:val="0"/>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r>
              <w:rPr>
                <w:rFonts w:ascii="仿宋_GB2312" w:hint="eastAsia"/>
                <w:kern w:val="0"/>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pPr>
              <w:widowControl/>
              <w:spacing w:line="240" w:lineRule="exact"/>
              <w:ind w:firstLineChars="0" w:firstLine="0"/>
              <w:jc w:val="center"/>
              <w:textAlignment w:val="center"/>
              <w:rPr>
                <w:rFonts w:ascii="仿宋_GB2312"/>
                <w:sz w:val="21"/>
                <w:szCs w:val="21"/>
              </w:rPr>
            </w:pPr>
          </w:p>
        </w:tc>
      </w:tr>
    </w:tbl>
    <w:p>
      <w:pPr>
        <w:jc w:val="center"/>
        <w:rPr>
          <w:rFonts w:ascii="Times New Roman" w:hAnsi="Times New Roman"/>
          <w:b/>
          <w:bCs/>
          <w:sz w:val="32"/>
          <w:szCs w:val="32"/>
        </w:rPr>
      </w:pPr>
      <w:r>
        <w:rPr>
          <w:rFonts w:ascii="Times New Roman" w:hAnsi="Times New Roman"/>
          <w:b/>
          <w:bCs/>
          <w:sz w:val="32"/>
          <w:szCs w:val="32"/>
        </w:rPr>
        <w:br w:type="page"/>
      </w:r>
    </w:p>
    <w:p>
      <w:pPr>
        <w:pStyle w:val="402"/>
        <w:overflowPunct w:val="0"/>
        <w:spacing w:beforeLines="0" w:before="468" w:afterLines="0" w:after="468"/>
        <w:rPr>
          <w:rFonts w:ascii="Times New Roman" w:eastAsia="楷体" w:cs="Times New Roman" w:hAnsi="Times New Roman"/>
          <w:b w:val="0"/>
          <w:bCs/>
        </w:rPr>
      </w:pPr>
      <w:bookmarkStart w:id="149" w:name="_Toc89691292"/>
      <w:bookmarkEnd w:id="139"/>
      <w:bookmarkEnd w:id="140"/>
      <w:bookmarkEnd w:id="141"/>
      <w:bookmarkEnd w:id="142"/>
      <w:bookmarkEnd w:id="143"/>
      <w:bookmarkEnd w:id="144"/>
      <w:bookmarkEnd w:id="145"/>
      <w:bookmarkEnd w:id="146"/>
      <w:bookmarkEnd w:id="147"/>
      <w:r>
        <w:rPr>
          <w:rFonts w:ascii="Times New Roman" w:cs="Times New Roman" w:hAnsi="Times New Roman"/>
          <w:bCs/>
        </w:rPr>
        <w:t>附表2  福建省“十四五”空气质量改善重点项目清单</w:t>
      </w:r>
      <w:bookmarkEnd w:id="149"/>
    </w:p>
    <w:tbl>
      <w:tblPr>
        <w:jc w:val="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02"/>
        <w:gridCol w:w="907"/>
        <w:gridCol w:w="2721"/>
        <w:gridCol w:w="1534"/>
        <w:gridCol w:w="6273"/>
        <w:gridCol w:w="1936"/>
      </w:tblGrid>
      <w:tr>
        <w:trPr>
          <w:trHeight w:val="472"/>
          <w:tblHeader/>
        </w:trPr>
        <w:tc>
          <w:tcPr>
            <w:tcW w:w="283" w:type="pct"/>
            <w:vAlign w:val="center"/>
          </w:tcPr>
          <w:p>
            <w:pPr>
              <w:spacing w:line="240" w:lineRule="auto"/>
              <w:ind w:firstLineChars="0" w:firstLine="0"/>
              <w:jc w:val="center"/>
              <w:rPr>
                <w:rFonts w:ascii="仿宋_GB2312"/>
                <w:b/>
                <w:sz w:val="21"/>
                <w:szCs w:val="21"/>
              </w:rPr>
            </w:pPr>
            <w:bookmarkStart w:id="150" w:name="_Hlk76037031"/>
            <w:r>
              <w:rPr>
                <w:rFonts w:ascii="仿宋_GB2312" w:hint="eastAsia"/>
                <w:b/>
                <w:sz w:val="21"/>
                <w:szCs w:val="21"/>
              </w:rPr>
              <w:t>序号</w:t>
            </w:r>
          </w:p>
        </w:tc>
        <w:tc>
          <w:tcPr>
            <w:tcW w:w="320" w:type="pct"/>
            <w:vAlign w:val="center"/>
          </w:tcPr>
          <w:p>
            <w:pPr>
              <w:spacing w:line="240" w:lineRule="auto"/>
              <w:ind w:firstLineChars="0" w:firstLine="0"/>
              <w:jc w:val="center"/>
              <w:rPr>
                <w:rFonts w:ascii="仿宋_GB2312"/>
                <w:b/>
                <w:sz w:val="21"/>
                <w:szCs w:val="21"/>
              </w:rPr>
            </w:pPr>
            <w:r>
              <w:rPr>
                <w:rFonts w:ascii="仿宋_GB2312" w:hint="eastAsia"/>
                <w:b/>
                <w:sz w:val="21"/>
                <w:szCs w:val="21"/>
              </w:rPr>
              <w:t>项目类别</w:t>
            </w:r>
          </w:p>
        </w:tc>
        <w:tc>
          <w:tcPr>
            <w:tcW w:w="960" w:type="pct"/>
            <w:vAlign w:val="center"/>
          </w:tcPr>
          <w:p>
            <w:pPr>
              <w:spacing w:line="240" w:lineRule="auto"/>
              <w:ind w:firstLineChars="0" w:firstLine="0"/>
              <w:jc w:val="center"/>
              <w:rPr>
                <w:rFonts w:ascii="仿宋_GB2312"/>
                <w:b/>
                <w:sz w:val="21"/>
                <w:szCs w:val="21"/>
              </w:rPr>
            </w:pPr>
            <w:r>
              <w:rPr>
                <w:rFonts w:ascii="仿宋_GB2312" w:hint="eastAsia"/>
                <w:b/>
                <w:sz w:val="21"/>
                <w:szCs w:val="21"/>
              </w:rPr>
              <w:t>项目名称</w:t>
            </w:r>
          </w:p>
        </w:tc>
        <w:tc>
          <w:tcPr>
            <w:tcW w:w="541" w:type="pct"/>
            <w:vAlign w:val="center"/>
          </w:tcPr>
          <w:p>
            <w:pPr>
              <w:spacing w:line="240" w:lineRule="auto"/>
              <w:ind w:firstLineChars="0" w:firstLine="0"/>
              <w:jc w:val="center"/>
              <w:rPr>
                <w:rFonts w:ascii="仿宋_GB2312"/>
                <w:b/>
                <w:sz w:val="21"/>
                <w:szCs w:val="21"/>
              </w:rPr>
            </w:pPr>
            <w:r>
              <w:rPr>
                <w:rFonts w:ascii="仿宋_GB2312" w:hint="eastAsia"/>
                <w:b/>
                <w:sz w:val="21"/>
                <w:szCs w:val="21"/>
              </w:rPr>
              <w:t>实施范围</w:t>
            </w:r>
          </w:p>
        </w:tc>
        <w:tc>
          <w:tcPr>
            <w:tcW w:w="2213" w:type="pct"/>
            <w:vAlign w:val="center"/>
          </w:tcPr>
          <w:p>
            <w:pPr>
              <w:spacing w:line="240" w:lineRule="auto"/>
              <w:ind w:firstLineChars="0" w:firstLine="0"/>
              <w:jc w:val="center"/>
              <w:rPr>
                <w:rFonts w:ascii="仿宋_GB2312"/>
                <w:b/>
                <w:sz w:val="21"/>
                <w:szCs w:val="21"/>
              </w:rPr>
            </w:pPr>
            <w:r>
              <w:rPr>
                <w:rFonts w:ascii="仿宋_GB2312" w:hint="eastAsia"/>
                <w:b/>
                <w:sz w:val="21"/>
                <w:szCs w:val="21"/>
              </w:rPr>
              <w:t>建设内容</w:t>
            </w:r>
          </w:p>
        </w:tc>
        <w:tc>
          <w:tcPr>
            <w:tcW w:w="683" w:type="pct"/>
            <w:vAlign w:val="center"/>
          </w:tcPr>
          <w:p>
            <w:pPr>
              <w:spacing w:line="240" w:lineRule="auto"/>
              <w:ind w:firstLineChars="0" w:firstLine="0"/>
              <w:jc w:val="center"/>
              <w:rPr>
                <w:rFonts w:ascii="仿宋_GB2312"/>
                <w:b/>
                <w:sz w:val="21"/>
                <w:szCs w:val="21"/>
              </w:rPr>
            </w:pPr>
            <w:r>
              <w:rPr>
                <w:rFonts w:ascii="仿宋_GB2312" w:hint="eastAsia"/>
                <w:b/>
                <w:sz w:val="21"/>
                <w:szCs w:val="21"/>
              </w:rPr>
              <w:t>完成时间</w:t>
            </w:r>
          </w:p>
        </w:tc>
      </w:tr>
      <w:tr>
        <w:tc>
          <w:tcPr>
            <w:tcW w:w="283" w:type="pct"/>
            <w:vAlign w:val="center"/>
          </w:tcPr>
          <w:p>
            <w:pPr>
              <w:spacing w:line="240" w:lineRule="auto"/>
              <w:ind w:firstLineChars="0" w:firstLine="0"/>
              <w:jc w:val="center"/>
              <w:rPr>
                <w:rFonts w:ascii="仿宋_GB2312"/>
                <w:sz w:val="21"/>
                <w:szCs w:val="21"/>
              </w:rPr>
            </w:pPr>
            <w:r>
              <w:rPr>
                <w:rFonts w:ascii="仿宋_GB2312" w:hint="eastAsia"/>
                <w:sz w:val="21"/>
                <w:szCs w:val="21"/>
              </w:rPr>
              <w:t>1</w:t>
            </w:r>
          </w:p>
        </w:tc>
        <w:tc>
          <w:tcPr>
            <w:tcW w:w="320" w:type="pct"/>
            <w:vMerge w:val="restart"/>
            <w:vAlign w:val="center"/>
          </w:tcPr>
          <w:p>
            <w:pPr>
              <w:spacing w:line="240" w:lineRule="auto"/>
              <w:ind w:firstLineChars="0" w:firstLine="0"/>
              <w:jc w:val="center"/>
              <w:rPr>
                <w:rFonts w:ascii="仿宋_GB2312"/>
                <w:b/>
                <w:sz w:val="21"/>
                <w:szCs w:val="21"/>
              </w:rPr>
            </w:pPr>
            <w:r>
              <w:rPr>
                <w:rFonts w:ascii="仿宋_GB2312" w:hint="eastAsia"/>
                <w:sz w:val="21"/>
                <w:szCs w:val="21"/>
              </w:rPr>
              <w:t>产业结构调整</w:t>
            </w:r>
          </w:p>
        </w:tc>
        <w:tc>
          <w:tcPr>
            <w:tcW w:w="960" w:type="pct"/>
            <w:vAlign w:val="center"/>
          </w:tcPr>
          <w:p>
            <w:pPr>
              <w:spacing w:line="240" w:lineRule="auto"/>
              <w:ind w:firstLineChars="0" w:firstLine="0"/>
              <w:jc w:val="center"/>
              <w:rPr>
                <w:rFonts w:ascii="仿宋_GB2312"/>
                <w:b/>
                <w:sz w:val="21"/>
                <w:szCs w:val="21"/>
              </w:rPr>
            </w:pPr>
            <w:r>
              <w:rPr>
                <w:rFonts w:ascii="仿宋_GB2312" w:hint="eastAsia"/>
                <w:sz w:val="21"/>
                <w:szCs w:val="21"/>
              </w:rPr>
              <w:t>产业集群和工业园区综合整治提升工程</w:t>
            </w: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九市一区</w:t>
            </w:r>
          </w:p>
        </w:tc>
        <w:tc>
          <w:tcPr>
            <w:tcW w:w="2213" w:type="pct"/>
            <w:vAlign w:val="center"/>
          </w:tcPr>
          <w:p>
            <w:pPr>
              <w:spacing w:line="240" w:lineRule="auto"/>
              <w:ind w:firstLineChars="0" w:firstLine="0"/>
              <w:jc w:val="center"/>
              <w:rPr>
                <w:rFonts w:ascii="仿宋_GB2312"/>
                <w:sz w:val="21"/>
                <w:szCs w:val="21"/>
              </w:rPr>
            </w:pPr>
            <w:r>
              <w:rPr>
                <w:rFonts w:ascii="仿宋_GB2312" w:hint="eastAsia"/>
                <w:sz w:val="21"/>
                <w:szCs w:val="21"/>
              </w:rPr>
              <w:t>石化、化工、制鞋、家具等产业集群和园区综合整治提升，制定“一园一策”，积极统筹规划建设集中涂装中心、回收处置中心、活性炭集中再生基地。</w:t>
            </w:r>
          </w:p>
        </w:tc>
        <w:tc>
          <w:tcPr>
            <w:tcW w:w="683" w:type="pct"/>
            <w:vAlign w:val="center"/>
          </w:tcPr>
          <w:p>
            <w:pPr>
              <w:spacing w:line="240" w:lineRule="auto"/>
              <w:ind w:firstLineChars="0" w:firstLine="0"/>
              <w:jc w:val="center"/>
              <w:rPr>
                <w:rFonts w:ascii="仿宋_GB2312"/>
                <w:b/>
                <w:sz w:val="21"/>
                <w:szCs w:val="21"/>
              </w:rPr>
            </w:pPr>
            <w:r>
              <w:rPr>
                <w:rFonts w:ascii="仿宋_GB2312" w:hint="eastAsia"/>
                <w:sz w:val="21"/>
                <w:szCs w:val="21"/>
              </w:rPr>
              <w:t>2025</w:t>
            </w:r>
          </w:p>
        </w:tc>
      </w:tr>
      <w:tr>
        <w:tc>
          <w:tcPr>
            <w:tcW w:w="283" w:type="pct"/>
            <w:vAlign w:val="center"/>
          </w:tcPr>
          <w:p>
            <w:pPr>
              <w:spacing w:line="240" w:lineRule="auto"/>
              <w:ind w:firstLineChars="0" w:firstLine="0"/>
              <w:jc w:val="center"/>
              <w:rPr>
                <w:rFonts w:ascii="仿宋_GB2312"/>
                <w:sz w:val="21"/>
                <w:szCs w:val="21"/>
              </w:rPr>
            </w:pPr>
            <w:r>
              <w:rPr>
                <w:rFonts w:ascii="仿宋_GB2312" w:hint="eastAsia"/>
                <w:sz w:val="21"/>
                <w:szCs w:val="21"/>
              </w:rPr>
              <w:t>2</w:t>
            </w:r>
          </w:p>
        </w:tc>
        <w:tc>
          <w:tcPr>
            <w:tcW w:w="320" w:type="pct"/>
            <w:vMerge/>
            <w:vAlign w:val="center"/>
          </w:tcPr>
          <w:p/>
        </w:tc>
        <w:tc>
          <w:tcPr>
            <w:tcW w:w="960" w:type="pct"/>
            <w:vAlign w:val="center"/>
          </w:tcPr>
          <w:p>
            <w:pPr>
              <w:spacing w:line="240" w:lineRule="auto"/>
              <w:jc w:val="center"/>
              <w:rPr>
                <w:rFonts w:ascii="仿宋_GB2312"/>
                <w:sz w:val="21"/>
                <w:szCs w:val="21"/>
              </w:rPr>
            </w:pPr>
            <w:r>
              <w:rPr>
                <w:rFonts w:ascii="仿宋_GB2312" w:hint="eastAsia"/>
                <w:sz w:val="21"/>
                <w:szCs w:val="21"/>
              </w:rPr>
              <w:t>重点行业绿色改造工程</w:t>
            </w: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九市一区</w:t>
            </w:r>
          </w:p>
        </w:tc>
        <w:tc>
          <w:tcPr>
            <w:tcW w:w="2213" w:type="pct"/>
            <w:vAlign w:val="center"/>
          </w:tcPr>
          <w:p>
            <w:pPr>
              <w:spacing w:line="240" w:lineRule="auto"/>
              <w:ind w:firstLineChars="0" w:firstLine="0"/>
              <w:jc w:val="center"/>
              <w:rPr>
                <w:rFonts w:ascii="仿宋_GB2312"/>
                <w:sz w:val="21"/>
                <w:szCs w:val="21"/>
              </w:rPr>
            </w:pPr>
            <w:r>
              <w:rPr>
                <w:rFonts w:ascii="仿宋_GB2312"/>
                <w:sz w:val="21"/>
                <w:szCs w:val="21"/>
              </w:rPr>
              <w:t>坚决</w:t>
            </w:r>
            <w:r>
              <w:rPr>
                <w:rFonts w:ascii="仿宋_GB2312" w:hint="eastAsia"/>
                <w:sz w:val="21"/>
                <w:szCs w:val="21"/>
              </w:rPr>
              <w:t>遏制“两高”项目</w:t>
            </w:r>
            <w:r>
              <w:rPr>
                <w:rFonts w:ascii="仿宋_GB2312"/>
                <w:sz w:val="21"/>
                <w:szCs w:val="21"/>
              </w:rPr>
              <w:t>盲目发展</w:t>
            </w:r>
            <w:r>
              <w:rPr>
                <w:rFonts w:ascii="仿宋_GB2312" w:hint="eastAsia"/>
                <w:sz w:val="21"/>
                <w:szCs w:val="21"/>
              </w:rPr>
              <w:t>，实施钢铁、石化、化工、有色、建材、纺织、造纸、皮革行业绿色升级改造。</w:t>
            </w:r>
          </w:p>
        </w:tc>
        <w:tc>
          <w:tcPr>
            <w:tcW w:w="683" w:type="pct"/>
            <w:vAlign w:val="center"/>
          </w:tcPr>
          <w:p>
            <w:pPr>
              <w:spacing w:line="240" w:lineRule="auto"/>
              <w:ind w:firstLineChars="0" w:firstLine="0"/>
              <w:jc w:val="center"/>
              <w:rPr>
                <w:rFonts w:ascii="仿宋_GB2312"/>
                <w:sz w:val="21"/>
                <w:szCs w:val="21"/>
              </w:rPr>
            </w:pPr>
            <w:r>
              <w:rPr>
                <w:rFonts w:ascii="仿宋_GB2312" w:hint="eastAsia"/>
                <w:sz w:val="21"/>
                <w:szCs w:val="21"/>
              </w:rPr>
              <w:t>2025</w:t>
            </w:r>
          </w:p>
        </w:tc>
      </w:tr>
      <w:tr>
        <w:trPr>
          <w:trHeight w:val="507"/>
        </w:trPr>
        <w:tc>
          <w:tcPr>
            <w:tcW w:w="283" w:type="pct"/>
            <w:vAlign w:val="center"/>
          </w:tcPr>
          <w:p>
            <w:pPr>
              <w:spacing w:line="240" w:lineRule="auto"/>
              <w:ind w:firstLineChars="0" w:firstLine="0"/>
              <w:jc w:val="center"/>
              <w:rPr>
                <w:rFonts w:ascii="仿宋_GB2312"/>
                <w:sz w:val="21"/>
                <w:szCs w:val="21"/>
              </w:rPr>
            </w:pPr>
            <w:r>
              <w:rPr>
                <w:rFonts w:ascii="仿宋_GB2312" w:hint="eastAsia"/>
                <w:sz w:val="21"/>
                <w:szCs w:val="21"/>
              </w:rPr>
              <w:t>3</w:t>
            </w:r>
          </w:p>
        </w:tc>
        <w:tc>
          <w:tcPr>
            <w:tcW w:w="320" w:type="pct"/>
            <w:vMerge/>
            <w:vAlign w:val="center"/>
          </w:tcPr>
          <w:p/>
        </w:tc>
        <w:tc>
          <w:tcPr>
            <w:tcW w:w="960" w:type="pct"/>
            <w:vAlign w:val="center"/>
          </w:tcPr>
          <w:p>
            <w:pPr>
              <w:spacing w:line="240" w:lineRule="auto"/>
              <w:ind w:firstLineChars="0" w:firstLine="0"/>
              <w:jc w:val="center"/>
              <w:rPr>
                <w:rFonts w:ascii="仿宋_GB2312"/>
                <w:sz w:val="21"/>
                <w:szCs w:val="21"/>
              </w:rPr>
            </w:pPr>
            <w:r>
              <w:rPr>
                <w:rFonts w:ascii="仿宋_GB2312" w:hint="eastAsia"/>
                <w:sz w:val="21"/>
                <w:szCs w:val="21"/>
              </w:rPr>
              <w:t>“散乱污”整治</w:t>
            </w: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九市一区</w:t>
            </w:r>
          </w:p>
        </w:tc>
        <w:tc>
          <w:tcPr>
            <w:tcW w:w="2213" w:type="pct"/>
            <w:vAlign w:val="center"/>
          </w:tcPr>
          <w:p>
            <w:pPr>
              <w:spacing w:line="240" w:lineRule="auto"/>
              <w:ind w:firstLineChars="0" w:firstLine="0"/>
              <w:jc w:val="center"/>
              <w:rPr>
                <w:rFonts w:ascii="仿宋_GB2312"/>
                <w:sz w:val="21"/>
                <w:szCs w:val="21"/>
              </w:rPr>
            </w:pPr>
            <w:r>
              <w:rPr>
                <w:rFonts w:ascii="仿宋_GB2312"/>
                <w:sz w:val="21"/>
                <w:szCs w:val="21"/>
              </w:rPr>
              <w:t>持续推进</w:t>
            </w:r>
            <w:r>
              <w:rPr>
                <w:rFonts w:ascii="仿宋_GB2312" w:hint="eastAsia"/>
                <w:sz w:val="21"/>
                <w:szCs w:val="21"/>
              </w:rPr>
              <w:t>“散乱污”落后企业（作坊）的取缔关停和整治提升工作。</w:t>
            </w:r>
          </w:p>
        </w:tc>
        <w:tc>
          <w:tcPr>
            <w:tcW w:w="683" w:type="pct"/>
            <w:vAlign w:val="center"/>
          </w:tcPr>
          <w:p>
            <w:pPr>
              <w:spacing w:line="240" w:lineRule="auto"/>
              <w:ind w:firstLineChars="0" w:firstLine="0"/>
              <w:jc w:val="center"/>
              <w:rPr>
                <w:rFonts w:ascii="仿宋_GB2312"/>
                <w:sz w:val="21"/>
                <w:szCs w:val="21"/>
              </w:rPr>
            </w:pPr>
            <w:r>
              <w:rPr>
                <w:rFonts w:ascii="仿宋_GB2312" w:hint="eastAsia"/>
                <w:sz w:val="21"/>
                <w:szCs w:val="21"/>
              </w:rPr>
              <w:t>持续推进</w:t>
            </w:r>
          </w:p>
        </w:tc>
      </w:tr>
      <w:tr>
        <w:tc>
          <w:tcPr>
            <w:tcW w:w="283" w:type="pct"/>
            <w:vAlign w:val="center"/>
          </w:tcPr>
          <w:p>
            <w:pPr>
              <w:spacing w:line="240" w:lineRule="auto"/>
              <w:ind w:firstLineChars="0" w:firstLine="0"/>
              <w:jc w:val="center"/>
              <w:rPr>
                <w:rFonts w:ascii="仿宋_GB2312"/>
                <w:sz w:val="21"/>
                <w:szCs w:val="21"/>
              </w:rPr>
            </w:pPr>
            <w:r>
              <w:rPr>
                <w:rFonts w:ascii="仿宋_GB2312" w:hint="eastAsia"/>
                <w:sz w:val="21"/>
                <w:szCs w:val="21"/>
              </w:rPr>
              <w:t>4</w:t>
            </w:r>
          </w:p>
        </w:tc>
        <w:tc>
          <w:tcPr>
            <w:tcW w:w="320" w:type="pct"/>
            <w:vMerge w:val="restart"/>
            <w:vAlign w:val="center"/>
          </w:tcPr>
          <w:p>
            <w:pPr>
              <w:spacing w:line="240" w:lineRule="auto"/>
              <w:ind w:firstLineChars="0" w:firstLine="0"/>
              <w:jc w:val="center"/>
              <w:rPr>
                <w:rFonts w:ascii="仿宋_GB2312"/>
                <w:sz w:val="21"/>
                <w:szCs w:val="21"/>
              </w:rPr>
            </w:pPr>
            <w:r>
              <w:rPr>
                <w:rFonts w:ascii="仿宋_GB2312" w:hint="eastAsia"/>
                <w:sz w:val="21"/>
                <w:szCs w:val="21"/>
              </w:rPr>
              <w:t>能源结构调整</w:t>
            </w:r>
          </w:p>
        </w:tc>
        <w:tc>
          <w:tcPr>
            <w:tcW w:w="960" w:type="pct"/>
            <w:vMerge w:val="restart"/>
            <w:vAlign w:val="center"/>
          </w:tcPr>
          <w:p>
            <w:pPr>
              <w:spacing w:line="240" w:lineRule="auto"/>
              <w:ind w:firstLineChars="95" w:firstLine="199"/>
              <w:rPr>
                <w:rFonts w:ascii="仿宋_GB2312"/>
                <w:sz w:val="21"/>
                <w:szCs w:val="21"/>
              </w:rPr>
            </w:pPr>
            <w:r>
              <w:rPr>
                <w:rFonts w:ascii="仿宋_GB2312" w:hint="eastAsia"/>
                <w:sz w:val="21"/>
                <w:szCs w:val="21"/>
              </w:rPr>
              <w:t>燃煤清洁化替代</w:t>
            </w: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福州、漳州、宁德、平潭</w:t>
            </w:r>
          </w:p>
        </w:tc>
        <w:tc>
          <w:tcPr>
            <w:tcW w:w="2213" w:type="pct"/>
            <w:vAlign w:val="center"/>
          </w:tcPr>
          <w:p>
            <w:pPr>
              <w:spacing w:line="240" w:lineRule="auto"/>
              <w:ind w:firstLineChars="0" w:firstLine="0"/>
              <w:jc w:val="center"/>
              <w:rPr>
                <w:rFonts w:ascii="仿宋_GB2312"/>
                <w:sz w:val="21"/>
                <w:szCs w:val="21"/>
              </w:rPr>
            </w:pPr>
            <w:r>
              <w:rPr>
                <w:rFonts w:ascii="仿宋_GB2312" w:hint="eastAsia"/>
                <w:sz w:val="21"/>
                <w:szCs w:val="21"/>
              </w:rPr>
              <w:t>建设福清核电6号机组、漳州核电1、2号机组，积极推进宁德核电5、6号机组、漳州核电3-6号机组和华能霞浦核电项目前期工作；推进福州、宁德、漳州、平潭等海上风电项目建设。</w:t>
            </w:r>
          </w:p>
        </w:tc>
        <w:tc>
          <w:tcPr>
            <w:tcW w:w="683" w:type="pct"/>
            <w:vAlign w:val="center"/>
          </w:tcPr>
          <w:p>
            <w:pPr>
              <w:spacing w:line="240" w:lineRule="auto"/>
              <w:ind w:firstLineChars="0" w:firstLine="0"/>
              <w:jc w:val="center"/>
              <w:rPr>
                <w:rFonts w:ascii="仿宋_GB2312"/>
                <w:sz w:val="21"/>
                <w:szCs w:val="21"/>
              </w:rPr>
            </w:pPr>
            <w:r>
              <w:rPr>
                <w:rFonts w:ascii="仿宋_GB2312" w:hint="eastAsia"/>
                <w:sz w:val="21"/>
                <w:szCs w:val="21"/>
              </w:rPr>
              <w:t>2025</w:t>
            </w:r>
          </w:p>
        </w:tc>
      </w:tr>
      <w:tr>
        <w:trPr>
          <w:trHeight w:val="399"/>
        </w:trPr>
        <w:tc>
          <w:tcPr>
            <w:tcW w:w="283" w:type="pct"/>
            <w:vAlign w:val="center"/>
          </w:tcPr>
          <w:p>
            <w:pPr>
              <w:spacing w:line="240" w:lineRule="auto"/>
              <w:ind w:firstLineChars="0" w:firstLine="0"/>
              <w:jc w:val="center"/>
              <w:rPr>
                <w:rFonts w:ascii="仿宋_GB2312"/>
                <w:sz w:val="21"/>
                <w:szCs w:val="21"/>
              </w:rPr>
            </w:pPr>
            <w:r>
              <w:rPr>
                <w:rFonts w:ascii="仿宋_GB2312" w:hint="eastAsia"/>
                <w:sz w:val="21"/>
                <w:szCs w:val="21"/>
              </w:rPr>
              <w:t>5</w:t>
            </w:r>
          </w:p>
        </w:tc>
        <w:tc>
          <w:tcPr>
            <w:tcW w:w="320" w:type="pct"/>
            <w:vMerge/>
          </w:tcPr>
          <w:p/>
        </w:tc>
        <w:tc>
          <w:tcPr>
            <w:tcW w:w="960" w:type="pct"/>
            <w:vMerge/>
            <w:vAlign w:val="center"/>
          </w:tcP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九市一区</w:t>
            </w:r>
          </w:p>
        </w:tc>
        <w:tc>
          <w:tcPr>
            <w:tcW w:w="2213" w:type="pct"/>
            <w:vAlign w:val="center"/>
          </w:tcPr>
          <w:p>
            <w:pPr>
              <w:spacing w:line="240" w:lineRule="auto"/>
              <w:ind w:firstLineChars="0" w:firstLine="0"/>
              <w:jc w:val="center"/>
              <w:rPr>
                <w:rFonts w:ascii="仿宋_GB2312"/>
                <w:sz w:val="21"/>
                <w:szCs w:val="21"/>
              </w:rPr>
            </w:pPr>
            <w:r>
              <w:rPr>
                <w:rFonts w:ascii="仿宋_GB2312" w:hint="eastAsia"/>
                <w:sz w:val="21"/>
                <w:szCs w:val="21"/>
              </w:rPr>
              <w:t>积极推进10蒸吨/小时以下的燃煤锅炉淘汰。</w:t>
            </w:r>
          </w:p>
        </w:tc>
        <w:tc>
          <w:tcPr>
            <w:tcW w:w="683" w:type="pct"/>
            <w:vAlign w:val="center"/>
          </w:tcPr>
          <w:p>
            <w:pPr>
              <w:spacing w:line="240" w:lineRule="auto"/>
              <w:ind w:firstLineChars="0" w:firstLine="0"/>
              <w:jc w:val="center"/>
              <w:rPr>
                <w:rFonts w:ascii="仿宋_GB2312"/>
                <w:sz w:val="21"/>
                <w:szCs w:val="21"/>
              </w:rPr>
            </w:pPr>
            <w:r>
              <w:rPr>
                <w:rFonts w:ascii="仿宋_GB2312" w:hint="eastAsia"/>
                <w:sz w:val="21"/>
                <w:szCs w:val="21"/>
              </w:rPr>
              <w:t>2025</w:t>
            </w:r>
          </w:p>
        </w:tc>
      </w:tr>
      <w:tr>
        <w:tc>
          <w:tcPr>
            <w:tcW w:w="283" w:type="pct"/>
            <w:vAlign w:val="center"/>
          </w:tcPr>
          <w:p>
            <w:pPr>
              <w:spacing w:line="240" w:lineRule="auto"/>
              <w:ind w:firstLineChars="0" w:firstLine="0"/>
              <w:jc w:val="center"/>
              <w:rPr>
                <w:rFonts w:ascii="仿宋_GB2312"/>
                <w:sz w:val="21"/>
                <w:szCs w:val="21"/>
              </w:rPr>
            </w:pPr>
            <w:r>
              <w:rPr>
                <w:rFonts w:ascii="仿宋_GB2312" w:hint="eastAsia"/>
                <w:sz w:val="21"/>
                <w:szCs w:val="21"/>
              </w:rPr>
              <w:t>6</w:t>
            </w:r>
          </w:p>
        </w:tc>
        <w:tc>
          <w:tcPr>
            <w:tcW w:w="320" w:type="pct"/>
            <w:vMerge/>
          </w:tcPr>
          <w:p/>
        </w:tc>
        <w:tc>
          <w:tcPr>
            <w:tcW w:w="960" w:type="pct"/>
            <w:vMerge/>
            <w:vAlign w:val="center"/>
          </w:tcP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九市一区</w:t>
            </w:r>
          </w:p>
        </w:tc>
        <w:tc>
          <w:tcPr>
            <w:tcW w:w="2213" w:type="pct"/>
            <w:vAlign w:val="center"/>
          </w:tcPr>
          <w:p>
            <w:pPr>
              <w:spacing w:line="240" w:lineRule="auto"/>
              <w:ind w:firstLineChars="0" w:firstLine="0"/>
              <w:jc w:val="center"/>
              <w:rPr>
                <w:rFonts w:ascii="仿宋_GB2312"/>
                <w:sz w:val="21"/>
                <w:szCs w:val="21"/>
              </w:rPr>
            </w:pPr>
            <w:r>
              <w:rPr>
                <w:rFonts w:ascii="仿宋_GB2312" w:hint="eastAsia"/>
                <w:sz w:val="21"/>
                <w:szCs w:val="21"/>
              </w:rPr>
              <w:t>大力推进集中供热，工业园区优先发展热电联产，实施泉惠热电联产工程1号机组、华能古雷热电厂一期（北厂区）、漳州台商投资区、尤溪经济开发区城南工业集中区、长泰县工业区、邵武市金塘、秀屿区东峤片区、石澳门产业园、南平工业区江南园、漳浦县赤湖工业园等10个热电联产项目。</w:t>
            </w:r>
          </w:p>
        </w:tc>
        <w:tc>
          <w:tcPr>
            <w:tcW w:w="683" w:type="pct"/>
            <w:vAlign w:val="center"/>
          </w:tcPr>
          <w:p>
            <w:pPr>
              <w:spacing w:line="240" w:lineRule="auto"/>
              <w:ind w:firstLineChars="0" w:firstLine="0"/>
              <w:jc w:val="center"/>
              <w:rPr>
                <w:rFonts w:ascii="仿宋_GB2312"/>
                <w:sz w:val="21"/>
                <w:szCs w:val="21"/>
              </w:rPr>
            </w:pPr>
            <w:r>
              <w:rPr>
                <w:rFonts w:ascii="仿宋_GB2312" w:hint="eastAsia"/>
                <w:sz w:val="21"/>
                <w:szCs w:val="21"/>
              </w:rPr>
              <w:t>2025</w:t>
            </w:r>
          </w:p>
        </w:tc>
      </w:tr>
      <w:tr>
        <w:tc>
          <w:tcPr>
            <w:tcW w:w="283" w:type="pct"/>
            <w:vAlign w:val="center"/>
          </w:tcPr>
          <w:p>
            <w:pPr>
              <w:spacing w:line="240" w:lineRule="auto"/>
              <w:ind w:firstLineChars="0" w:firstLine="0"/>
              <w:jc w:val="center"/>
              <w:rPr>
                <w:rFonts w:ascii="仿宋_GB2312"/>
                <w:sz w:val="21"/>
                <w:szCs w:val="21"/>
              </w:rPr>
            </w:pPr>
            <w:r>
              <w:rPr>
                <w:rFonts w:ascii="仿宋_GB2312" w:hint="eastAsia"/>
                <w:sz w:val="21"/>
                <w:szCs w:val="21"/>
              </w:rPr>
              <w:t>7</w:t>
            </w:r>
          </w:p>
        </w:tc>
        <w:tc>
          <w:tcPr>
            <w:tcW w:w="320" w:type="pct"/>
            <w:vMerge/>
          </w:tcPr>
          <w:p/>
        </w:tc>
        <w:tc>
          <w:tcPr>
            <w:tcW w:w="960" w:type="pct"/>
            <w:vMerge/>
            <w:vAlign w:val="center"/>
          </w:tcP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九市一区</w:t>
            </w:r>
          </w:p>
        </w:tc>
        <w:tc>
          <w:tcPr>
            <w:tcW w:w="2213" w:type="pct"/>
            <w:vAlign w:val="center"/>
          </w:tcPr>
          <w:p>
            <w:pPr>
              <w:spacing w:line="240" w:lineRule="auto"/>
              <w:ind w:firstLineChars="0" w:firstLine="0"/>
              <w:jc w:val="center"/>
              <w:rPr>
                <w:rFonts w:ascii="仿宋_GB2312"/>
                <w:sz w:val="21"/>
                <w:szCs w:val="21"/>
              </w:rPr>
            </w:pPr>
            <w:r>
              <w:rPr>
                <w:rFonts w:ascii="仿宋_GB2312" w:hint="eastAsia"/>
                <w:sz w:val="21"/>
                <w:szCs w:val="21"/>
              </w:rPr>
              <w:t>实施工业炉窑淘汰、清洁能源替代等项目，闽清、平和、南靖、华安等地建陶实施“煤改气”。淘汰间歇式固定床煤气发生炉。</w:t>
            </w:r>
          </w:p>
        </w:tc>
        <w:tc>
          <w:tcPr>
            <w:tcW w:w="683" w:type="pct"/>
            <w:vAlign w:val="center"/>
          </w:tcPr>
          <w:p>
            <w:pPr>
              <w:spacing w:line="240" w:lineRule="auto"/>
              <w:ind w:firstLineChars="0" w:firstLine="0"/>
              <w:jc w:val="center"/>
              <w:rPr>
                <w:rFonts w:ascii="仿宋_GB2312"/>
                <w:sz w:val="21"/>
                <w:szCs w:val="21"/>
              </w:rPr>
            </w:pPr>
            <w:r>
              <w:rPr>
                <w:rFonts w:ascii="仿宋_GB2312" w:hint="eastAsia"/>
                <w:sz w:val="21"/>
                <w:szCs w:val="21"/>
              </w:rPr>
              <w:t>2025</w:t>
            </w:r>
          </w:p>
        </w:tc>
      </w:tr>
      <w:tr>
        <w:tc>
          <w:tcPr>
            <w:tcW w:w="283" w:type="pct"/>
            <w:vAlign w:val="center"/>
          </w:tcPr>
          <w:p>
            <w:pPr>
              <w:spacing w:line="240" w:lineRule="auto"/>
              <w:ind w:firstLineChars="0" w:firstLine="0"/>
              <w:jc w:val="center"/>
              <w:rPr>
                <w:rFonts w:ascii="仿宋_GB2312"/>
                <w:sz w:val="21"/>
                <w:szCs w:val="21"/>
              </w:rPr>
            </w:pPr>
            <w:r>
              <w:rPr>
                <w:rFonts w:ascii="仿宋_GB2312" w:hint="eastAsia"/>
                <w:sz w:val="21"/>
                <w:szCs w:val="21"/>
              </w:rPr>
              <w:t>8</w:t>
            </w:r>
          </w:p>
        </w:tc>
        <w:tc>
          <w:tcPr>
            <w:tcW w:w="320" w:type="pct"/>
            <w:vMerge/>
          </w:tcPr>
          <w:p/>
        </w:tc>
        <w:tc>
          <w:tcPr>
            <w:tcW w:w="960" w:type="pct"/>
            <w:vAlign w:val="center"/>
          </w:tcPr>
          <w:p>
            <w:pPr>
              <w:spacing w:line="240" w:lineRule="auto"/>
              <w:ind w:firstLineChars="0" w:firstLine="0"/>
              <w:jc w:val="center"/>
              <w:rPr>
                <w:rFonts w:ascii="仿宋_GB2312"/>
                <w:sz w:val="21"/>
                <w:szCs w:val="21"/>
              </w:rPr>
            </w:pPr>
            <w:r>
              <w:rPr>
                <w:rFonts w:ascii="仿宋_GB2312" w:hint="eastAsia"/>
                <w:sz w:val="21"/>
                <w:szCs w:val="21"/>
              </w:rPr>
              <w:t>清洁能源利用配套设施</w:t>
            </w: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九市一区</w:t>
            </w:r>
          </w:p>
        </w:tc>
        <w:tc>
          <w:tcPr>
            <w:tcW w:w="2213" w:type="pct"/>
            <w:vAlign w:val="center"/>
          </w:tcPr>
          <w:p>
            <w:pPr>
              <w:spacing w:line="240" w:lineRule="auto"/>
              <w:ind w:firstLineChars="0" w:firstLine="0"/>
              <w:jc w:val="center"/>
              <w:rPr>
                <w:rFonts w:ascii="仿宋_GB2312"/>
                <w:sz w:val="21"/>
                <w:szCs w:val="21"/>
              </w:rPr>
            </w:pPr>
            <w:r>
              <w:rPr>
                <w:rFonts w:ascii="仿宋_GB2312" w:hint="eastAsia"/>
                <w:sz w:val="21"/>
                <w:szCs w:val="21"/>
              </w:rPr>
              <w:t>推进LNG接收站及外输管线和西三线支干线、海西二期管网和互联互通工程等天然气管道建设，推进加气站、电动汽车充电基础设施建设。</w:t>
            </w:r>
          </w:p>
        </w:tc>
        <w:tc>
          <w:tcPr>
            <w:tcW w:w="683" w:type="pct"/>
            <w:vAlign w:val="center"/>
          </w:tcPr>
          <w:p>
            <w:pPr>
              <w:spacing w:line="240" w:lineRule="auto"/>
              <w:ind w:firstLineChars="0" w:firstLine="0"/>
              <w:jc w:val="center"/>
              <w:rPr>
                <w:rFonts w:ascii="仿宋_GB2312"/>
                <w:sz w:val="21"/>
                <w:szCs w:val="21"/>
              </w:rPr>
            </w:pPr>
            <w:r>
              <w:rPr>
                <w:rFonts w:ascii="仿宋_GB2312" w:hint="eastAsia"/>
                <w:sz w:val="21"/>
                <w:szCs w:val="21"/>
              </w:rPr>
              <w:t>2025</w:t>
            </w:r>
          </w:p>
        </w:tc>
      </w:tr>
      <w:tr>
        <w:tc>
          <w:tcPr>
            <w:tcW w:w="283" w:type="pct"/>
            <w:vAlign w:val="center"/>
          </w:tcPr>
          <w:p>
            <w:pPr>
              <w:spacing w:line="240" w:lineRule="auto"/>
              <w:ind w:firstLineChars="0" w:firstLine="0"/>
              <w:jc w:val="center"/>
              <w:rPr>
                <w:rFonts w:ascii="仿宋_GB2312"/>
                <w:sz w:val="21"/>
                <w:szCs w:val="21"/>
              </w:rPr>
            </w:pPr>
            <w:r>
              <w:rPr>
                <w:rFonts w:ascii="仿宋_GB2312" w:hint="eastAsia"/>
                <w:sz w:val="21"/>
                <w:szCs w:val="21"/>
              </w:rPr>
              <w:t>9</w:t>
            </w:r>
          </w:p>
        </w:tc>
        <w:tc>
          <w:tcPr>
            <w:tcW w:w="320" w:type="pct"/>
            <w:vMerge w:val="restart"/>
            <w:vAlign w:val="center"/>
          </w:tcPr>
          <w:p>
            <w:pPr>
              <w:spacing w:line="240" w:lineRule="auto"/>
              <w:ind w:firstLineChars="0" w:firstLine="0"/>
              <w:jc w:val="center"/>
              <w:rPr>
                <w:rFonts w:ascii="仿宋_GB2312"/>
                <w:sz w:val="21"/>
                <w:szCs w:val="21"/>
              </w:rPr>
            </w:pPr>
            <w:r>
              <w:rPr>
                <w:rFonts w:ascii="仿宋_GB2312" w:hint="eastAsia"/>
                <w:sz w:val="21"/>
                <w:szCs w:val="21"/>
              </w:rPr>
              <w:t>运输结构调整</w:t>
            </w:r>
          </w:p>
        </w:tc>
        <w:tc>
          <w:tcPr>
            <w:tcW w:w="960" w:type="pct"/>
            <w:vAlign w:val="center"/>
          </w:tcPr>
          <w:p>
            <w:pPr>
              <w:spacing w:line="240" w:lineRule="auto"/>
              <w:ind w:firstLineChars="0" w:firstLine="0"/>
              <w:jc w:val="center"/>
              <w:rPr>
                <w:rFonts w:ascii="仿宋_GB2312"/>
                <w:sz w:val="21"/>
                <w:szCs w:val="21"/>
              </w:rPr>
            </w:pPr>
            <w:r>
              <w:rPr>
                <w:rFonts w:ascii="仿宋_GB2312" w:hint="eastAsia"/>
                <w:sz w:val="21"/>
                <w:szCs w:val="21"/>
              </w:rPr>
              <w:t>货物运输“公转铁”提升工程</w:t>
            </w: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九市一区</w:t>
            </w:r>
          </w:p>
        </w:tc>
        <w:tc>
          <w:tcPr>
            <w:tcW w:w="2213" w:type="pct"/>
            <w:vAlign w:val="center"/>
          </w:tcPr>
          <w:p>
            <w:pPr>
              <w:spacing w:line="240" w:lineRule="auto"/>
              <w:ind w:firstLineChars="0" w:firstLine="0"/>
              <w:jc w:val="center"/>
              <w:rPr>
                <w:rFonts w:ascii="仿宋_GB2312"/>
                <w:sz w:val="21"/>
                <w:szCs w:val="21"/>
              </w:rPr>
            </w:pPr>
            <w:r>
              <w:rPr>
                <w:rFonts w:ascii="仿宋_GB2312" w:hint="eastAsia"/>
                <w:sz w:val="21"/>
                <w:szCs w:val="21"/>
              </w:rPr>
              <w:t>重要物流通道干线铁路建设、铁路专用线建设；建设宁德上汽集团生产基地铁路专用线、宁德漳湾铁路专用线，推进环湄洲湾、环罗源湾、古雷石化园区等重点工业企业（园区）货物运输“公转铁”“公转水”。</w:t>
            </w:r>
          </w:p>
        </w:tc>
        <w:tc>
          <w:tcPr>
            <w:tcW w:w="683" w:type="pct"/>
            <w:vAlign w:val="center"/>
          </w:tcPr>
          <w:p>
            <w:pPr>
              <w:spacing w:line="240" w:lineRule="auto"/>
              <w:ind w:firstLineChars="0" w:firstLine="0"/>
              <w:jc w:val="center"/>
              <w:rPr>
                <w:rFonts w:ascii="仿宋_GB2312"/>
                <w:sz w:val="21"/>
                <w:szCs w:val="21"/>
              </w:rPr>
            </w:pPr>
            <w:r>
              <w:rPr>
                <w:rFonts w:ascii="仿宋_GB2312" w:hint="eastAsia"/>
                <w:sz w:val="21"/>
                <w:szCs w:val="21"/>
              </w:rPr>
              <w:t>2025</w:t>
            </w:r>
          </w:p>
        </w:tc>
      </w:tr>
      <w:tr>
        <w:tc>
          <w:tcPr>
            <w:tcW w:w="283" w:type="pct"/>
            <w:vAlign w:val="center"/>
          </w:tcPr>
          <w:p>
            <w:pPr>
              <w:spacing w:line="240" w:lineRule="auto"/>
              <w:ind w:firstLineChars="0" w:firstLine="0"/>
              <w:jc w:val="center"/>
              <w:rPr>
                <w:rFonts w:ascii="仿宋_GB2312"/>
                <w:sz w:val="21"/>
                <w:szCs w:val="21"/>
              </w:rPr>
            </w:pPr>
            <w:r>
              <w:rPr>
                <w:rFonts w:ascii="仿宋_GB2312" w:hint="eastAsia"/>
                <w:sz w:val="21"/>
                <w:szCs w:val="21"/>
              </w:rPr>
              <w:t>10</w:t>
            </w:r>
          </w:p>
        </w:tc>
        <w:tc>
          <w:tcPr>
            <w:tcW w:w="320" w:type="pct"/>
            <w:vMerge/>
            <w:vAlign w:val="center"/>
          </w:tcPr>
          <w:p/>
        </w:tc>
        <w:tc>
          <w:tcPr>
            <w:tcW w:w="960" w:type="pct"/>
            <w:vAlign w:val="center"/>
          </w:tcPr>
          <w:p>
            <w:pPr>
              <w:spacing w:line="240" w:lineRule="auto"/>
              <w:ind w:firstLineChars="0" w:firstLine="0"/>
              <w:jc w:val="center"/>
              <w:rPr>
                <w:rFonts w:ascii="仿宋_GB2312"/>
                <w:sz w:val="21"/>
                <w:szCs w:val="21"/>
              </w:rPr>
            </w:pPr>
            <w:r>
              <w:rPr>
                <w:rFonts w:ascii="仿宋_GB2312" w:hint="eastAsia"/>
                <w:sz w:val="21"/>
                <w:szCs w:val="21"/>
              </w:rPr>
              <w:t>车船结构升级过程</w:t>
            </w: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九市一区</w:t>
            </w:r>
          </w:p>
        </w:tc>
        <w:tc>
          <w:tcPr>
            <w:tcW w:w="2213" w:type="pct"/>
            <w:vAlign w:val="center"/>
          </w:tcPr>
          <w:p>
            <w:pPr>
              <w:spacing w:line="240" w:lineRule="auto"/>
              <w:ind w:firstLineChars="0" w:firstLine="0"/>
              <w:jc w:val="center"/>
              <w:rPr>
                <w:rFonts w:ascii="仿宋_GB2312"/>
                <w:sz w:val="21"/>
                <w:szCs w:val="21"/>
              </w:rPr>
            </w:pPr>
            <w:r>
              <w:rPr>
                <w:rFonts w:ascii="仿宋_GB2312"/>
                <w:sz w:val="21"/>
                <w:szCs w:val="21"/>
              </w:rPr>
              <w:t>力争</w:t>
            </w:r>
            <w:r>
              <w:rPr>
                <w:rFonts w:ascii="仿宋_GB2312" w:hint="eastAsia"/>
                <w:sz w:val="21"/>
                <w:szCs w:val="21"/>
              </w:rPr>
              <w:t>基本淘汰国三及以下排放标准的汽车。</w:t>
            </w:r>
          </w:p>
        </w:tc>
        <w:tc>
          <w:tcPr>
            <w:tcW w:w="683" w:type="pct"/>
            <w:vAlign w:val="center"/>
          </w:tcPr>
          <w:p>
            <w:pPr>
              <w:spacing w:line="240" w:lineRule="auto"/>
              <w:ind w:firstLineChars="0" w:firstLine="0"/>
              <w:jc w:val="center"/>
              <w:rPr>
                <w:rFonts w:ascii="仿宋_GB2312"/>
                <w:sz w:val="21"/>
                <w:szCs w:val="21"/>
              </w:rPr>
            </w:pPr>
            <w:r>
              <w:rPr>
                <w:rFonts w:ascii="仿宋_GB2312" w:hint="eastAsia"/>
                <w:sz w:val="21"/>
                <w:szCs w:val="21"/>
              </w:rPr>
              <w:t>持续推进</w:t>
            </w:r>
          </w:p>
        </w:tc>
      </w:tr>
      <w:tr>
        <w:tc>
          <w:tcPr>
            <w:tcW w:w="283" w:type="pct"/>
            <w:vAlign w:val="center"/>
          </w:tcPr>
          <w:p>
            <w:pPr>
              <w:spacing w:line="240" w:lineRule="auto"/>
              <w:ind w:firstLineChars="0" w:firstLine="0"/>
              <w:jc w:val="center"/>
              <w:rPr>
                <w:rFonts w:ascii="仿宋_GB2312"/>
                <w:sz w:val="21"/>
                <w:szCs w:val="21"/>
              </w:rPr>
            </w:pPr>
            <w:r>
              <w:rPr>
                <w:rFonts w:ascii="仿宋_GB2312" w:hint="eastAsia"/>
                <w:sz w:val="21"/>
                <w:szCs w:val="21"/>
              </w:rPr>
              <w:t>11</w:t>
            </w:r>
          </w:p>
        </w:tc>
        <w:tc>
          <w:tcPr>
            <w:tcW w:w="320" w:type="pct"/>
            <w:vMerge/>
            <w:vAlign w:val="center"/>
          </w:tcPr>
          <w:p/>
        </w:tc>
        <w:tc>
          <w:tcPr>
            <w:tcW w:w="960" w:type="pct"/>
            <w:vAlign w:val="center"/>
          </w:tcPr>
          <w:p>
            <w:pPr>
              <w:spacing w:line="240" w:lineRule="auto"/>
              <w:ind w:firstLineChars="0" w:firstLine="0"/>
              <w:jc w:val="center"/>
              <w:rPr>
                <w:rFonts w:ascii="仿宋_GB2312"/>
                <w:sz w:val="21"/>
                <w:szCs w:val="21"/>
              </w:rPr>
            </w:pPr>
            <w:r>
              <w:rPr>
                <w:rFonts w:ascii="仿宋_GB2312" w:hint="eastAsia"/>
                <w:sz w:val="21"/>
                <w:szCs w:val="21"/>
              </w:rPr>
              <w:t>推广新能源汽车</w:t>
            </w: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九市一区</w:t>
            </w:r>
          </w:p>
        </w:tc>
        <w:tc>
          <w:tcPr>
            <w:tcW w:w="2213" w:type="pct"/>
            <w:vAlign w:val="center"/>
          </w:tcPr>
          <w:p>
            <w:pPr>
              <w:spacing w:line="240" w:lineRule="auto"/>
              <w:ind w:firstLineChars="0" w:firstLine="0"/>
              <w:jc w:val="center"/>
              <w:rPr>
                <w:rFonts w:ascii="仿宋_GB2312"/>
                <w:sz w:val="21"/>
                <w:szCs w:val="21"/>
              </w:rPr>
            </w:pPr>
            <w:r>
              <w:rPr>
                <w:rFonts w:ascii="仿宋_GB2312" w:hint="eastAsia"/>
                <w:sz w:val="21"/>
                <w:szCs w:val="21"/>
              </w:rPr>
              <w:t>省新增和更新的公交车全部采用新能源汽车，推广出租车、网约车、城市物流车、环卫、公务车新能源汽车使用</w:t>
            </w:r>
          </w:p>
        </w:tc>
        <w:tc>
          <w:tcPr>
            <w:tcW w:w="683" w:type="pct"/>
            <w:vAlign w:val="center"/>
          </w:tcPr>
          <w:p>
            <w:pPr>
              <w:spacing w:line="240" w:lineRule="auto"/>
              <w:ind w:firstLineChars="0" w:firstLine="0"/>
              <w:jc w:val="center"/>
              <w:rPr>
                <w:rFonts w:ascii="仿宋_GB2312"/>
                <w:sz w:val="21"/>
                <w:szCs w:val="21"/>
              </w:rPr>
            </w:pPr>
            <w:r>
              <w:rPr>
                <w:rFonts w:ascii="仿宋_GB2312" w:hint="eastAsia"/>
                <w:sz w:val="21"/>
                <w:szCs w:val="21"/>
              </w:rPr>
              <w:t>持续推进</w:t>
            </w:r>
          </w:p>
        </w:tc>
      </w:tr>
      <w:tr>
        <w:tc>
          <w:tcPr>
            <w:tcW w:w="283" w:type="pct"/>
            <w:vAlign w:val="center"/>
          </w:tcPr>
          <w:p>
            <w:pPr>
              <w:spacing w:line="240" w:lineRule="auto"/>
              <w:ind w:firstLineChars="0" w:firstLine="0"/>
              <w:jc w:val="center"/>
              <w:rPr>
                <w:rFonts w:ascii="仿宋_GB2312"/>
                <w:sz w:val="21"/>
                <w:szCs w:val="21"/>
              </w:rPr>
            </w:pPr>
            <w:r>
              <w:rPr>
                <w:rFonts w:ascii="仿宋_GB2312" w:hint="eastAsia"/>
                <w:sz w:val="21"/>
                <w:szCs w:val="21"/>
              </w:rPr>
              <w:t>12</w:t>
            </w:r>
          </w:p>
        </w:tc>
        <w:tc>
          <w:tcPr>
            <w:tcW w:w="320" w:type="pct"/>
            <w:vMerge w:val="restart"/>
            <w:vAlign w:val="center"/>
          </w:tcPr>
          <w:p>
            <w:pPr>
              <w:spacing w:line="240" w:lineRule="auto"/>
              <w:ind w:firstLineChars="0" w:firstLine="0"/>
              <w:jc w:val="center"/>
              <w:rPr>
                <w:rFonts w:ascii="仿宋_GB2312"/>
                <w:sz w:val="21"/>
                <w:szCs w:val="21"/>
              </w:rPr>
            </w:pPr>
            <w:bookmarkStart w:id="151" w:name="_Hlk88345852"/>
            <w:r>
              <w:rPr>
                <w:rFonts w:ascii="仿宋_GB2312" w:hint="eastAsia"/>
                <w:sz w:val="21"/>
                <w:szCs w:val="21"/>
              </w:rPr>
              <w:t>VOCs和氮氧化物协同减排</w:t>
            </w:r>
            <w:bookmarkEnd w:id="151"/>
          </w:p>
        </w:tc>
        <w:tc>
          <w:tcPr>
            <w:tcW w:w="960" w:type="pct"/>
            <w:vMerge w:val="restart"/>
            <w:vAlign w:val="center"/>
          </w:tcPr>
          <w:p>
            <w:pPr>
              <w:spacing w:line="240" w:lineRule="auto"/>
              <w:ind w:firstLineChars="0" w:firstLine="0"/>
              <w:jc w:val="center"/>
              <w:rPr>
                <w:rFonts w:ascii="仿宋_GB2312"/>
                <w:b/>
                <w:sz w:val="21"/>
                <w:szCs w:val="21"/>
              </w:rPr>
            </w:pPr>
            <w:r>
              <w:rPr>
                <w:rFonts w:ascii="仿宋_GB2312" w:hint="eastAsia"/>
                <w:sz w:val="21"/>
                <w:szCs w:val="21"/>
              </w:rPr>
              <w:t>非电行业超低排放等深度治理工程</w:t>
            </w: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泉州、三明、龙岩</w:t>
            </w:r>
          </w:p>
        </w:tc>
        <w:tc>
          <w:tcPr>
            <w:tcW w:w="2213" w:type="pct"/>
            <w:vAlign w:val="center"/>
          </w:tcPr>
          <w:p>
            <w:pPr>
              <w:spacing w:line="240" w:lineRule="auto"/>
              <w:ind w:firstLineChars="0" w:firstLine="0"/>
              <w:jc w:val="center"/>
              <w:rPr>
                <w:rFonts w:ascii="仿宋_GB2312"/>
                <w:b/>
                <w:sz w:val="21"/>
                <w:szCs w:val="21"/>
              </w:rPr>
            </w:pPr>
            <w:r>
              <w:rPr>
                <w:rFonts w:ascii="仿宋_GB2312"/>
                <w:sz w:val="21"/>
                <w:szCs w:val="21"/>
              </w:rPr>
              <w:t>开展</w:t>
            </w:r>
            <w:r>
              <w:rPr>
                <w:rFonts w:ascii="仿宋_GB2312" w:hint="eastAsia"/>
                <w:sz w:val="21"/>
                <w:szCs w:val="21"/>
              </w:rPr>
              <w:t>水泥行业超低排放试点项目，实施20多条生产线试点超低排放改造。</w:t>
            </w:r>
          </w:p>
        </w:tc>
        <w:tc>
          <w:tcPr>
            <w:tcW w:w="683" w:type="pct"/>
            <w:vAlign w:val="center"/>
          </w:tcPr>
          <w:p>
            <w:pPr>
              <w:spacing w:line="240" w:lineRule="auto"/>
              <w:ind w:firstLineChars="0" w:firstLine="0"/>
              <w:jc w:val="center"/>
              <w:rPr>
                <w:rFonts w:ascii="仿宋_GB2312"/>
                <w:b/>
                <w:sz w:val="21"/>
                <w:szCs w:val="21"/>
              </w:rPr>
            </w:pPr>
            <w:r>
              <w:rPr>
                <w:rFonts w:ascii="仿宋_GB2312" w:hint="eastAsia"/>
                <w:sz w:val="21"/>
                <w:szCs w:val="21"/>
              </w:rPr>
              <w:t>2025</w:t>
            </w:r>
          </w:p>
        </w:tc>
      </w:tr>
      <w:tr>
        <w:tc>
          <w:tcPr>
            <w:tcW w:w="283" w:type="pct"/>
            <w:vAlign w:val="center"/>
          </w:tcPr>
          <w:p>
            <w:pPr>
              <w:spacing w:line="240" w:lineRule="auto"/>
              <w:ind w:firstLineChars="0" w:firstLine="0"/>
              <w:jc w:val="center"/>
              <w:rPr>
                <w:rFonts w:ascii="仿宋_GB2312"/>
                <w:sz w:val="21"/>
                <w:szCs w:val="21"/>
              </w:rPr>
            </w:pPr>
            <w:r>
              <w:rPr>
                <w:rFonts w:ascii="仿宋_GB2312"/>
                <w:sz w:val="21"/>
                <w:szCs w:val="21"/>
              </w:rPr>
              <w:t>13</w:t>
            </w:r>
          </w:p>
        </w:tc>
        <w:tc>
          <w:tcPr>
            <w:tcW w:w="320" w:type="pct"/>
            <w:vMerge/>
            <w:vAlign w:val="center"/>
          </w:tcPr>
          <w:p/>
        </w:tc>
        <w:tc>
          <w:tcPr>
            <w:tcW w:w="960" w:type="pct"/>
            <w:vMerge/>
            <w:vAlign w:val="center"/>
          </w:tcP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福州、泉州、漳州</w:t>
            </w:r>
          </w:p>
        </w:tc>
        <w:tc>
          <w:tcPr>
            <w:tcW w:w="2213" w:type="pct"/>
            <w:vAlign w:val="center"/>
          </w:tcPr>
          <w:p>
            <w:pPr>
              <w:spacing w:line="240" w:lineRule="auto"/>
              <w:ind w:firstLineChars="0" w:firstLine="0"/>
              <w:jc w:val="center"/>
              <w:rPr>
                <w:rFonts w:ascii="仿宋_GB2312"/>
                <w:sz w:val="21"/>
                <w:szCs w:val="21"/>
              </w:rPr>
            </w:pPr>
            <w:r>
              <w:rPr>
                <w:rFonts w:ascii="仿宋_GB2312" w:hint="eastAsia"/>
                <w:sz w:val="21"/>
                <w:szCs w:val="21"/>
              </w:rPr>
              <w:t>实施陶瓷行业深度治理。</w:t>
            </w:r>
          </w:p>
        </w:tc>
        <w:tc>
          <w:tcPr>
            <w:tcW w:w="683" w:type="pct"/>
            <w:vAlign w:val="center"/>
          </w:tcPr>
          <w:p>
            <w:pPr>
              <w:spacing w:line="240" w:lineRule="auto"/>
              <w:ind w:firstLineChars="0" w:firstLine="0"/>
              <w:jc w:val="center"/>
              <w:rPr>
                <w:rFonts w:ascii="仿宋_GB2312"/>
                <w:sz w:val="21"/>
                <w:szCs w:val="21"/>
              </w:rPr>
            </w:pPr>
            <w:r>
              <w:rPr>
                <w:rFonts w:ascii="仿宋_GB2312" w:hint="eastAsia"/>
                <w:sz w:val="21"/>
                <w:szCs w:val="21"/>
              </w:rPr>
              <w:t>2025</w:t>
            </w:r>
          </w:p>
        </w:tc>
      </w:tr>
      <w:tr>
        <w:trPr>
          <w:trHeight w:val="360"/>
        </w:trPr>
        <w:tc>
          <w:tcPr>
            <w:tcW w:w="283" w:type="pct"/>
            <w:vAlign w:val="center"/>
          </w:tcPr>
          <w:p>
            <w:pPr>
              <w:spacing w:line="240" w:lineRule="auto"/>
              <w:ind w:firstLineChars="0" w:firstLine="0"/>
              <w:jc w:val="center"/>
              <w:rPr>
                <w:rFonts w:ascii="仿宋_GB2312"/>
                <w:sz w:val="21"/>
                <w:szCs w:val="21"/>
              </w:rPr>
            </w:pPr>
            <w:r>
              <w:rPr>
                <w:rFonts w:ascii="仿宋_GB2312" w:hint="eastAsia"/>
                <w:sz w:val="21"/>
                <w:szCs w:val="21"/>
              </w:rPr>
              <w:t>1</w:t>
            </w:r>
            <w:r>
              <w:rPr>
                <w:rFonts w:ascii="仿宋_GB2312"/>
                <w:sz w:val="21"/>
                <w:szCs w:val="21"/>
              </w:rPr>
              <w:t>4</w:t>
            </w:r>
          </w:p>
        </w:tc>
        <w:tc>
          <w:tcPr>
            <w:tcW w:w="320" w:type="pct"/>
            <w:vMerge/>
            <w:vAlign w:val="center"/>
          </w:tcPr>
          <w:p/>
        </w:tc>
        <w:tc>
          <w:tcPr>
            <w:tcW w:w="960" w:type="pct"/>
            <w:vMerge/>
            <w:vAlign w:val="center"/>
          </w:tcP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九市一区</w:t>
            </w:r>
          </w:p>
        </w:tc>
        <w:tc>
          <w:tcPr>
            <w:tcW w:w="2213" w:type="pct"/>
            <w:vAlign w:val="center"/>
          </w:tcPr>
          <w:p>
            <w:pPr>
              <w:spacing w:line="240" w:lineRule="auto"/>
              <w:ind w:firstLineChars="0" w:firstLine="0"/>
              <w:jc w:val="center"/>
              <w:rPr>
                <w:rFonts w:ascii="仿宋_GB2312"/>
                <w:sz w:val="21"/>
                <w:szCs w:val="21"/>
              </w:rPr>
            </w:pPr>
            <w:r>
              <w:rPr>
                <w:rFonts w:ascii="仿宋_GB2312" w:hint="eastAsia"/>
                <w:sz w:val="21"/>
                <w:szCs w:val="21"/>
              </w:rPr>
              <w:t>推进生活垃圾焚烧深度治理。</w:t>
            </w:r>
          </w:p>
        </w:tc>
        <w:tc>
          <w:tcPr>
            <w:tcW w:w="683" w:type="pct"/>
            <w:vAlign w:val="center"/>
          </w:tcPr>
          <w:p>
            <w:pPr>
              <w:spacing w:line="240" w:lineRule="auto"/>
              <w:ind w:firstLineChars="0" w:firstLine="0"/>
              <w:jc w:val="center"/>
              <w:rPr>
                <w:rFonts w:ascii="仿宋_GB2312"/>
                <w:sz w:val="21"/>
                <w:szCs w:val="21"/>
              </w:rPr>
            </w:pPr>
            <w:r>
              <w:rPr>
                <w:rFonts w:ascii="仿宋_GB2312" w:hint="eastAsia"/>
                <w:sz w:val="21"/>
                <w:szCs w:val="21"/>
              </w:rPr>
              <w:t>2025</w:t>
            </w:r>
          </w:p>
        </w:tc>
      </w:tr>
      <w:tr>
        <w:tc>
          <w:tcPr>
            <w:tcW w:w="283" w:type="pct"/>
            <w:vAlign w:val="center"/>
          </w:tcPr>
          <w:p>
            <w:pPr>
              <w:spacing w:line="240" w:lineRule="auto"/>
              <w:ind w:firstLineChars="0" w:firstLine="0"/>
              <w:jc w:val="center"/>
              <w:rPr>
                <w:rFonts w:ascii="仿宋_GB2312"/>
                <w:sz w:val="21"/>
                <w:szCs w:val="21"/>
              </w:rPr>
            </w:pPr>
            <w:r>
              <w:rPr>
                <w:rFonts w:ascii="仿宋_GB2312"/>
                <w:sz w:val="21"/>
                <w:szCs w:val="21"/>
              </w:rPr>
              <w:t>15</w:t>
            </w:r>
          </w:p>
        </w:tc>
        <w:tc>
          <w:tcPr>
            <w:tcW w:w="320" w:type="pct"/>
            <w:vMerge/>
            <w:vAlign w:val="center"/>
          </w:tcPr>
          <w:p/>
        </w:tc>
        <w:tc>
          <w:tcPr>
            <w:tcW w:w="960" w:type="pct"/>
            <w:vMerge/>
            <w:vAlign w:val="center"/>
          </w:tcP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九市一区</w:t>
            </w:r>
          </w:p>
        </w:tc>
        <w:tc>
          <w:tcPr>
            <w:tcW w:w="2213" w:type="pct"/>
            <w:vAlign w:val="center"/>
          </w:tcPr>
          <w:p>
            <w:pPr>
              <w:spacing w:line="240" w:lineRule="auto"/>
              <w:ind w:firstLineChars="0" w:firstLine="0"/>
              <w:jc w:val="center"/>
              <w:rPr>
                <w:rFonts w:ascii="仿宋_GB2312"/>
                <w:sz w:val="21"/>
                <w:szCs w:val="21"/>
              </w:rPr>
            </w:pPr>
            <w:r>
              <w:rPr>
                <w:rFonts w:ascii="仿宋_GB2312" w:hint="eastAsia"/>
                <w:sz w:val="21"/>
                <w:szCs w:val="21"/>
              </w:rPr>
              <w:t>现有29家钢铁企业实施超低排放改造，2023年</w:t>
            </w:r>
            <w:r>
              <w:rPr>
                <w:rFonts w:ascii="仿宋_GB2312"/>
                <w:sz w:val="21"/>
                <w:szCs w:val="21"/>
              </w:rPr>
              <w:t>底前基本</w:t>
            </w:r>
            <w:r>
              <w:rPr>
                <w:rFonts w:ascii="仿宋_GB2312" w:hint="eastAsia"/>
                <w:sz w:val="21"/>
                <w:szCs w:val="21"/>
              </w:rPr>
              <w:t>完成有组织排放升级改</w:t>
            </w:r>
            <w:r>
              <w:rPr>
                <w:rFonts w:ascii="仿宋_GB2312"/>
                <w:sz w:val="21"/>
                <w:szCs w:val="21"/>
              </w:rPr>
              <w:t>造</w:t>
            </w:r>
            <w:r>
              <w:rPr>
                <w:rFonts w:ascii="仿宋_GB2312" w:hint="eastAsia"/>
                <w:sz w:val="21"/>
                <w:szCs w:val="21"/>
              </w:rPr>
              <w:t>，2025年底前</w:t>
            </w:r>
            <w:r>
              <w:rPr>
                <w:rFonts w:ascii="仿宋_GB2312"/>
                <w:sz w:val="21"/>
                <w:szCs w:val="21"/>
              </w:rPr>
              <w:t>基本</w:t>
            </w:r>
            <w:r>
              <w:rPr>
                <w:rFonts w:ascii="仿宋_GB2312" w:hint="eastAsia"/>
                <w:sz w:val="21"/>
                <w:szCs w:val="21"/>
              </w:rPr>
              <w:t>完成无组织排放、清洁运输升级改造。</w:t>
            </w:r>
          </w:p>
        </w:tc>
        <w:tc>
          <w:tcPr>
            <w:tcW w:w="683" w:type="pct"/>
            <w:vAlign w:val="center"/>
          </w:tcPr>
          <w:p>
            <w:pPr>
              <w:spacing w:line="240" w:lineRule="auto"/>
              <w:ind w:firstLineChars="0" w:firstLine="0"/>
              <w:jc w:val="center"/>
              <w:rPr>
                <w:rFonts w:ascii="仿宋_GB2312"/>
                <w:sz w:val="21"/>
                <w:szCs w:val="21"/>
              </w:rPr>
            </w:pPr>
            <w:r>
              <w:rPr>
                <w:rFonts w:ascii="仿宋_GB2312" w:hint="eastAsia"/>
                <w:sz w:val="21"/>
                <w:szCs w:val="21"/>
              </w:rPr>
              <w:t>2025</w:t>
            </w:r>
          </w:p>
        </w:tc>
      </w:tr>
      <w:tr>
        <w:tc>
          <w:tcPr>
            <w:tcW w:w="283" w:type="pct"/>
            <w:vAlign w:val="center"/>
          </w:tcPr>
          <w:p>
            <w:pPr>
              <w:spacing w:line="240" w:lineRule="auto"/>
              <w:ind w:firstLineChars="0" w:firstLine="0"/>
              <w:jc w:val="center"/>
              <w:rPr>
                <w:rFonts w:ascii="仿宋_GB2312"/>
                <w:sz w:val="21"/>
                <w:szCs w:val="21"/>
              </w:rPr>
            </w:pPr>
            <w:r>
              <w:rPr>
                <w:rFonts w:ascii="仿宋_GB2312"/>
                <w:sz w:val="21"/>
                <w:szCs w:val="21"/>
              </w:rPr>
              <w:t>16</w:t>
            </w:r>
          </w:p>
        </w:tc>
        <w:tc>
          <w:tcPr>
            <w:tcW w:w="320" w:type="pct"/>
            <w:vMerge/>
            <w:vAlign w:val="center"/>
          </w:tcPr>
          <w:p/>
        </w:tc>
        <w:tc>
          <w:tcPr>
            <w:tcW w:w="960" w:type="pct"/>
            <w:vMerge/>
            <w:vAlign w:val="center"/>
          </w:tcP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九市一区</w:t>
            </w:r>
          </w:p>
        </w:tc>
        <w:tc>
          <w:tcPr>
            <w:tcW w:w="2213" w:type="pct"/>
            <w:vAlign w:val="center"/>
          </w:tcPr>
          <w:p>
            <w:pPr>
              <w:spacing w:line="240" w:lineRule="auto"/>
              <w:ind w:firstLineChars="0" w:firstLine="0"/>
              <w:jc w:val="center"/>
              <w:rPr>
                <w:rFonts w:ascii="仿宋_GB2312"/>
                <w:sz w:val="21"/>
                <w:szCs w:val="21"/>
              </w:rPr>
            </w:pPr>
            <w:r>
              <w:rPr>
                <w:rFonts w:ascii="仿宋_GB2312" w:hint="eastAsia"/>
                <w:sz w:val="21"/>
                <w:szCs w:val="21"/>
              </w:rPr>
              <w:t>2021年底前完成现有38台每小时65蒸吨及以上燃煤锅炉完成超低排放改造。推进每小时35蒸吨及以上燃煤锅炉超低排放改造。</w:t>
            </w:r>
          </w:p>
        </w:tc>
        <w:tc>
          <w:tcPr>
            <w:tcW w:w="683" w:type="pct"/>
            <w:vAlign w:val="center"/>
          </w:tcPr>
          <w:p>
            <w:pPr>
              <w:spacing w:line="240" w:lineRule="auto"/>
              <w:ind w:firstLineChars="0" w:firstLine="0"/>
              <w:jc w:val="center"/>
              <w:rPr>
                <w:rFonts w:ascii="仿宋_GB2312"/>
                <w:sz w:val="21"/>
                <w:szCs w:val="21"/>
              </w:rPr>
            </w:pPr>
            <w:r>
              <w:rPr>
                <w:rFonts w:ascii="仿宋_GB2312" w:hint="eastAsia"/>
                <w:sz w:val="21"/>
                <w:szCs w:val="21"/>
              </w:rPr>
              <w:t>2025</w:t>
            </w:r>
          </w:p>
        </w:tc>
      </w:tr>
      <w:tr>
        <w:tc>
          <w:tcPr>
            <w:tcW w:w="283" w:type="pct"/>
            <w:vAlign w:val="center"/>
          </w:tcPr>
          <w:p>
            <w:pPr>
              <w:spacing w:line="240" w:lineRule="auto"/>
              <w:ind w:firstLineChars="0" w:firstLine="0"/>
              <w:jc w:val="center"/>
              <w:rPr>
                <w:rFonts w:ascii="仿宋_GB2312"/>
                <w:sz w:val="21"/>
                <w:szCs w:val="21"/>
              </w:rPr>
            </w:pPr>
            <w:r>
              <w:rPr>
                <w:rFonts w:ascii="仿宋_GB2312"/>
                <w:sz w:val="21"/>
                <w:szCs w:val="21"/>
              </w:rPr>
              <w:t>17</w:t>
            </w:r>
          </w:p>
        </w:tc>
        <w:tc>
          <w:tcPr>
            <w:tcW w:w="320" w:type="pct"/>
            <w:vMerge/>
            <w:vAlign w:val="center"/>
          </w:tcPr>
          <w:p/>
        </w:tc>
        <w:tc>
          <w:tcPr>
            <w:tcW w:w="960" w:type="pct"/>
            <w:vMerge w:val="restart"/>
            <w:vAlign w:val="center"/>
          </w:tcPr>
          <w:p>
            <w:pPr>
              <w:spacing w:line="240" w:lineRule="auto"/>
              <w:ind w:firstLineChars="0" w:firstLine="0"/>
              <w:jc w:val="center"/>
              <w:rPr>
                <w:rFonts w:ascii="仿宋_GB2312"/>
                <w:b/>
                <w:sz w:val="21"/>
                <w:szCs w:val="21"/>
              </w:rPr>
            </w:pPr>
            <w:r>
              <w:rPr>
                <w:rFonts w:ascii="仿宋_GB2312" w:hint="eastAsia"/>
                <w:sz w:val="21"/>
                <w:szCs w:val="21"/>
              </w:rPr>
              <w:t>VOCs综合整治工程</w:t>
            </w: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九市一区</w:t>
            </w:r>
          </w:p>
        </w:tc>
        <w:tc>
          <w:tcPr>
            <w:tcW w:w="2213" w:type="pct"/>
            <w:vAlign w:val="center"/>
          </w:tcPr>
          <w:p>
            <w:pPr>
              <w:spacing w:line="240" w:lineRule="auto"/>
              <w:ind w:firstLineChars="0" w:firstLine="0"/>
              <w:jc w:val="center"/>
              <w:rPr>
                <w:rFonts w:ascii="仿宋_GB2312"/>
                <w:b/>
                <w:sz w:val="21"/>
                <w:szCs w:val="21"/>
              </w:rPr>
            </w:pPr>
            <w:r>
              <w:rPr>
                <w:rFonts w:ascii="仿宋_GB2312" w:hint="eastAsia"/>
                <w:sz w:val="21"/>
                <w:szCs w:val="21"/>
              </w:rPr>
              <w:t>实施涉VOCs企业提标改造，全面提升治理设施“三率”，重点企业制定“一厂一策”。</w:t>
            </w:r>
          </w:p>
        </w:tc>
        <w:tc>
          <w:tcPr>
            <w:tcW w:w="683" w:type="pct"/>
            <w:vAlign w:val="center"/>
          </w:tcPr>
          <w:p>
            <w:pPr>
              <w:spacing w:line="240" w:lineRule="auto"/>
              <w:ind w:firstLineChars="0" w:firstLine="0"/>
              <w:jc w:val="center"/>
              <w:rPr>
                <w:rFonts w:ascii="仿宋_GB2312"/>
                <w:b/>
                <w:sz w:val="21"/>
                <w:szCs w:val="21"/>
              </w:rPr>
            </w:pPr>
            <w:r>
              <w:rPr>
                <w:rFonts w:ascii="仿宋_GB2312" w:hint="eastAsia"/>
                <w:sz w:val="21"/>
                <w:szCs w:val="21"/>
              </w:rPr>
              <w:t>2025</w:t>
            </w:r>
          </w:p>
        </w:tc>
      </w:tr>
      <w:tr>
        <w:tc>
          <w:tcPr>
            <w:tcW w:w="283" w:type="pct"/>
            <w:vAlign w:val="center"/>
          </w:tcPr>
          <w:p>
            <w:pPr>
              <w:spacing w:line="240" w:lineRule="auto"/>
              <w:ind w:firstLineChars="0" w:firstLine="0"/>
              <w:jc w:val="center"/>
              <w:rPr>
                <w:rFonts w:ascii="仿宋_GB2312"/>
                <w:sz w:val="21"/>
                <w:szCs w:val="21"/>
              </w:rPr>
            </w:pPr>
            <w:r>
              <w:rPr>
                <w:rFonts w:ascii="仿宋_GB2312"/>
                <w:sz w:val="21"/>
                <w:szCs w:val="21"/>
              </w:rPr>
              <w:t>18</w:t>
            </w:r>
          </w:p>
        </w:tc>
        <w:tc>
          <w:tcPr>
            <w:tcW w:w="320" w:type="pct"/>
            <w:vMerge/>
            <w:vAlign w:val="center"/>
          </w:tcPr>
          <w:p/>
        </w:tc>
        <w:tc>
          <w:tcPr>
            <w:tcW w:w="960" w:type="pct"/>
            <w:vMerge/>
            <w:vAlign w:val="center"/>
          </w:tcP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九市一区</w:t>
            </w:r>
          </w:p>
        </w:tc>
        <w:tc>
          <w:tcPr>
            <w:tcW w:w="2213" w:type="pct"/>
            <w:vAlign w:val="center"/>
          </w:tcPr>
          <w:p>
            <w:pPr>
              <w:spacing w:line="240" w:lineRule="auto"/>
              <w:ind w:firstLineChars="0" w:firstLine="0"/>
              <w:jc w:val="center"/>
              <w:rPr>
                <w:rFonts w:ascii="仿宋_GB2312"/>
                <w:sz w:val="21"/>
                <w:szCs w:val="21"/>
              </w:rPr>
            </w:pPr>
            <w:r>
              <w:rPr>
                <w:rFonts w:ascii="仿宋_GB2312" w:hint="eastAsia"/>
                <w:sz w:val="21"/>
                <w:szCs w:val="21"/>
              </w:rPr>
              <w:t>实施印刷、涂装、家具、制鞋等</w:t>
            </w:r>
            <w:r>
              <w:rPr>
                <w:rFonts w:ascii="仿宋_GB2312"/>
                <w:sz w:val="21"/>
                <w:szCs w:val="21"/>
              </w:rPr>
              <w:t>重点</w:t>
            </w:r>
            <w:r>
              <w:rPr>
                <w:rFonts w:ascii="仿宋_GB2312" w:hint="eastAsia"/>
                <w:sz w:val="21"/>
                <w:szCs w:val="21"/>
              </w:rPr>
              <w:t>行业低VOCs含量原辅材料替代</w:t>
            </w:r>
            <w:r>
              <w:rPr>
                <w:rFonts w:ascii="仿宋_GB2312"/>
                <w:sz w:val="21"/>
                <w:szCs w:val="21"/>
              </w:rPr>
              <w:t>工程</w:t>
            </w:r>
            <w:r>
              <w:rPr>
                <w:rFonts w:ascii="仿宋_GB2312" w:hint="eastAsia"/>
                <w:sz w:val="21"/>
                <w:szCs w:val="21"/>
              </w:rPr>
              <w:t>。</w:t>
            </w:r>
          </w:p>
        </w:tc>
        <w:tc>
          <w:tcPr>
            <w:tcW w:w="683" w:type="pct"/>
            <w:vAlign w:val="center"/>
          </w:tcPr>
          <w:p>
            <w:pPr>
              <w:spacing w:line="240" w:lineRule="auto"/>
              <w:ind w:firstLineChars="0" w:firstLine="0"/>
              <w:jc w:val="center"/>
              <w:rPr>
                <w:rFonts w:ascii="仿宋_GB2312"/>
                <w:sz w:val="21"/>
                <w:szCs w:val="21"/>
              </w:rPr>
            </w:pPr>
            <w:r>
              <w:rPr>
                <w:rFonts w:ascii="仿宋_GB2312" w:hint="eastAsia"/>
                <w:sz w:val="21"/>
                <w:szCs w:val="21"/>
              </w:rPr>
              <w:t>持续推进</w:t>
            </w:r>
          </w:p>
        </w:tc>
      </w:tr>
      <w:tr>
        <w:tc>
          <w:tcPr>
            <w:tcW w:w="283" w:type="pct"/>
            <w:vAlign w:val="center"/>
          </w:tcPr>
          <w:p>
            <w:pPr>
              <w:spacing w:line="240" w:lineRule="auto"/>
              <w:ind w:firstLineChars="0" w:firstLine="0"/>
              <w:jc w:val="center"/>
              <w:rPr>
                <w:rFonts w:ascii="仿宋_GB2312"/>
                <w:sz w:val="21"/>
                <w:szCs w:val="21"/>
              </w:rPr>
            </w:pPr>
            <w:r>
              <w:rPr>
                <w:rFonts w:ascii="仿宋_GB2312" w:hint="eastAsia"/>
                <w:sz w:val="21"/>
                <w:szCs w:val="21"/>
              </w:rPr>
              <w:t>1</w:t>
            </w:r>
            <w:r>
              <w:rPr>
                <w:rFonts w:ascii="仿宋_GB2312"/>
                <w:sz w:val="21"/>
                <w:szCs w:val="21"/>
              </w:rPr>
              <w:t>9</w:t>
            </w:r>
          </w:p>
        </w:tc>
        <w:tc>
          <w:tcPr>
            <w:tcW w:w="320" w:type="pct"/>
            <w:vMerge/>
            <w:vAlign w:val="center"/>
          </w:tcPr>
          <w:p/>
        </w:tc>
        <w:tc>
          <w:tcPr>
            <w:tcW w:w="960" w:type="pct"/>
            <w:vAlign w:val="center"/>
          </w:tcPr>
          <w:p>
            <w:pPr>
              <w:spacing w:line="240" w:lineRule="auto"/>
              <w:ind w:firstLineChars="0" w:firstLine="0"/>
              <w:jc w:val="center"/>
              <w:rPr>
                <w:rFonts w:ascii="仿宋_GB2312"/>
                <w:sz w:val="21"/>
                <w:szCs w:val="21"/>
              </w:rPr>
            </w:pPr>
            <w:r>
              <w:rPr>
                <w:rFonts w:ascii="仿宋_GB2312" w:hint="eastAsia"/>
                <w:sz w:val="21"/>
                <w:szCs w:val="21"/>
              </w:rPr>
              <w:t>移动源整治工程</w:t>
            </w: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九市一区</w:t>
            </w:r>
          </w:p>
        </w:tc>
        <w:tc>
          <w:tcPr>
            <w:tcW w:w="2213" w:type="pct"/>
            <w:vAlign w:val="center"/>
          </w:tcPr>
          <w:p>
            <w:pPr>
              <w:spacing w:line="240" w:lineRule="auto"/>
              <w:ind w:firstLineChars="0" w:firstLine="0"/>
              <w:jc w:val="center"/>
              <w:rPr>
                <w:rFonts w:ascii="仿宋_GB2312"/>
                <w:sz w:val="21"/>
                <w:szCs w:val="21"/>
              </w:rPr>
            </w:pPr>
            <w:r>
              <w:rPr>
                <w:rFonts w:ascii="仿宋_GB2312" w:hint="eastAsia"/>
                <w:sz w:val="21"/>
                <w:szCs w:val="21"/>
              </w:rPr>
              <w:t>健全机动车监管制度体系，完善“天地车人”一体化的机动车排放监控系统。</w:t>
            </w:r>
          </w:p>
        </w:tc>
        <w:tc>
          <w:tcPr>
            <w:tcW w:w="683" w:type="pct"/>
            <w:vAlign w:val="center"/>
          </w:tcPr>
          <w:p>
            <w:pPr>
              <w:spacing w:line="240" w:lineRule="auto"/>
              <w:ind w:firstLineChars="0" w:firstLine="0"/>
              <w:jc w:val="center"/>
              <w:rPr>
                <w:rFonts w:ascii="仿宋_GB2312"/>
                <w:sz w:val="21"/>
                <w:szCs w:val="21"/>
              </w:rPr>
            </w:pPr>
            <w:r>
              <w:rPr>
                <w:rFonts w:ascii="仿宋_GB2312" w:hint="eastAsia"/>
                <w:sz w:val="21"/>
                <w:szCs w:val="21"/>
              </w:rPr>
              <w:t>2025</w:t>
            </w:r>
          </w:p>
        </w:tc>
      </w:tr>
      <w:tr>
        <w:trPr>
          <w:trHeight w:val="780"/>
        </w:trPr>
        <w:tc>
          <w:tcPr>
            <w:tcW w:w="283" w:type="pct"/>
            <w:vAlign w:val="center"/>
          </w:tcPr>
          <w:p>
            <w:pPr>
              <w:spacing w:line="240" w:lineRule="auto"/>
              <w:ind w:firstLineChars="0" w:firstLine="0"/>
              <w:jc w:val="center"/>
              <w:rPr>
                <w:rFonts w:ascii="仿宋_GB2312"/>
                <w:sz w:val="21"/>
                <w:szCs w:val="21"/>
              </w:rPr>
            </w:pPr>
            <w:r>
              <w:rPr>
                <w:rFonts w:ascii="仿宋_GB2312" w:hint="eastAsia"/>
                <w:sz w:val="21"/>
                <w:szCs w:val="21"/>
              </w:rPr>
              <w:t>2</w:t>
            </w:r>
            <w:r>
              <w:rPr>
                <w:rFonts w:ascii="仿宋_GB2312"/>
                <w:sz w:val="21"/>
                <w:szCs w:val="21"/>
              </w:rPr>
              <w:t>0</w:t>
            </w:r>
          </w:p>
        </w:tc>
        <w:tc>
          <w:tcPr>
            <w:tcW w:w="320" w:type="pct"/>
            <w:vAlign w:val="center"/>
          </w:tcPr>
          <w:p>
            <w:pPr>
              <w:spacing w:line="240" w:lineRule="auto"/>
              <w:ind w:firstLineChars="0" w:firstLine="0"/>
              <w:jc w:val="center"/>
              <w:rPr>
                <w:rFonts w:ascii="仿宋_GB2312"/>
                <w:b/>
                <w:sz w:val="21"/>
                <w:szCs w:val="21"/>
              </w:rPr>
            </w:pPr>
            <w:r>
              <w:rPr>
                <w:rFonts w:ascii="仿宋_GB2312" w:hint="eastAsia"/>
                <w:sz w:val="21"/>
                <w:szCs w:val="21"/>
              </w:rPr>
              <w:t>用地结构调整</w:t>
            </w:r>
          </w:p>
        </w:tc>
        <w:tc>
          <w:tcPr>
            <w:tcW w:w="960" w:type="pct"/>
            <w:vAlign w:val="center"/>
          </w:tcPr>
          <w:p>
            <w:pPr>
              <w:spacing w:line="240" w:lineRule="auto"/>
              <w:ind w:firstLineChars="0" w:firstLine="600"/>
              <w:jc w:val="center"/>
              <w:rPr>
                <w:rFonts w:ascii="仿宋_GB2312"/>
                <w:b/>
                <w:sz w:val="21"/>
                <w:szCs w:val="21"/>
              </w:rPr>
            </w:pPr>
            <w:r>
              <w:rPr>
                <w:rFonts w:ascii="仿宋_GB2312" w:hint="eastAsia"/>
                <w:sz w:val="21"/>
                <w:szCs w:val="21"/>
              </w:rPr>
              <w:t>扬尘整治工程</w:t>
            </w: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九市一区</w:t>
            </w:r>
          </w:p>
        </w:tc>
        <w:tc>
          <w:tcPr>
            <w:tcW w:w="2213" w:type="pct"/>
            <w:vAlign w:val="center"/>
          </w:tcPr>
          <w:p>
            <w:pPr>
              <w:spacing w:line="240" w:lineRule="auto"/>
              <w:ind w:firstLineChars="0" w:firstLine="0"/>
              <w:jc w:val="center"/>
              <w:rPr>
                <w:rFonts w:ascii="仿宋_GB2312"/>
                <w:b/>
                <w:sz w:val="21"/>
                <w:szCs w:val="21"/>
              </w:rPr>
            </w:pPr>
            <w:r>
              <w:rPr>
                <w:rFonts w:ascii="仿宋_GB2312" w:hint="eastAsia"/>
                <w:sz w:val="21"/>
                <w:szCs w:val="21"/>
              </w:rPr>
              <w:t>实施施工</w:t>
            </w:r>
            <w:r>
              <w:rPr>
                <w:rFonts w:ascii="仿宋_GB2312"/>
                <w:sz w:val="21"/>
                <w:szCs w:val="21"/>
              </w:rPr>
              <w:t>工地、</w:t>
            </w:r>
            <w:r>
              <w:rPr>
                <w:rFonts w:ascii="仿宋_GB2312" w:hint="eastAsia"/>
                <w:sz w:val="21"/>
                <w:szCs w:val="21"/>
              </w:rPr>
              <w:t>道路、</w:t>
            </w:r>
            <w:r>
              <w:rPr>
                <w:rFonts w:ascii="仿宋_GB2312"/>
                <w:sz w:val="21"/>
                <w:szCs w:val="21"/>
              </w:rPr>
              <w:t>露天</w:t>
            </w:r>
            <w:r>
              <w:rPr>
                <w:rFonts w:ascii="仿宋_GB2312" w:hint="eastAsia"/>
                <w:sz w:val="21"/>
                <w:szCs w:val="21"/>
              </w:rPr>
              <w:t>堆场</w:t>
            </w:r>
            <w:r>
              <w:rPr>
                <w:rFonts w:ascii="仿宋_GB2312"/>
                <w:sz w:val="21"/>
                <w:szCs w:val="21"/>
              </w:rPr>
              <w:t>等</w:t>
            </w:r>
            <w:r>
              <w:rPr>
                <w:rFonts w:ascii="仿宋_GB2312" w:hint="eastAsia"/>
                <w:sz w:val="21"/>
                <w:szCs w:val="21"/>
              </w:rPr>
              <w:t>扬尘整治工作。</w:t>
            </w:r>
          </w:p>
        </w:tc>
        <w:tc>
          <w:tcPr>
            <w:tcW w:w="683" w:type="pct"/>
            <w:vAlign w:val="center"/>
          </w:tcPr>
          <w:p>
            <w:pPr>
              <w:spacing w:line="240" w:lineRule="auto"/>
              <w:ind w:firstLineChars="0" w:firstLine="0"/>
              <w:jc w:val="center"/>
              <w:rPr>
                <w:rFonts w:ascii="仿宋_GB2312"/>
                <w:b/>
                <w:sz w:val="21"/>
                <w:szCs w:val="21"/>
              </w:rPr>
            </w:pPr>
            <w:r>
              <w:rPr>
                <w:rFonts w:ascii="仿宋_GB2312" w:hint="eastAsia"/>
                <w:sz w:val="21"/>
                <w:szCs w:val="21"/>
              </w:rPr>
              <w:t>持续推进</w:t>
            </w:r>
          </w:p>
        </w:tc>
      </w:tr>
      <w:tr>
        <w:trPr>
          <w:trHeight w:val="430"/>
        </w:trPr>
        <w:tc>
          <w:tcPr>
            <w:tcW w:w="283" w:type="pct"/>
            <w:vAlign w:val="center"/>
          </w:tcPr>
          <w:p>
            <w:pPr>
              <w:spacing w:line="240" w:lineRule="auto"/>
              <w:ind w:firstLineChars="0" w:firstLine="0"/>
              <w:jc w:val="center"/>
              <w:rPr>
                <w:rFonts w:ascii="仿宋_GB2312"/>
                <w:sz w:val="21"/>
                <w:szCs w:val="21"/>
              </w:rPr>
            </w:pPr>
            <w:r>
              <w:rPr>
                <w:rFonts w:ascii="仿宋_GB2312" w:hint="eastAsia"/>
                <w:sz w:val="21"/>
                <w:szCs w:val="21"/>
              </w:rPr>
              <w:t>2</w:t>
            </w:r>
            <w:r>
              <w:rPr>
                <w:rFonts w:ascii="仿宋_GB2312"/>
                <w:sz w:val="21"/>
                <w:szCs w:val="21"/>
              </w:rPr>
              <w:t>1</w:t>
            </w:r>
          </w:p>
        </w:tc>
        <w:tc>
          <w:tcPr>
            <w:tcW w:w="320" w:type="pct"/>
            <w:vMerge w:val="restart"/>
            <w:vAlign w:val="center"/>
          </w:tcPr>
          <w:p>
            <w:pPr>
              <w:spacing w:line="240" w:lineRule="auto"/>
              <w:ind w:firstLineChars="0" w:firstLine="0"/>
              <w:jc w:val="center"/>
              <w:rPr>
                <w:rFonts w:ascii="仿宋_GB2312"/>
                <w:sz w:val="21"/>
                <w:szCs w:val="21"/>
              </w:rPr>
            </w:pPr>
            <w:bookmarkStart w:id="152" w:name="_Hlk88345866"/>
            <w:r>
              <w:rPr>
                <w:rFonts w:ascii="仿宋_GB2312" w:hint="eastAsia"/>
                <w:sz w:val="21"/>
                <w:szCs w:val="21"/>
              </w:rPr>
              <w:t>治理体系和治理能力现代化</w:t>
            </w:r>
            <w:bookmarkEnd w:id="152"/>
          </w:p>
        </w:tc>
        <w:tc>
          <w:tcPr>
            <w:tcW w:w="960" w:type="pct"/>
            <w:vMerge w:val="restart"/>
            <w:vAlign w:val="center"/>
          </w:tcPr>
          <w:p>
            <w:pPr>
              <w:spacing w:line="240" w:lineRule="auto"/>
              <w:ind w:firstLineChars="0" w:firstLine="0"/>
              <w:jc w:val="center"/>
              <w:rPr>
                <w:rFonts w:ascii="仿宋_GB2312"/>
                <w:sz w:val="21"/>
                <w:szCs w:val="21"/>
              </w:rPr>
            </w:pPr>
            <w:r>
              <w:rPr>
                <w:rFonts w:ascii="仿宋_GB2312" w:hint="eastAsia"/>
                <w:sz w:val="21"/>
                <w:szCs w:val="21"/>
              </w:rPr>
              <w:t>智能监管能力建设</w:t>
            </w: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福州、泉州</w:t>
            </w:r>
          </w:p>
        </w:tc>
        <w:tc>
          <w:tcPr>
            <w:tcW w:w="2213" w:type="pct"/>
            <w:vAlign w:val="center"/>
          </w:tcPr>
          <w:p>
            <w:pPr>
              <w:spacing w:line="240" w:lineRule="auto"/>
              <w:ind w:firstLineChars="0" w:firstLine="0"/>
              <w:jc w:val="center"/>
              <w:rPr>
                <w:rFonts w:ascii="仿宋_GB2312"/>
                <w:sz w:val="21"/>
                <w:szCs w:val="21"/>
              </w:rPr>
            </w:pPr>
            <w:r>
              <w:rPr>
                <w:rFonts w:ascii="仿宋_GB2312"/>
                <w:sz w:val="21"/>
                <w:szCs w:val="21"/>
              </w:rPr>
              <w:t>开展</w:t>
            </w:r>
            <w:r>
              <w:rPr>
                <w:rFonts w:ascii="仿宋_GB2312" w:hint="eastAsia"/>
                <w:sz w:val="21"/>
                <w:szCs w:val="21"/>
              </w:rPr>
              <w:t>福州大气超级站升级改造；建设泉州大气超级站。</w:t>
            </w:r>
          </w:p>
        </w:tc>
        <w:tc>
          <w:tcPr>
            <w:tcW w:w="683" w:type="pct"/>
            <w:vAlign w:val="center"/>
          </w:tcPr>
          <w:p>
            <w:pPr>
              <w:spacing w:line="240" w:lineRule="auto"/>
              <w:ind w:firstLineChars="0" w:firstLine="0"/>
              <w:jc w:val="center"/>
              <w:rPr>
                <w:rFonts w:ascii="仿宋_GB2312"/>
                <w:sz w:val="21"/>
                <w:szCs w:val="21"/>
              </w:rPr>
            </w:pPr>
            <w:r>
              <w:rPr>
                <w:rFonts w:ascii="仿宋_GB2312" w:hint="eastAsia"/>
                <w:sz w:val="21"/>
                <w:szCs w:val="21"/>
              </w:rPr>
              <w:t>2024</w:t>
            </w:r>
          </w:p>
        </w:tc>
      </w:tr>
      <w:tr>
        <w:tc>
          <w:tcPr>
            <w:tcW w:w="283" w:type="pct"/>
            <w:vAlign w:val="center"/>
          </w:tcPr>
          <w:p>
            <w:pPr>
              <w:spacing w:line="240" w:lineRule="auto"/>
              <w:ind w:firstLineChars="0" w:firstLine="0"/>
              <w:jc w:val="center"/>
              <w:rPr>
                <w:rFonts w:ascii="仿宋_GB2312"/>
                <w:sz w:val="21"/>
                <w:szCs w:val="21"/>
              </w:rPr>
            </w:pPr>
            <w:r>
              <w:rPr>
                <w:rFonts w:ascii="仿宋_GB2312" w:hint="eastAsia"/>
                <w:sz w:val="21"/>
                <w:szCs w:val="21"/>
              </w:rPr>
              <w:t>2</w:t>
            </w:r>
            <w:r>
              <w:rPr>
                <w:rFonts w:ascii="仿宋_GB2312"/>
                <w:sz w:val="21"/>
                <w:szCs w:val="21"/>
              </w:rPr>
              <w:t>2</w:t>
            </w:r>
          </w:p>
        </w:tc>
        <w:tc>
          <w:tcPr>
            <w:tcW w:w="320" w:type="pct"/>
            <w:vMerge/>
            <w:vAlign w:val="center"/>
          </w:tcPr>
          <w:p/>
        </w:tc>
        <w:tc>
          <w:tcPr>
            <w:tcW w:w="960" w:type="pct"/>
            <w:vMerge/>
            <w:vAlign w:val="center"/>
          </w:tcP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福州、厦门、泉州</w:t>
            </w:r>
          </w:p>
        </w:tc>
        <w:tc>
          <w:tcPr>
            <w:tcW w:w="2213" w:type="pct"/>
            <w:vAlign w:val="center"/>
          </w:tcPr>
          <w:p>
            <w:pPr>
              <w:spacing w:line="240" w:lineRule="auto"/>
              <w:ind w:firstLineChars="0" w:firstLine="0"/>
              <w:jc w:val="center"/>
              <w:rPr>
                <w:rFonts w:ascii="仿宋_GB2312"/>
                <w:sz w:val="21"/>
                <w:szCs w:val="21"/>
              </w:rPr>
            </w:pPr>
            <w:r>
              <w:rPr>
                <w:rFonts w:ascii="仿宋_GB2312" w:hint="eastAsia"/>
                <w:sz w:val="21"/>
                <w:szCs w:val="21"/>
              </w:rPr>
              <w:t>建设公路、港口、机场和铁路货场等交通污染空气自动站。</w:t>
            </w:r>
          </w:p>
        </w:tc>
        <w:tc>
          <w:tcPr>
            <w:tcW w:w="683" w:type="pct"/>
            <w:vAlign w:val="center"/>
          </w:tcPr>
          <w:p>
            <w:pPr>
              <w:spacing w:line="240" w:lineRule="auto"/>
              <w:ind w:firstLineChars="0" w:firstLine="0"/>
              <w:jc w:val="center"/>
              <w:rPr>
                <w:rFonts w:ascii="仿宋_GB2312"/>
                <w:sz w:val="21"/>
                <w:szCs w:val="21"/>
              </w:rPr>
            </w:pPr>
            <w:r>
              <w:rPr>
                <w:rFonts w:ascii="仿宋_GB2312" w:hint="eastAsia"/>
                <w:sz w:val="21"/>
                <w:szCs w:val="21"/>
              </w:rPr>
              <w:t>2025</w:t>
            </w:r>
          </w:p>
        </w:tc>
      </w:tr>
      <w:tr>
        <w:tc>
          <w:tcPr>
            <w:tcW w:w="283" w:type="pct"/>
            <w:vAlign w:val="center"/>
          </w:tcPr>
          <w:p>
            <w:pPr>
              <w:spacing w:line="240" w:lineRule="auto"/>
              <w:ind w:firstLineChars="0" w:firstLine="0"/>
              <w:jc w:val="center"/>
              <w:rPr>
                <w:rFonts w:ascii="仿宋_GB2312"/>
                <w:sz w:val="21"/>
                <w:szCs w:val="21"/>
              </w:rPr>
            </w:pPr>
            <w:r>
              <w:rPr>
                <w:rFonts w:ascii="仿宋_GB2312" w:hint="eastAsia"/>
                <w:sz w:val="21"/>
                <w:szCs w:val="21"/>
              </w:rPr>
              <w:t>2</w:t>
            </w:r>
            <w:r>
              <w:rPr>
                <w:rFonts w:ascii="仿宋_GB2312"/>
                <w:sz w:val="21"/>
                <w:szCs w:val="21"/>
              </w:rPr>
              <w:t>3</w:t>
            </w:r>
          </w:p>
        </w:tc>
        <w:tc>
          <w:tcPr>
            <w:tcW w:w="320" w:type="pct"/>
            <w:vMerge/>
            <w:vAlign w:val="center"/>
          </w:tcPr>
          <w:p/>
        </w:tc>
        <w:tc>
          <w:tcPr>
            <w:tcW w:w="960" w:type="pct"/>
            <w:vMerge/>
            <w:vAlign w:val="center"/>
          </w:tcP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九市一区</w:t>
            </w:r>
          </w:p>
        </w:tc>
        <w:tc>
          <w:tcPr>
            <w:tcW w:w="2213" w:type="pct"/>
            <w:vAlign w:val="center"/>
          </w:tcPr>
          <w:p>
            <w:pPr>
              <w:spacing w:line="240" w:lineRule="auto"/>
              <w:ind w:firstLineChars="0" w:firstLine="0"/>
              <w:jc w:val="center"/>
              <w:rPr>
                <w:rFonts w:ascii="仿宋_GB2312"/>
                <w:sz w:val="21"/>
                <w:szCs w:val="21"/>
              </w:rPr>
            </w:pPr>
            <w:r>
              <w:rPr>
                <w:rFonts w:ascii="仿宋_GB2312" w:hint="eastAsia"/>
                <w:sz w:val="21"/>
                <w:szCs w:val="21"/>
              </w:rPr>
              <w:t>完善全省光化学组分网，沿海地市加密布设VOCs组分自动监测点位；福州、厦门、泉州等重点城市开展颗粒物组分自动监测；</w:t>
            </w:r>
          </w:p>
        </w:tc>
        <w:tc>
          <w:tcPr>
            <w:tcW w:w="683" w:type="pct"/>
            <w:vAlign w:val="center"/>
          </w:tcPr>
          <w:p>
            <w:pPr>
              <w:spacing w:line="240" w:lineRule="auto"/>
              <w:ind w:firstLineChars="0" w:firstLine="0"/>
              <w:jc w:val="center"/>
              <w:rPr>
                <w:rFonts w:ascii="仿宋_GB2312"/>
                <w:sz w:val="21"/>
                <w:szCs w:val="21"/>
              </w:rPr>
            </w:pPr>
            <w:r>
              <w:rPr>
                <w:rFonts w:ascii="仿宋_GB2312" w:hint="eastAsia"/>
                <w:sz w:val="21"/>
                <w:szCs w:val="21"/>
              </w:rPr>
              <w:t>2025</w:t>
            </w:r>
          </w:p>
        </w:tc>
      </w:tr>
      <w:tr>
        <w:tc>
          <w:tcPr>
            <w:tcW w:w="283" w:type="pct"/>
            <w:vAlign w:val="center"/>
          </w:tcPr>
          <w:p>
            <w:pPr>
              <w:spacing w:line="240" w:lineRule="auto"/>
              <w:ind w:firstLineChars="0" w:firstLine="0"/>
              <w:jc w:val="center"/>
              <w:rPr>
                <w:rFonts w:ascii="仿宋_GB2312"/>
                <w:sz w:val="21"/>
                <w:szCs w:val="21"/>
              </w:rPr>
            </w:pPr>
            <w:r>
              <w:rPr>
                <w:rFonts w:ascii="仿宋_GB2312" w:hint="eastAsia"/>
                <w:sz w:val="21"/>
                <w:szCs w:val="21"/>
              </w:rPr>
              <w:t>2</w:t>
            </w:r>
            <w:r>
              <w:rPr>
                <w:rFonts w:ascii="仿宋_GB2312"/>
                <w:sz w:val="21"/>
                <w:szCs w:val="21"/>
              </w:rPr>
              <w:t>4</w:t>
            </w:r>
          </w:p>
        </w:tc>
        <w:tc>
          <w:tcPr>
            <w:tcW w:w="320" w:type="pct"/>
            <w:vMerge/>
            <w:vAlign w:val="center"/>
          </w:tcPr>
          <w:p/>
        </w:tc>
        <w:tc>
          <w:tcPr>
            <w:tcW w:w="960" w:type="pct"/>
            <w:vMerge/>
            <w:vAlign w:val="center"/>
          </w:tcP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九市一区</w:t>
            </w:r>
          </w:p>
        </w:tc>
        <w:tc>
          <w:tcPr>
            <w:tcW w:w="2213" w:type="pct"/>
            <w:vAlign w:val="center"/>
          </w:tcPr>
          <w:p>
            <w:pPr>
              <w:spacing w:line="240" w:lineRule="auto"/>
              <w:ind w:firstLineChars="0" w:firstLine="0"/>
              <w:jc w:val="center"/>
              <w:rPr>
                <w:rFonts w:ascii="仿宋_GB2312"/>
                <w:sz w:val="21"/>
                <w:szCs w:val="21"/>
              </w:rPr>
            </w:pPr>
            <w:r>
              <w:rPr>
                <w:rFonts w:ascii="仿宋_GB2312" w:hint="eastAsia"/>
                <w:sz w:val="21"/>
                <w:szCs w:val="21"/>
              </w:rPr>
              <w:t>开展降尘监测工作，探索开展城市站和背景站温室气体</w:t>
            </w:r>
            <w:r>
              <w:rPr>
                <w:rFonts w:ascii="仿宋_GB2312"/>
                <w:sz w:val="21"/>
                <w:szCs w:val="21"/>
              </w:rPr>
              <w:t>（</w:t>
            </w:r>
            <w:r>
              <w:rPr>
                <w:rFonts w:ascii="仿宋_GB2312" w:hint="eastAsia"/>
                <w:sz w:val="21"/>
                <w:szCs w:val="21"/>
              </w:rPr>
              <w:t>CO</w:t>
            </w:r>
            <w:r>
              <w:rPr>
                <w:rFonts w:ascii="仿宋_GB2312" w:hint="eastAsia"/>
                <w:sz w:val="21"/>
                <w:szCs w:val="21"/>
                <w:vertAlign w:val="subscript"/>
              </w:rPr>
              <w:t>2</w:t>
            </w:r>
            <w:r>
              <w:rPr>
                <w:rFonts w:ascii="仿宋_GB2312" w:hint="eastAsia"/>
                <w:sz w:val="21"/>
                <w:szCs w:val="21"/>
              </w:rPr>
              <w:t>、CH</w:t>
            </w:r>
            <w:r>
              <w:rPr>
                <w:rFonts w:ascii="仿宋_GB2312" w:hint="eastAsia"/>
                <w:sz w:val="21"/>
                <w:szCs w:val="21"/>
                <w:vertAlign w:val="subscript"/>
              </w:rPr>
              <w:t>4</w:t>
            </w:r>
            <w:r>
              <w:rPr>
                <w:rFonts w:ascii="仿宋_GB2312" w:hint="eastAsia"/>
                <w:sz w:val="21"/>
                <w:szCs w:val="21"/>
              </w:rPr>
              <w:t>和N</w:t>
            </w:r>
            <w:r>
              <w:rPr>
                <w:rFonts w:ascii="仿宋_GB2312" w:hint="eastAsia"/>
                <w:sz w:val="21"/>
                <w:szCs w:val="21"/>
                <w:vertAlign w:val="subscript"/>
              </w:rPr>
              <w:t>2</w:t>
            </w:r>
            <w:r>
              <w:rPr>
                <w:rFonts w:ascii="仿宋_GB2312" w:hint="eastAsia"/>
                <w:sz w:val="21"/>
                <w:szCs w:val="21"/>
              </w:rPr>
              <w:t>O等</w:t>
            </w:r>
            <w:r>
              <w:rPr>
                <w:rFonts w:ascii="仿宋_GB2312"/>
                <w:sz w:val="21"/>
                <w:szCs w:val="21"/>
              </w:rPr>
              <w:t>）</w:t>
            </w:r>
            <w:r>
              <w:rPr>
                <w:rFonts w:ascii="仿宋_GB2312" w:hint="eastAsia"/>
                <w:sz w:val="21"/>
                <w:szCs w:val="21"/>
              </w:rPr>
              <w:t>浓度监测。</w:t>
            </w:r>
          </w:p>
        </w:tc>
        <w:tc>
          <w:tcPr>
            <w:tcW w:w="683" w:type="pct"/>
            <w:vAlign w:val="center"/>
          </w:tcPr>
          <w:p>
            <w:pPr>
              <w:spacing w:line="240" w:lineRule="auto"/>
              <w:ind w:firstLineChars="0" w:firstLine="0"/>
              <w:jc w:val="center"/>
              <w:rPr>
                <w:rFonts w:ascii="仿宋_GB2312"/>
                <w:sz w:val="21"/>
                <w:szCs w:val="21"/>
              </w:rPr>
            </w:pPr>
            <w:r>
              <w:rPr>
                <w:rFonts w:ascii="仿宋_GB2312" w:hint="eastAsia"/>
                <w:sz w:val="21"/>
                <w:szCs w:val="21"/>
              </w:rPr>
              <w:t>2023</w:t>
            </w:r>
          </w:p>
        </w:tc>
      </w:tr>
      <w:tr>
        <w:tc>
          <w:tcPr>
            <w:tcW w:w="283" w:type="pct"/>
            <w:vAlign w:val="center"/>
          </w:tcPr>
          <w:p>
            <w:pPr>
              <w:spacing w:line="240" w:lineRule="auto"/>
              <w:ind w:firstLineChars="0" w:firstLine="0"/>
              <w:jc w:val="center"/>
              <w:rPr>
                <w:rFonts w:ascii="仿宋_GB2312"/>
                <w:sz w:val="21"/>
                <w:szCs w:val="21"/>
              </w:rPr>
            </w:pPr>
            <w:r>
              <w:rPr>
                <w:rFonts w:ascii="仿宋_GB2312" w:hint="eastAsia"/>
                <w:sz w:val="21"/>
                <w:szCs w:val="21"/>
              </w:rPr>
              <w:t>2</w:t>
            </w:r>
            <w:r>
              <w:rPr>
                <w:rFonts w:ascii="仿宋_GB2312"/>
                <w:sz w:val="21"/>
                <w:szCs w:val="21"/>
              </w:rPr>
              <w:t>5</w:t>
            </w:r>
          </w:p>
        </w:tc>
        <w:tc>
          <w:tcPr>
            <w:tcW w:w="320" w:type="pct"/>
            <w:vMerge/>
            <w:vAlign w:val="center"/>
          </w:tcPr>
          <w:p/>
        </w:tc>
        <w:tc>
          <w:tcPr>
            <w:tcW w:w="960" w:type="pct"/>
            <w:vAlign w:val="center"/>
          </w:tcPr>
          <w:p>
            <w:pPr>
              <w:spacing w:line="240" w:lineRule="auto"/>
              <w:ind w:firstLineChars="0" w:firstLine="0"/>
              <w:jc w:val="center"/>
              <w:rPr>
                <w:rFonts w:ascii="仿宋_GB2312"/>
                <w:sz w:val="21"/>
                <w:szCs w:val="21"/>
              </w:rPr>
            </w:pPr>
            <w:r>
              <w:rPr>
                <w:rFonts w:ascii="仿宋_GB2312" w:hint="eastAsia"/>
                <w:sz w:val="21"/>
                <w:szCs w:val="21"/>
              </w:rPr>
              <w:t>科技支撑</w:t>
            </w:r>
          </w:p>
        </w:tc>
        <w:tc>
          <w:tcPr>
            <w:tcW w:w="541" w:type="pct"/>
            <w:vAlign w:val="center"/>
          </w:tcPr>
          <w:p>
            <w:pPr>
              <w:spacing w:line="240" w:lineRule="auto"/>
              <w:ind w:firstLineChars="0" w:firstLine="0"/>
              <w:jc w:val="center"/>
              <w:rPr>
                <w:rFonts w:ascii="仿宋_GB2312"/>
                <w:sz w:val="21"/>
                <w:szCs w:val="21"/>
              </w:rPr>
            </w:pPr>
            <w:r>
              <w:rPr>
                <w:rFonts w:ascii="仿宋_GB2312" w:hint="eastAsia"/>
                <w:sz w:val="21"/>
                <w:szCs w:val="21"/>
              </w:rPr>
              <w:t>福州、泉州、莆田</w:t>
            </w:r>
          </w:p>
        </w:tc>
        <w:tc>
          <w:tcPr>
            <w:tcW w:w="2213" w:type="pct"/>
            <w:vAlign w:val="center"/>
          </w:tcPr>
          <w:p>
            <w:pPr>
              <w:spacing w:line="240" w:lineRule="auto"/>
              <w:ind w:firstLineChars="0" w:firstLine="0"/>
              <w:jc w:val="center"/>
              <w:rPr>
                <w:rFonts w:ascii="仿宋_GB2312"/>
                <w:sz w:val="21"/>
                <w:szCs w:val="21"/>
              </w:rPr>
            </w:pPr>
            <w:r>
              <w:rPr>
                <w:rFonts w:ascii="仿宋_GB2312" w:hint="eastAsia"/>
                <w:sz w:val="21"/>
                <w:szCs w:val="21"/>
              </w:rPr>
              <w:t>开展湄洲湾、兴化湾地区大气光化学污染综合观测研究，2022年底前完成初步研究，2025年底前完成臭氧成因分析及管控措施细化。</w:t>
            </w:r>
          </w:p>
        </w:tc>
        <w:tc>
          <w:tcPr>
            <w:tcW w:w="683" w:type="pct"/>
            <w:vAlign w:val="center"/>
          </w:tcPr>
          <w:p>
            <w:pPr>
              <w:spacing w:line="240" w:lineRule="auto"/>
              <w:ind w:firstLineChars="0" w:firstLine="0"/>
              <w:jc w:val="center"/>
              <w:rPr>
                <w:rFonts w:ascii="仿宋_GB2312"/>
                <w:sz w:val="21"/>
                <w:szCs w:val="21"/>
              </w:rPr>
            </w:pPr>
            <w:r>
              <w:rPr>
                <w:rFonts w:ascii="仿宋_GB2312" w:hint="eastAsia"/>
                <w:sz w:val="21"/>
                <w:szCs w:val="21"/>
              </w:rPr>
              <w:t>2025</w:t>
            </w:r>
          </w:p>
        </w:tc>
      </w:tr>
    </w:tbl>
    <w:p>
      <w:pPr>
        <w:overflowPunct w:val="0"/>
        <w:spacing w:line="300" w:lineRule="auto"/>
        <w:ind w:left="525" w:hangingChars="250" w:hanging="525"/>
        <w:jc w:val="left"/>
        <w:rPr>
          <w:rFonts w:ascii="Times New Roman" w:hAnsi="Times New Roman"/>
          <w:kern w:val="0"/>
          <w:sz w:val="21"/>
          <w:szCs w:val="21"/>
        </w:rPr>
      </w:pPr>
      <w:bookmarkEnd w:id="150"/>
      <w:r>
        <w:rPr>
          <w:rFonts w:ascii="Times New Roman" w:hAnsi="Times New Roman"/>
          <w:kern w:val="0"/>
          <w:sz w:val="21"/>
          <w:szCs w:val="21"/>
        </w:rPr>
        <w:t>备注：重大工程项目清单实行动态管理。</w:t>
      </w:r>
    </w:p>
    <w:p>
      <w:pPr>
        <w:pStyle w:val="273"/>
        <w:ind w:firstLineChars="83" w:firstLine="199"/>
      </w:pPr>
    </w:p>
    <w:sectPr>
      <w:pgSz w:w="16838" w:h="11906" w:orient="landscape"/>
      <w:pgMar w:top="1797" w:right="1440" w:bottom="1797" w:left="1440"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E0002EFF" w:usb1="C000785B" w:usb2="00000009" w:usb3="00000000" w:csb0="000001FF" w:csb1="00000000"/>
  </w:font>
  <w:font w:name="华文中宋">
    <w:altName w:val="永中宋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10" w:usb3="00000000" w:csb0="00040000" w:csb1="00000000"/>
  </w:font>
  <w:font w:name="Segoe UI Symbol">
    <w:altName w:val="DejaVu Sans"/>
    <w:panose1 w:val="020B0502040204020203"/>
    <w:charset w:val="00"/>
    <w:family w:val="swiss"/>
    <w:pitch w:val="variable"/>
    <w:sig w:usb0="800001E3" w:usb1="1200FFEF" w:usb2="00040000" w:usb3="00000000" w:csb0="00000001" w:csb1="00000000"/>
  </w:font>
  <w:font w:name="微软雅黑">
    <w:altName w:val="永中宋体"/>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Cambria">
    <w:altName w:val="DejaVu Sans"/>
    <w:panose1 w:val="02040503050406030204"/>
    <w:charset w:val="00"/>
    <w:family w:val="roman"/>
    <w:pitch w:val="variable"/>
    <w:sig w:usb0="E00006FF" w:usb1="420024FF" w:usb2="02000000" w:usb3="00000000" w:csb0="0000019F" w:csb1="00000000"/>
  </w:font>
  <w:font w:name="Calibri Light">
    <w:altName w:val="Calibri"/>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variable"/>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Arial">
    <w:altName w:val="DejaVu Sans"/>
    <w:panose1 w:val="020B0604020202020204"/>
    <w:charset w:val="00"/>
    <w:family w:val="swiss"/>
    <w:pitch w:val="variable"/>
    <w:sig w:usb0="E0002EFF" w:usb1="C000785B" w:usb2="00000009" w:usb3="00000000" w:csb0="000001FF" w:csb1="00000000"/>
  </w:font>
  <w:font w:name="Courier New">
    <w:altName w:val="DejaVu Sans"/>
    <w:panose1 w:val="02070309020205020404"/>
    <w:charset w:val="00"/>
    <w:family w:val="modern"/>
    <w:pitch w:val="variable"/>
    <w:sig w:usb0="E0002EFF" w:usb1="C0007843" w:usb2="00000009" w:usb3="00000000" w:csb0="000001FF" w:csb1="00000000"/>
  </w:font>
  <w:font w:name="Microsoft YaHei UI">
    <w:altName w:val="Arial Unicode MS"/>
    <w:panose1 w:val="020B0503020204020204"/>
    <w:charset w:val="86"/>
    <w:family w:val="swiss"/>
    <w:pitch w:val="variable"/>
    <w:sig w:usb0="80000287" w:usb1="2ACF3C50" w:usb2="00000016" w:usb3="00000000" w:csb0="0004001F" w:csb1="00000000"/>
  </w:font>
  <w:font w:name="等线 Light">
    <w:altName w:val="Arial Unicode MS"/>
    <w:panose1 w:val="02010600030101010101"/>
    <w:charset w:val="86"/>
    <w:family w:val="auto"/>
    <w:pitch w:val="variable"/>
    <w:sig w:usb0="A00002BF" w:usb1="38CF7CFA" w:usb2="00000016" w:usb3="00000000" w:csb0="0004000F" w:csb1="00000000"/>
  </w:font>
  <w:font w:name="Arial Unicode MS">
    <w:altName w:val="永中宋体"/>
    <w:panose1 w:val="020B0604020202020204"/>
    <w:charset w:val="86"/>
    <w:family w:val="swiss"/>
    <w:pitch w:val="variable"/>
    <w:sig w:usb0="F7FFAFFF" w:usb1="E9DFFFFF" w:usb2="0000003F" w:usb3="00000000" w:csb0="003F01FF" w:csb1="00000000"/>
  </w:font>
  <w:font w:name="Verdana">
    <w:altName w:val="DejaVu Sans"/>
    <w:panose1 w:val="020B0604030504040204"/>
    <w:charset w:val="00"/>
    <w:family w:val="swiss"/>
    <w:pitch w:val="variable"/>
    <w:sig w:usb0="A00006FF" w:usb1="4000205B" w:usb2="00000010" w:usb3="00000000" w:csb0="0000019F" w:csb1="00000000"/>
  </w:font>
  <w:font w:name="方正黑体简体">
    <w:altName w:val="黑体"/>
    <w:panose1 w:val="00000000000000000000"/>
    <w:charset w:val="86"/>
    <w:family w:val="auto"/>
    <w:pitch w:val="variable"/>
    <w:sig w:usb0="00000000" w:usb1="0000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TimesNewRomanPSMT">
    <w:altName w:val="SimSun-ExtB"/>
    <w:panose1 w:val="00000000000000000000"/>
    <w:charset w:val="86"/>
    <w:family w:val="auto"/>
    <w:pitch w:val="variable"/>
    <w:sig w:usb0="00000000" w:usb1="0000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4"/>
      <w:tabs>
        <w:tab w:val="center" w:pos="4153"/>
        <w:tab w:val="right" w:pos="8306"/>
      </w:tabs>
      <w:ind w:left="2400"/>
      <w:jc w:val="center"/>
    </w:pPr>
  </w:p>
  <w:p>
    <w:pPr>
      <w:pStyle w:val="34"/>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4"/>
      <w:tabs>
        <w:tab w:val="center" w:pos="4153"/>
        <w:tab w:val="right" w:pos="8306"/>
      </w:tabs>
      <w:jc w:val="center"/>
    </w:pPr>
    <w:r>
      <w:fldChar w:fldCharType="begin"/>
    </w:r>
    <w:r>
      <w:instrText>PAGE   \* MERGEFORMAT</w:instrText>
    </w:r>
    <w:r>
      <w:fldChar w:fldCharType="separate"/>
    </w:r>
    <w:r>
      <w:rPr>
        <w:lang w:val="zh-CN"/>
      </w:rPr>
      <w:t>2</w:t>
    </w:r>
    <w:r>
      <w:rPr>
        <w:lang w:val="zh-CN"/>
      </w:rPr>
      <w:fldChar w:fldCharType="end"/>
    </w:r>
  </w:p>
  <w:p>
    <w:pPr>
      <w:pStyle w:val="34"/>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adjustRightInd w:val="0"/>
      <w:snapToGrid w:val="0"/>
      <w:spacing w:line="360" w:lineRule="auto"/>
      <w:ind w:firstLineChars="200" w:firstLine="200"/>
      <w:jc w:val="both"/>
    </w:pPr>
    <w:rPr>
      <w:rFonts w:ascii="Calibri" w:eastAsia="仿宋_GB2312" w:cs="Times New Roman" w:hAnsi="Calibri"/>
      <w:kern w:val="2"/>
      <w:sz w:val="30"/>
      <w:szCs w:val="22"/>
      <w:lang w:val="en-US" w:eastAsia="zh-CN" w:bidi="ar-SA"/>
    </w:rPr>
  </w:style>
  <w:style w:type="paragraph" w:styleId="1">
    <w:name w:val="heading 1"/>
    <w:basedOn w:val="0"/>
    <w:next w:val="0"/>
    <w:pPr>
      <w:keepNext/>
      <w:keepLines/>
      <w:widowControl w:val="0"/>
      <w:ind w:firstLineChars="0" w:firstLine="0"/>
      <w:outlineLvl w:val="0"/>
    </w:pPr>
    <w:rPr>
      <w:rFonts w:eastAsia="黑体" w:cs="宋体"/>
      <w:b/>
      <w:bCs/>
      <w:kern w:val="44"/>
      <w:sz w:val="32"/>
      <w:szCs w:val="44"/>
    </w:rPr>
  </w:style>
  <w:style w:type="paragraph" w:styleId="2">
    <w:name w:val="heading 2"/>
    <w:basedOn w:val="0"/>
    <w:next w:val="0"/>
    <w:pPr>
      <w:keepNext/>
      <w:keepLines/>
      <w:widowControl w:val="0"/>
      <w:ind w:firstLineChars="0" w:firstLine="0"/>
      <w:outlineLvl w:val="1"/>
    </w:pPr>
    <w:rPr>
      <w:rFonts w:ascii="Cambria" w:eastAsia="黑体" w:cs="宋体" w:hAnsi="Cambria"/>
      <w:bCs/>
      <w:szCs w:val="32"/>
    </w:rPr>
  </w:style>
  <w:style w:type="paragraph" w:styleId="3">
    <w:name w:val="heading 3"/>
    <w:basedOn w:val="0"/>
    <w:next w:val="0"/>
    <w:pPr>
      <w:keepNext/>
      <w:keepLines/>
      <w:widowControl w:val="0"/>
      <w:ind w:firstLineChars="0" w:firstLine="0"/>
      <w:outlineLvl w:val="2"/>
    </w:pPr>
    <w:rPr>
      <w:b/>
      <w:bCs/>
      <w:sz w:val="28"/>
      <w:szCs w:val="32"/>
    </w:rPr>
  </w:style>
  <w:style w:type="paragraph" w:styleId="4">
    <w:name w:val="heading 4"/>
    <w:basedOn w:val="0"/>
    <w:next w:val="0"/>
    <w:pPr>
      <w:keepNext/>
      <w:keepLines/>
      <w:widowControl w:val="0"/>
      <w:ind w:firstLineChars="0" w:firstLine="0"/>
      <w:outlineLvl w:val="3"/>
    </w:pPr>
    <w:rPr>
      <w:rFonts w:ascii="Calibri Light" w:eastAsia="宋体" w:cs="Times New Roman" w:hAnsi="Calibri Light"/>
      <w:b/>
      <w:bCs/>
      <w:sz w:val="28"/>
      <w:szCs w:val="28"/>
    </w:rPr>
  </w:style>
  <w:style w:type="paragraph" w:styleId="5">
    <w:name w:val="heading 5"/>
    <w:basedOn w:val="0"/>
    <w:next w:val="0"/>
    <w:pPr>
      <w:keepNext/>
      <w:keepLines/>
      <w:widowControl w:val="0"/>
      <w:spacing w:before="280" w:after="290" w:line="377" w:lineRule="auto"/>
      <w:outlineLvl w:val="4"/>
    </w:pPr>
    <w:rPr>
      <w:rFonts w:ascii="Times New Roman" w:hAnsi="Times New Roman"/>
      <w:b/>
      <w:bCs/>
      <w:sz w:val="28"/>
      <w:szCs w:val="28"/>
    </w:rPr>
  </w:style>
  <w:style w:type="paragraph" w:styleId="6">
    <w:name w:val="heading 6"/>
    <w:basedOn w:val="0"/>
    <w:next w:val="0"/>
    <w:pPr>
      <w:keepNext/>
      <w:keepLines/>
      <w:widowControl w:val="0"/>
      <w:adjustRightInd/>
      <w:snapToGrid/>
      <w:spacing w:before="240" w:after="64" w:line="319" w:lineRule="auto"/>
      <w:ind w:left="1152" w:firstLineChars="0" w:hanging="1152"/>
      <w:outlineLvl w:val="5"/>
    </w:pPr>
    <w:rPr>
      <w:rFonts w:ascii="Calibri Light" w:eastAsia="宋体" w:hAnsi="Calibri Light"/>
      <w:b/>
      <w:bCs/>
      <w:kern w:val="0"/>
      <w:sz w:val="24"/>
      <w:szCs w:val="24"/>
    </w:rPr>
  </w:style>
  <w:style w:type="paragraph" w:styleId="7">
    <w:name w:val="heading 7"/>
    <w:basedOn w:val="0"/>
    <w:next w:val="0"/>
    <w:pPr>
      <w:keepNext/>
      <w:keepLines/>
      <w:widowControl w:val="0"/>
      <w:adjustRightInd/>
      <w:snapToGrid/>
      <w:spacing w:before="240" w:after="64" w:line="319" w:lineRule="auto"/>
      <w:ind w:left="1296" w:firstLineChars="0" w:hanging="1296"/>
      <w:outlineLvl w:val="6"/>
    </w:pPr>
    <w:rPr>
      <w:rFonts w:eastAsia="仿宋"/>
      <w:b/>
      <w:bCs/>
      <w:kern w:val="0"/>
      <w:sz w:val="24"/>
      <w:szCs w:val="24"/>
    </w:rPr>
  </w:style>
  <w:style w:type="paragraph" w:styleId="8">
    <w:name w:val="heading 8"/>
    <w:basedOn w:val="0"/>
    <w:next w:val="0"/>
    <w:pPr>
      <w:keepNext/>
      <w:keepLines/>
      <w:widowControl w:val="0"/>
      <w:adjustRightInd/>
      <w:snapToGrid/>
      <w:spacing w:before="240" w:after="64" w:line="319" w:lineRule="auto"/>
      <w:ind w:left="1440" w:firstLineChars="0" w:hanging="1440"/>
      <w:outlineLvl w:val="7"/>
    </w:pPr>
    <w:rPr>
      <w:rFonts w:ascii="Calibri Light" w:eastAsia="宋体" w:hAnsi="Calibri Light"/>
      <w:kern w:val="0"/>
      <w:sz w:val="24"/>
      <w:szCs w:val="24"/>
    </w:rPr>
  </w:style>
  <w:style w:type="paragraph" w:styleId="9">
    <w:name w:val="heading 9"/>
    <w:basedOn w:val="0"/>
    <w:next w:val="0"/>
    <w:pPr>
      <w:keepNext/>
      <w:keepLines/>
      <w:widowControl w:val="0"/>
      <w:adjustRightInd/>
      <w:snapToGrid/>
      <w:spacing w:before="240" w:after="64" w:line="319" w:lineRule="auto"/>
      <w:ind w:left="1584" w:firstLineChars="0" w:hanging="1584"/>
      <w:outlineLvl w:val="8"/>
    </w:pPr>
    <w:rPr>
      <w:rFonts w:ascii="Calibri Light" w:eastAsia="宋体" w:hAnsi="Calibri Light"/>
      <w:kern w:val="0"/>
      <w:sz w:val="28"/>
      <w:szCs w:val="21"/>
    </w:rPr>
  </w:style>
  <w:style w:type="character" w:default="1" w:styleId="10">
    <w:name w:val="Default Paragraph Font"/>
  </w:style>
  <w:style w:type="paragraph" w:styleId="15">
    <w:name w:val="toc 7"/>
    <w:basedOn w:val="0"/>
    <w:next w:val="0"/>
    <w:pPr>
      <w:adjustRightInd/>
      <w:snapToGrid/>
      <w:spacing w:line="240" w:lineRule="auto"/>
      <w:ind w:leftChars="1200" w:left="1200" w:firstLineChars="0" w:firstLine="0"/>
    </w:pPr>
    <w:rPr>
      <w:rFonts w:ascii="等线" w:eastAsia="等线"/>
      <w:sz w:val="21"/>
    </w:rPr>
  </w:style>
  <w:style w:type="paragraph" w:styleId="16">
    <w:name w:val="E-mail Signature"/>
    <w:basedOn w:val="0"/>
    <w:next w:val="17"/>
    <w:pPr>
      <w:adjustRightInd/>
      <w:snapToGrid/>
      <w:spacing w:line="240" w:lineRule="auto"/>
      <w:ind w:firstLineChars="0" w:firstLine="0"/>
    </w:pPr>
    <w:rPr>
      <w:rFonts w:ascii="Times New Roman" w:eastAsia="等线" w:hAnsi="Times New Roman"/>
      <w:sz w:val="21"/>
      <w:szCs w:val="24"/>
      <w:lang w:val="zh-CN"/>
    </w:rPr>
  </w:style>
  <w:style w:type="paragraph" w:customStyle="1" w:styleId="17">
    <w:name w:val="文章"/>
    <w:next w:val="18"/>
    <w:pPr>
      <w:ind w:firstLine="480"/>
      <w:jc w:val="center"/>
    </w:pPr>
    <w:rPr>
      <w:rFonts w:ascii="Times New Roman" w:eastAsia="宋体" w:cs="Times New Roman" w:hAnsi="Times New Roman"/>
      <w:kern w:val="2"/>
      <w:sz w:val="26"/>
      <w:szCs w:val="22"/>
      <w:lang w:val="en-US" w:eastAsia="zh-CN" w:bidi="ar-SA"/>
    </w:rPr>
  </w:style>
  <w:style w:type="paragraph" w:styleId="18">
    <w:name w:val="List"/>
    <w:basedOn w:val="0"/>
    <w:next w:val="19"/>
    <w:pPr>
      <w:adjustRightInd/>
      <w:snapToGrid/>
      <w:spacing w:line="240" w:lineRule="auto"/>
      <w:ind w:left="200" w:hangingChars="200" w:hanging="200"/>
    </w:pPr>
    <w:rPr>
      <w:rFonts w:ascii="Times New Roman" w:eastAsia="等线" w:cs="Arial" w:hAnsi="Times New Roman"/>
      <w:sz w:val="21"/>
      <w:szCs w:val="24"/>
    </w:rPr>
  </w:style>
  <w:style w:type="paragraph" w:styleId="19">
    <w:name w:val="List Bullet 2"/>
    <w:basedOn w:val="0"/>
    <w:next w:val="20"/>
    <w:pPr>
      <w:tabs>
        <w:tab w:val="left" w:pos="780"/>
      </w:tabs>
      <w:adjustRightInd/>
      <w:snapToGrid/>
      <w:spacing w:line="240" w:lineRule="auto"/>
      <w:ind w:left="780" w:firstLineChars="0" w:firstLine="0"/>
    </w:pPr>
    <w:rPr>
      <w:rFonts w:ascii="等线" w:eastAsia="等线"/>
      <w:sz w:val="21"/>
    </w:rPr>
  </w:style>
  <w:style w:type="paragraph" w:customStyle="1" w:styleId="20">
    <w:name w:val="xl70"/>
    <w:basedOn w:val="0"/>
    <w:pPr>
      <w:widowControl/>
      <w:pBdr>
        <w:left w:val="single" w:sz="8" w:space="0" w:color="auto"/>
        <w:right w:val="single" w:sz="8" w:space="0" w:color="auto"/>
      </w:pBdr>
      <w:adjustRightInd/>
      <w:snapToGrid/>
      <w:spacing w:before="100" w:beforeAutospacing="1" w:after="100" w:afterAutospacing="1" w:line="240" w:lineRule="auto"/>
      <w:ind w:firstLineChars="0" w:firstLine="0"/>
      <w:jc w:val="center"/>
    </w:pPr>
    <w:rPr>
      <w:rFonts w:ascii="宋体" w:eastAsia="宋体" w:cs="宋体"/>
      <w:color w:val="000000"/>
      <w:kern w:val="0"/>
      <w:sz w:val="20"/>
      <w:szCs w:val="20"/>
    </w:rPr>
  </w:style>
  <w:style w:type="paragraph" w:styleId="21">
    <w:name w:val="Normal Indent"/>
    <w:basedOn w:val="0"/>
    <w:pPr>
      <w:adjustRightInd/>
      <w:snapToGrid/>
      <w:spacing w:line="240" w:lineRule="auto"/>
    </w:pPr>
    <w:rPr>
      <w:rFonts w:ascii="Times New Roman" w:eastAsia="宋体" w:hAnsi="Times New Roman"/>
      <w:sz w:val="21"/>
      <w:szCs w:val="20"/>
    </w:rPr>
  </w:style>
  <w:style w:type="paragraph" w:styleId="22">
    <w:name w:val="caption"/>
    <w:basedOn w:val="0"/>
    <w:next w:val="0"/>
    <w:rPr>
      <w:rFonts w:ascii="Calibri Light" w:eastAsia="黑体" w:cs="Times New Roman" w:hAnsi="Calibri Light"/>
      <w:sz w:val="20"/>
      <w:szCs w:val="20"/>
    </w:rPr>
  </w:style>
  <w:style w:type="paragraph" w:styleId="23">
    <w:name w:val="Document Map"/>
    <w:basedOn w:val="0"/>
    <w:rPr>
      <w:rFonts w:ascii="宋体" w:eastAsia="宋体"/>
      <w:sz w:val="18"/>
      <w:szCs w:val="18"/>
    </w:rPr>
  </w:style>
  <w:style w:type="paragraph" w:styleId="24">
    <w:name w:val="annotation text"/>
    <w:basedOn w:val="0"/>
    <w:pPr>
      <w:adjustRightInd/>
      <w:snapToGrid/>
      <w:spacing w:line="240" w:lineRule="auto"/>
      <w:ind w:firstLineChars="0" w:firstLine="0"/>
      <w:jc w:val="left"/>
    </w:pPr>
    <w:rPr>
      <w:rFonts w:ascii="等线" w:eastAsia="等线"/>
      <w:sz w:val="21"/>
    </w:rPr>
  </w:style>
  <w:style w:type="paragraph" w:styleId="25">
    <w:name w:val="Body Text"/>
    <w:basedOn w:val="0"/>
    <w:pPr>
      <w:adjustRightInd/>
      <w:snapToGrid/>
      <w:spacing w:line="240" w:lineRule="auto"/>
      <w:ind w:firstLineChars="0" w:firstLine="0"/>
      <w:jc w:val="center"/>
    </w:pPr>
    <w:rPr>
      <w:rFonts w:ascii="Times New Roman" w:eastAsia="宋体" w:hAnsi="Times New Roman"/>
      <w:sz w:val="44"/>
      <w:szCs w:val="20"/>
    </w:rPr>
  </w:style>
  <w:style w:type="paragraph" w:styleId="26">
    <w:name w:val="Body Text Indent"/>
    <w:basedOn w:val="0"/>
    <w:pPr>
      <w:adjustRightInd/>
      <w:snapToGrid/>
      <w:spacing w:after="120" w:line="240" w:lineRule="auto"/>
      <w:ind w:leftChars="200" w:left="200" w:firstLineChars="0" w:firstLine="0"/>
    </w:pPr>
    <w:rPr>
      <w:rFonts w:ascii="等线" w:eastAsia="宋体" w:hAnsi="等线"/>
      <w:sz w:val="21"/>
    </w:rPr>
  </w:style>
  <w:style w:type="paragraph" w:styleId="27">
    <w:name w:val="toc 5"/>
    <w:basedOn w:val="0"/>
    <w:next w:val="0"/>
    <w:pPr>
      <w:adjustRightInd/>
      <w:snapToGrid/>
      <w:spacing w:line="240" w:lineRule="auto"/>
      <w:ind w:leftChars="800" w:left="800" w:firstLineChars="0" w:firstLine="0"/>
    </w:pPr>
    <w:rPr>
      <w:rFonts w:ascii="等线" w:eastAsia="等线"/>
      <w:sz w:val="21"/>
    </w:rPr>
  </w:style>
  <w:style w:type="paragraph" w:styleId="28">
    <w:name w:val="toc 3"/>
    <w:basedOn w:val="0"/>
    <w:next w:val="0"/>
    <w:pPr>
      <w:ind w:left="561" w:firstLineChars="0" w:firstLine="0"/>
      <w:jc w:val="left"/>
    </w:pPr>
    <w:rPr>
      <w:iCs/>
      <w:szCs w:val="20"/>
    </w:rPr>
  </w:style>
  <w:style w:type="paragraph" w:styleId="29">
    <w:name w:val="Plain Text"/>
    <w:basedOn w:val="0"/>
    <w:pPr>
      <w:adjustRightInd/>
      <w:snapToGrid/>
      <w:spacing w:line="240" w:lineRule="auto"/>
      <w:ind w:firstLineChars="0" w:firstLine="0"/>
    </w:pPr>
    <w:rPr>
      <w:rFonts w:ascii="宋体" w:eastAsia="宋体"/>
      <w:sz w:val="28"/>
      <w:szCs w:val="20"/>
    </w:rPr>
  </w:style>
  <w:style w:type="paragraph" w:styleId="30">
    <w:name w:val="toc 8"/>
    <w:basedOn w:val="0"/>
    <w:next w:val="0"/>
    <w:pPr>
      <w:adjustRightInd/>
      <w:snapToGrid/>
      <w:spacing w:line="240" w:lineRule="auto"/>
      <w:ind w:leftChars="1400" w:left="1400" w:firstLineChars="0" w:firstLine="0"/>
    </w:pPr>
    <w:rPr>
      <w:rFonts w:ascii="等线" w:eastAsia="等线"/>
      <w:sz w:val="21"/>
    </w:rPr>
  </w:style>
  <w:style w:type="paragraph" w:styleId="31">
    <w:name w:val="Date"/>
    <w:basedOn w:val="0"/>
    <w:next w:val="0"/>
    <w:pPr>
      <w:ind w:leftChars="2500" w:left="2500"/>
    </w:pPr>
  </w:style>
  <w:style w:type="paragraph" w:styleId="32">
    <w:name w:val="Body Text Indent 2"/>
    <w:basedOn w:val="0"/>
    <w:pPr>
      <w:adjustRightInd/>
      <w:snapToGrid/>
      <w:spacing w:beforeLines="50" w:before="50" w:afterLines="50" w:after="50"/>
      <w:ind w:firstLineChars="180" w:firstLine="180"/>
    </w:pPr>
    <w:rPr>
      <w:rFonts w:ascii="Times New Roman" w:eastAsia="宋体" w:hAnsi="Times New Roman"/>
      <w:kern w:val="0"/>
      <w:szCs w:val="24"/>
    </w:rPr>
  </w:style>
  <w:style w:type="paragraph" w:styleId="33">
    <w:name w:val="Balloon Text"/>
    <w:basedOn w:val="0"/>
    <w:pPr>
      <w:spacing w:line="240" w:lineRule="auto"/>
    </w:pPr>
    <w:rPr>
      <w:sz w:val="18"/>
      <w:szCs w:val="18"/>
    </w:rPr>
  </w:style>
  <w:style w:type="paragraph" w:styleId="34">
    <w:name w:val="footer"/>
    <w:basedOn w:val="0"/>
    <w:pPr>
      <w:tabs>
        <w:tab w:val="center" w:pos="4153"/>
        <w:tab w:val="right" w:pos="8306"/>
      </w:tabs>
      <w:spacing w:line="240" w:lineRule="auto"/>
      <w:jc w:val="left"/>
    </w:pPr>
    <w:rPr>
      <w:sz w:val="18"/>
      <w:szCs w:val="18"/>
    </w:rPr>
  </w:style>
  <w:style w:type="paragraph" w:styleId="35">
    <w:name w:val="envelope return"/>
    <w:basedOn w:val="0"/>
    <w:pPr>
      <w:adjustRightInd/>
      <w:snapToGrid w:val="0"/>
      <w:spacing w:line="240" w:lineRule="auto"/>
      <w:ind w:firstLineChars="0" w:firstLine="0"/>
    </w:pPr>
    <w:rPr>
      <w:rFonts w:ascii="Arial" w:hAnsi="Arial"/>
      <w:sz w:val="32"/>
      <w:szCs w:val="24"/>
    </w:rPr>
  </w:style>
  <w:style w:type="paragraph" w:styleId="36">
    <w:name w:val="header"/>
    <w:basedOn w:val="0"/>
    <w:pPr>
      <w:pBdr>
        <w:bottom w:val="single" w:sz="6" w:space="1" w:color="auto"/>
      </w:pBdr>
      <w:tabs>
        <w:tab w:val="center" w:pos="4153"/>
        <w:tab w:val="right" w:pos="8306"/>
      </w:tabs>
      <w:spacing w:line="240" w:lineRule="auto"/>
      <w:jc w:val="center"/>
    </w:pPr>
    <w:rPr>
      <w:sz w:val="18"/>
      <w:szCs w:val="18"/>
    </w:rPr>
  </w:style>
  <w:style w:type="paragraph" w:styleId="37">
    <w:name w:val="toc 1"/>
    <w:basedOn w:val="0"/>
    <w:next w:val="0"/>
    <w:pPr>
      <w:tabs>
        <w:tab w:val="right" w:leader="dot" w:pos="8296"/>
      </w:tabs>
      <w:ind w:firstLineChars="0" w:firstLine="0"/>
      <w:jc w:val="left"/>
    </w:pPr>
    <w:rPr>
      <w:b/>
      <w:bCs/>
      <w:caps/>
      <w:smallCaps w:val="0"/>
      <w:sz w:val="32"/>
      <w:szCs w:val="20"/>
    </w:rPr>
  </w:style>
  <w:style w:type="paragraph" w:styleId="38">
    <w:name w:val="toc 4"/>
    <w:basedOn w:val="0"/>
    <w:next w:val="0"/>
    <w:pPr>
      <w:adjustRightInd/>
      <w:snapToGrid/>
      <w:spacing w:line="240" w:lineRule="auto"/>
      <w:ind w:leftChars="600" w:left="600" w:firstLineChars="0" w:firstLine="0"/>
    </w:pPr>
    <w:rPr>
      <w:rFonts w:ascii="等线" w:eastAsia="等线"/>
      <w:sz w:val="21"/>
    </w:rPr>
  </w:style>
  <w:style w:type="paragraph" w:styleId="39">
    <w:name w:val="Subtitle"/>
    <w:basedOn w:val="0"/>
    <w:next w:val="0"/>
    <w:pPr>
      <w:adjustRightInd/>
      <w:snapToGrid/>
      <w:spacing w:line="240" w:lineRule="auto"/>
    </w:pPr>
    <w:rPr>
      <w:rFonts w:ascii="Cambria" w:eastAsia="宋体" w:hAnsi="Cambria"/>
      <w:i/>
      <w:iCs/>
      <w:color w:val="4F81BD"/>
      <w:spacing w:val="15"/>
      <w:sz w:val="24"/>
      <w:szCs w:val="24"/>
    </w:rPr>
  </w:style>
  <w:style w:type="paragraph" w:styleId="40">
    <w:name w:val="footnote text"/>
    <w:basedOn w:val="0"/>
    <w:pPr>
      <w:adjustRightInd/>
      <w:snapToGrid w:val="0"/>
      <w:spacing w:line="240" w:lineRule="auto"/>
      <w:ind w:firstLineChars="0" w:firstLine="0"/>
      <w:jc w:val="left"/>
    </w:pPr>
    <w:rPr>
      <w:rFonts w:ascii="等线" w:eastAsia="等线"/>
      <w:sz w:val="18"/>
      <w:szCs w:val="18"/>
    </w:rPr>
  </w:style>
  <w:style w:type="paragraph" w:styleId="41">
    <w:name w:val="toc 6"/>
    <w:basedOn w:val="0"/>
    <w:next w:val="0"/>
    <w:pPr>
      <w:adjustRightInd/>
      <w:snapToGrid/>
      <w:spacing w:line="240" w:lineRule="auto"/>
      <w:ind w:leftChars="1000" w:left="1000" w:firstLineChars="0" w:firstLine="0"/>
    </w:pPr>
    <w:rPr>
      <w:rFonts w:ascii="等线" w:eastAsia="等线"/>
      <w:sz w:val="21"/>
    </w:rPr>
  </w:style>
  <w:style w:type="paragraph" w:styleId="42">
    <w:name w:val="Body Text Indent 3"/>
    <w:basedOn w:val="0"/>
    <w:pPr>
      <w:adjustRightInd/>
      <w:snapToGrid/>
      <w:spacing w:beforeLines="50" w:before="50" w:afterLines="50" w:after="50" w:line="440" w:lineRule="exact"/>
    </w:pPr>
    <w:rPr>
      <w:rFonts w:ascii="仿宋_GB2312" w:eastAsia="宋体" w:hAnsi="仿宋_GB2312"/>
      <w:kern w:val="0"/>
      <w:sz w:val="24"/>
      <w:szCs w:val="20"/>
    </w:rPr>
  </w:style>
  <w:style w:type="paragraph" w:styleId="43">
    <w:name w:val="index 9"/>
    <w:basedOn w:val="0"/>
    <w:next w:val="0"/>
    <w:rPr>
      <w:color w:val="FF0000"/>
      <w:sz w:val="28"/>
      <w:szCs w:val="28"/>
    </w:rPr>
  </w:style>
  <w:style w:type="paragraph" w:styleId="44">
    <w:name w:val="toc 2"/>
    <w:basedOn w:val="0"/>
    <w:next w:val="0"/>
    <w:pPr>
      <w:tabs>
        <w:tab w:val="right" w:leader="dot" w:pos="8296"/>
      </w:tabs>
      <w:ind w:left="601" w:firstLineChars="0" w:firstLine="0"/>
      <w:jc w:val="left"/>
    </w:pPr>
    <w:rPr>
      <w:rFonts w:ascii="Times New Roman" w:hAnsi="Times New Roman"/>
      <w:b/>
      <w:caps w:val="0"/>
      <w:smallCaps/>
      <w:szCs w:val="20"/>
    </w:rPr>
  </w:style>
  <w:style w:type="paragraph" w:styleId="45">
    <w:name w:val="toc 9"/>
    <w:basedOn w:val="0"/>
    <w:next w:val="0"/>
    <w:pPr>
      <w:adjustRightInd/>
      <w:snapToGrid/>
      <w:spacing w:line="240" w:lineRule="auto"/>
      <w:ind w:leftChars="1600" w:left="1600" w:firstLineChars="0" w:firstLine="0"/>
    </w:pPr>
    <w:rPr>
      <w:rFonts w:ascii="等线" w:eastAsia="等线"/>
      <w:sz w:val="21"/>
    </w:rPr>
  </w:style>
  <w:style w:type="paragraph" w:styleId="46">
    <w:name w:val="HTML Preformatted"/>
    <w:basedOn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75" w:lineRule="atLeast"/>
      <w:ind w:firstLineChars="0" w:firstLine="0"/>
      <w:jc w:val="left"/>
    </w:pPr>
    <w:rPr>
      <w:rFonts w:ascii="Arial" w:eastAsia="宋体" w:cs="Arial" w:hAnsi="Arial"/>
      <w:kern w:val="0"/>
      <w:sz w:val="21"/>
      <w:szCs w:val="21"/>
    </w:rPr>
  </w:style>
  <w:style w:type="paragraph" w:styleId="47">
    <w:name w:val="Normal (Web)"/>
    <w:next w:val="36"/>
    <w:pPr>
      <w:widowControl w:val="0"/>
      <w:spacing w:before="100" w:beforeAutospacing="1" w:after="100" w:afterAutospacing="1"/>
    </w:pPr>
    <w:rPr>
      <w:rFonts w:ascii="Calibri" w:eastAsia="宋体" w:cs="Times New Roman" w:hAnsi="Calibri"/>
      <w:sz w:val="24"/>
      <w:szCs w:val="24"/>
      <w:lang w:val="en-US" w:eastAsia="zh-CN" w:bidi="ar-SA"/>
    </w:rPr>
  </w:style>
  <w:style w:type="paragraph" w:styleId="48">
    <w:name w:val="Title"/>
    <w:basedOn w:val="0"/>
    <w:next w:val="0"/>
    <w:pPr>
      <w:adjustRightInd/>
      <w:snapToGrid/>
      <w:spacing w:before="240" w:after="60" w:line="240" w:lineRule="auto"/>
      <w:ind w:left="420" w:firstLineChars="0" w:hanging="420"/>
      <w:jc w:val="center"/>
      <w:outlineLvl w:val="0"/>
    </w:pPr>
    <w:rPr>
      <w:rFonts w:ascii="Cambria" w:eastAsia="宋体" w:hAnsi="Cambria"/>
      <w:b/>
      <w:bCs/>
      <w:sz w:val="32"/>
      <w:szCs w:val="32"/>
    </w:rPr>
  </w:style>
  <w:style w:type="paragraph" w:styleId="49">
    <w:name w:val="annotation subject"/>
    <w:basedOn w:val="24"/>
    <w:next w:val="24"/>
    <w:rPr>
      <w:b/>
      <w:bCs/>
    </w:rPr>
  </w:style>
  <w:style w:type="paragraph" w:styleId="50">
    <w:name w:val="Body Text First Indent"/>
    <w:basedOn w:val="25"/>
    <w:pPr>
      <w:adjustRightInd w:val="0"/>
      <w:snapToGrid w:val="0"/>
      <w:spacing w:after="120" w:line="360" w:lineRule="auto"/>
      <w:ind w:firstLineChars="100" w:firstLine="100"/>
      <w:jc w:val="both"/>
    </w:pPr>
    <w:rPr>
      <w:rFonts w:ascii="Calibri" w:eastAsia="仿宋_GB2312" w:hAnsi="Calibri"/>
      <w:sz w:val="30"/>
      <w:szCs w:val="22"/>
    </w:rPr>
  </w:style>
  <w:style w:type="character" w:styleId="51">
    <w:name w:val="Strong"/>
    <w:rPr>
      <w:b/>
      <w:bCs/>
    </w:rPr>
  </w:style>
  <w:style w:type="character" w:styleId="52">
    <w:name w:val="page number"/>
    <w:basedOn w:val="10"/>
  </w:style>
  <w:style w:type="character" w:styleId="53">
    <w:name w:val="Emphasis"/>
    <w:rPr>
      <w:color w:val="CC0000"/>
    </w:rPr>
  </w:style>
  <w:style w:type="character" w:styleId="54">
    <w:name w:val="Hyperlink"/>
    <w:rPr>
      <w:color w:val="0000FF"/>
      <w:u w:val="single"/>
    </w:rPr>
  </w:style>
  <w:style w:type="character" w:styleId="55">
    <w:name w:val="annotation reference"/>
    <w:rPr>
      <w:sz w:val="21"/>
      <w:szCs w:val="21"/>
    </w:rPr>
  </w:style>
  <w:style w:type="character" w:styleId="56">
    <w:name w:val="footnote reference"/>
    <w:rPr>
      <w:vertAlign w:val="superscript"/>
    </w:rPr>
  </w:style>
  <w:style w:type="paragraph" w:customStyle="1" w:styleId="57">
    <w:name w:val="TOC 标题1"/>
    <w:basedOn w:val="1"/>
    <w:next w:val="0"/>
    <w:pPr>
      <w:keepNext/>
      <w:keepLines/>
      <w:widowControl/>
      <w:adjustRightInd/>
      <w:snapToGrid/>
      <w:spacing w:before="240" w:line="259" w:lineRule="auto"/>
      <w:jc w:val="left"/>
      <w:outlineLvl w:val="9"/>
    </w:pPr>
    <w:rPr>
      <w:rFonts w:ascii="Calibri Light" w:eastAsia="宋体" w:cs="Times New Roman" w:hAnsi="Calibri Light"/>
      <w:b w:val="0"/>
      <w:bCs w:val="0"/>
      <w:color w:val="2E74B5"/>
      <w:kern w:val="0"/>
      <w:szCs w:val="32"/>
    </w:rPr>
  </w:style>
  <w:style w:type="paragraph" w:customStyle="1" w:styleId="58">
    <w:name w:val="图标标题"/>
    <w:basedOn w:val="22"/>
    <w:pPr>
      <w:keepLines/>
      <w:widowControl w:val="0"/>
      <w:adjustRightInd/>
      <w:snapToGrid/>
      <w:spacing w:line="276" w:lineRule="auto"/>
      <w:ind w:firstLineChars="0" w:firstLine="0"/>
      <w:jc w:val="center"/>
    </w:pPr>
    <w:rPr>
      <w:rFonts w:ascii="黑体" w:cs="Times New Roman"/>
      <w:b/>
      <w:color w:val="000000"/>
      <w:w w:val="98"/>
      <w:sz w:val="22"/>
      <w:szCs w:val="21"/>
    </w:rPr>
  </w:style>
  <w:style w:type="paragraph" w:customStyle="1" w:styleId="59">
    <w:name w:val="No Spacing"/>
    <w:pPr>
      <w:widowControl w:val="0"/>
      <w:spacing w:line="360" w:lineRule="auto"/>
      <w:ind w:firstLineChars="200" w:firstLine="200"/>
      <w:jc w:val="both"/>
    </w:pPr>
    <w:rPr>
      <w:rFonts w:ascii="Times New Roman" w:eastAsia="宋体" w:cs="Arial" w:hAnsi="Times New Roman"/>
      <w:kern w:val="2"/>
      <w:sz w:val="24"/>
      <w:szCs w:val="22"/>
      <w:lang w:val="en-US" w:eastAsia="zh-CN" w:bidi="ar-SA"/>
    </w:rPr>
  </w:style>
  <w:style w:type="paragraph" w:customStyle="1" w:styleId="60">
    <w:name w:val="图表"/>
    <w:basedOn w:val="0"/>
    <w:pPr>
      <w:tabs>
        <w:tab w:val="center" w:pos="4153"/>
        <w:tab w:val="right" w:pos="8306"/>
      </w:tabs>
      <w:adjustRightInd/>
      <w:snapToGrid w:val="0"/>
      <w:spacing w:line="276" w:lineRule="auto"/>
      <w:ind w:firstLineChars="0" w:firstLine="0"/>
      <w:jc w:val="center"/>
    </w:pPr>
    <w:rPr>
      <w:rFonts w:ascii="Times New Roman" w:eastAsia="宋体" w:hAnsi="Times New Roman"/>
      <w:sz w:val="21"/>
      <w:szCs w:val="40"/>
    </w:rPr>
  </w:style>
  <w:style w:type="paragraph" w:customStyle="1" w:styleId="61">
    <w:name w:val="表格"/>
    <w:basedOn w:val="0"/>
    <w:pPr>
      <w:widowControl/>
      <w:spacing w:line="240" w:lineRule="auto"/>
      <w:ind w:leftChars="-50" w:left="-50" w:rightChars="-50" w:right="-50" w:firstLineChars="0" w:firstLine="0"/>
      <w:jc w:val="center"/>
    </w:pPr>
    <w:rPr>
      <w:rFonts w:ascii="Times New Roman" w:hAnsi="Times New Roman"/>
      <w:kern w:val="0"/>
      <w:sz w:val="21"/>
      <w:szCs w:val="21"/>
      <w:lang w:val="zh-CN"/>
    </w:rPr>
  </w:style>
  <w:style w:type="paragraph" w:customStyle="1" w:styleId="62">
    <w:name w:val="表1"/>
    <w:basedOn w:val="22"/>
    <w:pPr>
      <w:adjustRightInd/>
      <w:snapToGrid/>
      <w:spacing w:line="240" w:lineRule="auto"/>
      <w:ind w:firstLineChars="0" w:firstLine="0"/>
      <w:jc w:val="center"/>
    </w:pPr>
    <w:rPr>
      <w:rFonts w:ascii="Times New Roman" w:eastAsia="仿宋_GB2312" w:cs="Times New Roman" w:hAnsi="Times New Roman"/>
      <w:b/>
      <w:sz w:val="24"/>
      <w:szCs w:val="24"/>
    </w:rPr>
  </w:style>
  <w:style w:type="paragraph" w:customStyle="1" w:styleId="63">
    <w:name w:val="Default"/>
    <w:basedOn w:val="0"/>
    <w:next w:val="64"/>
    <w:pPr>
      <w:autoSpaceDE w:val="0"/>
      <w:autoSpaceDN w:val="0"/>
      <w:adjustRightInd w:val="0"/>
      <w:snapToGrid/>
      <w:spacing w:line="240" w:lineRule="auto"/>
      <w:ind w:firstLineChars="0" w:firstLine="0"/>
    </w:pPr>
    <w:rPr>
      <w:rFonts w:ascii="仿宋" w:eastAsia="仿宋"/>
      <w:color w:val="000000"/>
      <w:sz w:val="24"/>
      <w:szCs w:val="21"/>
    </w:rPr>
  </w:style>
  <w:style w:type="paragraph" w:customStyle="1" w:styleId="64">
    <w:name w:val="样式35"/>
    <w:next w:val="0"/>
    <w:pPr>
      <w:widowControl w:val="0"/>
      <w:spacing w:line="312" w:lineRule="auto"/>
      <w:ind w:firstLine="567"/>
      <w:jc w:val="both"/>
    </w:pPr>
    <w:rPr>
      <w:rFonts w:ascii="宋体" w:eastAsia="宋体" w:cs="Times New Roman"/>
      <w:kern w:val="2"/>
      <w:sz w:val="21"/>
      <w:szCs w:val="22"/>
      <w:lang w:val="en-US" w:eastAsia="zh-CN" w:bidi="ar-SA"/>
    </w:rPr>
  </w:style>
  <w:style w:type="paragraph" w:customStyle="1" w:styleId="65">
    <w:name w:val="图名"/>
    <w:basedOn w:val="0"/>
    <w:pPr>
      <w:ind w:firstLineChars="0" w:firstLine="0"/>
      <w:jc w:val="center"/>
    </w:pPr>
    <w:rPr>
      <w:rFonts w:ascii="Times New Roman" w:hAnsi="Times New Roman"/>
      <w:b/>
      <w:sz w:val="24"/>
      <w:szCs w:val="24"/>
    </w:rPr>
  </w:style>
  <w:style w:type="character" w:customStyle="1" w:styleId="66">
    <w:name w:val="标题 5 Char"/>
    <w:basedOn w:val="10"/>
    <w:rPr>
      <w:rFonts w:ascii="Calibri" w:eastAsia="仿宋_GB2312" w:cs="Times New Roman" w:hAnsi="Calibri"/>
      <w:b/>
      <w:bCs/>
      <w:sz w:val="28"/>
      <w:szCs w:val="28"/>
    </w:rPr>
  </w:style>
  <w:style w:type="character" w:customStyle="1" w:styleId="67">
    <w:name w:val="标题 6 Char"/>
    <w:basedOn w:val="10"/>
    <w:rPr>
      <w:rFonts w:ascii="Calibri Light" w:eastAsia="宋体" w:cs="Times New Roman" w:hAnsi="Calibri Light"/>
      <w:b/>
      <w:bCs/>
      <w:sz w:val="24"/>
      <w:szCs w:val="24"/>
    </w:rPr>
  </w:style>
  <w:style w:type="character" w:customStyle="1" w:styleId="68">
    <w:name w:val="标题 7 Char"/>
    <w:basedOn w:val="10"/>
    <w:rPr>
      <w:rFonts w:ascii="Calibri" w:eastAsia="仿宋_GB2312" w:cs="Times New Roman" w:hAnsi="Calibri"/>
      <w:b/>
      <w:bCs/>
      <w:sz w:val="24"/>
      <w:szCs w:val="24"/>
    </w:rPr>
  </w:style>
  <w:style w:type="character" w:customStyle="1" w:styleId="69">
    <w:name w:val="标题 8 Char"/>
    <w:basedOn w:val="10"/>
    <w:rPr>
      <w:rFonts w:ascii="Calibri Light" w:eastAsia="宋体" w:cs="Times New Roman" w:hAnsi="Calibri Light"/>
      <w:sz w:val="24"/>
      <w:szCs w:val="24"/>
    </w:rPr>
  </w:style>
  <w:style w:type="character" w:customStyle="1" w:styleId="70">
    <w:name w:val="标题 9 Char"/>
    <w:basedOn w:val="10"/>
    <w:rPr>
      <w:rFonts w:ascii="Calibri Light" w:eastAsia="宋体" w:cs="Times New Roman" w:hAnsi="Calibri Light"/>
      <w:szCs w:val="21"/>
    </w:rPr>
  </w:style>
  <w:style w:type="paragraph" w:customStyle="1" w:styleId="71">
    <w:name w:val="纯文本1"/>
    <w:basedOn w:val="0"/>
    <w:pPr>
      <w:adjustRightInd/>
      <w:snapToGrid/>
      <w:spacing w:line="240" w:lineRule="auto"/>
      <w:ind w:firstLineChars="0" w:firstLine="0"/>
    </w:pPr>
    <w:rPr>
      <w:rFonts w:ascii="宋体" w:eastAsia="宋体" w:cs="黑体"/>
      <w:sz w:val="21"/>
      <w:szCs w:val="21"/>
    </w:rPr>
  </w:style>
  <w:style w:type="paragraph" w:customStyle="1" w:styleId="72">
    <w:name w:val="font6"/>
    <w:basedOn w:val="0"/>
    <w:next w:val="44"/>
    <w:pPr>
      <w:widowControl/>
      <w:adjustRightInd/>
      <w:snapToGrid/>
      <w:spacing w:before="100" w:beforeAutospacing="1" w:after="100" w:afterAutospacing="1" w:line="240" w:lineRule="auto"/>
      <w:ind w:firstLineChars="0" w:firstLine="0"/>
      <w:jc w:val="left"/>
    </w:pPr>
    <w:rPr>
      <w:rFonts w:ascii="宋体" w:eastAsia="宋体" w:cs="宋体"/>
      <w:kern w:val="0"/>
      <w:sz w:val="20"/>
      <w:szCs w:val="20"/>
    </w:rPr>
  </w:style>
  <w:style w:type="character" w:customStyle="1" w:styleId="73">
    <w:name w:val="电子邮件签名 Char"/>
    <w:basedOn w:val="10"/>
    <w:rPr>
      <w:rFonts w:ascii="Calibri" w:eastAsia="仿宋_GB2312" w:cs="Times New Roman" w:hAnsi="Calibri"/>
      <w:sz w:val="30"/>
    </w:rPr>
  </w:style>
  <w:style w:type="character" w:customStyle="1" w:styleId="74">
    <w:name w:val="批注文字 Char"/>
    <w:basedOn w:val="10"/>
    <w:rPr>
      <w:rFonts w:ascii="Calibri" w:eastAsia="仿宋_GB2312" w:cs="Times New Roman" w:hAnsi="Calibri"/>
      <w:sz w:val="30"/>
    </w:rPr>
  </w:style>
  <w:style w:type="character" w:customStyle="1" w:styleId="75">
    <w:name w:val="正文文本 Char"/>
    <w:basedOn w:val="10"/>
    <w:rPr>
      <w:rFonts w:ascii="Calibri" w:eastAsia="仿宋_GB2312" w:cs="Times New Roman" w:hAnsi="Calibri"/>
      <w:sz w:val="30"/>
    </w:rPr>
  </w:style>
  <w:style w:type="character" w:customStyle="1" w:styleId="76">
    <w:name w:val="正文文本缩进 Char"/>
    <w:basedOn w:val="10"/>
    <w:rPr>
      <w:rFonts w:ascii="Calibri" w:eastAsia="仿宋_GB2312" w:cs="Times New Roman" w:hAnsi="Calibri"/>
      <w:sz w:val="30"/>
    </w:rPr>
  </w:style>
  <w:style w:type="character" w:customStyle="1" w:styleId="77">
    <w:name w:val="纯文本 Char"/>
    <w:basedOn w:val="10"/>
    <w:rPr>
      <w:rFonts w:ascii="宋体" w:eastAsia="宋体" w:cs="Courier New"/>
      <w:szCs w:val="21"/>
    </w:rPr>
  </w:style>
  <w:style w:type="character" w:customStyle="1" w:styleId="78">
    <w:name w:val="正文文本缩进 2 Char"/>
    <w:basedOn w:val="10"/>
    <w:rPr>
      <w:rFonts w:ascii="Calibri" w:eastAsia="仿宋_GB2312" w:cs="Times New Roman" w:hAnsi="Calibri"/>
      <w:sz w:val="30"/>
    </w:rPr>
  </w:style>
  <w:style w:type="character" w:customStyle="1" w:styleId="79">
    <w:name w:val="副标题 Char"/>
    <w:basedOn w:val="10"/>
    <w:rPr>
      <w:rFonts w:ascii="Calibri Light" w:eastAsia="宋体" w:cs="Times New Roman" w:hAnsi="Calibri Light"/>
      <w:b/>
      <w:bCs/>
      <w:kern w:val="28"/>
      <w:sz w:val="32"/>
      <w:szCs w:val="32"/>
    </w:rPr>
  </w:style>
  <w:style w:type="character" w:customStyle="1" w:styleId="80">
    <w:name w:val="脚注文本 Char"/>
    <w:basedOn w:val="10"/>
    <w:rPr>
      <w:rFonts w:ascii="Calibri" w:eastAsia="仿宋_GB2312" w:cs="Times New Roman" w:hAnsi="Calibri"/>
      <w:sz w:val="18"/>
      <w:szCs w:val="18"/>
    </w:rPr>
  </w:style>
  <w:style w:type="character" w:customStyle="1" w:styleId="81">
    <w:name w:val="正文文本缩进 3 Char"/>
    <w:basedOn w:val="10"/>
    <w:rPr>
      <w:rFonts w:ascii="Calibri" w:eastAsia="仿宋_GB2312" w:cs="Times New Roman" w:hAnsi="Calibri"/>
      <w:sz w:val="16"/>
      <w:szCs w:val="16"/>
    </w:rPr>
  </w:style>
  <w:style w:type="character" w:customStyle="1" w:styleId="82">
    <w:name w:val="HTML 预设格式 Char"/>
    <w:basedOn w:val="10"/>
    <w:rPr>
      <w:rFonts w:ascii="Courier New" w:eastAsia="仿宋_GB2312" w:cs="Courier New" w:hAnsi="Courier New"/>
      <w:sz w:val="20"/>
      <w:szCs w:val="20"/>
    </w:rPr>
  </w:style>
  <w:style w:type="character" w:customStyle="1" w:styleId="83">
    <w:name w:val="标题 Char"/>
    <w:basedOn w:val="10"/>
    <w:rPr>
      <w:rFonts w:ascii="Calibri Light" w:eastAsia="宋体" w:cs="Times New Roman" w:hAnsi="Calibri Light"/>
      <w:b/>
      <w:bCs/>
      <w:sz w:val="32"/>
      <w:szCs w:val="32"/>
    </w:rPr>
  </w:style>
  <w:style w:type="character" w:customStyle="1" w:styleId="84">
    <w:name w:val="批注主题 Char"/>
    <w:basedOn w:val="74"/>
    <w:rPr>
      <w:rFonts w:ascii="Calibri" w:eastAsia="仿宋_GB2312" w:cs="Times New Roman" w:hAnsi="Calibri"/>
      <w:b/>
      <w:bCs/>
      <w:sz w:val="30"/>
    </w:rPr>
  </w:style>
  <w:style w:type="character" w:customStyle="1" w:styleId="85">
    <w:name w:val="标题 1 Char2"/>
    <w:basedOn w:val="10"/>
    <w:rPr>
      <w:rFonts w:ascii="Times New Roman" w:eastAsia="黑体" w:cs="Times New Roman" w:hAnsi="Times New Roman"/>
      <w:b/>
      <w:spacing w:val="-4"/>
      <w:kern w:val="44"/>
      <w:sz w:val="36"/>
      <w:szCs w:val="36"/>
    </w:rPr>
  </w:style>
  <w:style w:type="character" w:customStyle="1" w:styleId="86">
    <w:name w:val="标题 2 Char3"/>
    <w:basedOn w:val="10"/>
    <w:rPr>
      <w:rFonts w:ascii="Times New Roman" w:eastAsia="黑体" w:cs="Times New Roman" w:hAnsi="Times New Roman"/>
      <w:bCs/>
      <w:sz w:val="32"/>
      <w:szCs w:val="32"/>
    </w:rPr>
  </w:style>
  <w:style w:type="character" w:customStyle="1" w:styleId="87">
    <w:name w:val="标题 3 Char2"/>
    <w:basedOn w:val="10"/>
    <w:rPr>
      <w:rFonts w:ascii="Times New Roman" w:eastAsia="黑体" w:cs="Times New Roman" w:hAnsi="Times New Roman"/>
      <w:bCs/>
      <w:sz w:val="30"/>
      <w:szCs w:val="30"/>
    </w:rPr>
  </w:style>
  <w:style w:type="paragraph" w:customStyle="1" w:styleId="88">
    <w:name w:val="图标题1"/>
    <w:basedOn w:val="0"/>
    <w:pPr>
      <w:ind w:firstLineChars="0" w:firstLine="0"/>
      <w:jc w:val="center"/>
    </w:pPr>
    <w:rPr>
      <w:rFonts w:ascii="Times New Roman" w:hAnsi="Times New Roman"/>
      <w:b/>
      <w:sz w:val="24"/>
      <w:szCs w:val="24"/>
    </w:rPr>
  </w:style>
  <w:style w:type="character" w:customStyle="1" w:styleId="89">
    <w:name w:val="标题 4 Char2"/>
    <w:basedOn w:val="10"/>
    <w:rPr>
      <w:rFonts w:ascii="Times New Roman" w:eastAsia="仿宋_GB2312" w:cs="Times New Roman" w:hAnsi="Times New Roman"/>
      <w:b/>
      <w:bCs/>
      <w:sz w:val="28"/>
      <w:szCs w:val="28"/>
    </w:rPr>
  </w:style>
  <w:style w:type="character" w:customStyle="1" w:styleId="90">
    <w:name w:val="标题 6 字符"/>
    <w:basedOn w:val="10"/>
    <w:rPr>
      <w:rFonts w:ascii="Calibri Light" w:eastAsia="宋体" w:cs="Times New Roman" w:hAnsi="Calibri Light"/>
      <w:b/>
      <w:bCs/>
      <w:sz w:val="24"/>
      <w:szCs w:val="24"/>
    </w:rPr>
  </w:style>
  <w:style w:type="character" w:customStyle="1" w:styleId="91">
    <w:name w:val="标题 7 字符"/>
    <w:basedOn w:val="10"/>
    <w:rPr>
      <w:rFonts w:ascii="Times New Roman" w:eastAsia="仿宋_GB2312" w:cs="Times New Roman" w:hAnsi="Times New Roman"/>
      <w:b/>
      <w:bCs/>
      <w:sz w:val="24"/>
      <w:szCs w:val="24"/>
    </w:rPr>
  </w:style>
  <w:style w:type="character" w:customStyle="1" w:styleId="92">
    <w:name w:val="标题 8 字符"/>
    <w:basedOn w:val="10"/>
    <w:rPr>
      <w:rFonts w:ascii="Calibri Light" w:eastAsia="宋体" w:cs="Times New Roman" w:hAnsi="Calibri Light"/>
      <w:sz w:val="24"/>
      <w:szCs w:val="24"/>
    </w:rPr>
  </w:style>
  <w:style w:type="character" w:customStyle="1" w:styleId="93">
    <w:name w:val="标题 9 字符"/>
    <w:basedOn w:val="10"/>
    <w:rPr>
      <w:rFonts w:ascii="Calibri Light" w:eastAsia="宋体" w:cs="Times New Roman" w:hAnsi="Calibri Light"/>
      <w:szCs w:val="21"/>
    </w:rPr>
  </w:style>
  <w:style w:type="character" w:customStyle="1" w:styleId="94">
    <w:name w:val="页眉 字符"/>
    <w:basedOn w:val="10"/>
    <w:rPr>
      <w:rFonts w:ascii="Times New Roman" w:eastAsia="仿宋_GB2312" w:cs="Times New Roman" w:hAnsi="Times New Roman"/>
      <w:sz w:val="18"/>
      <w:szCs w:val="18"/>
    </w:rPr>
  </w:style>
  <w:style w:type="character" w:customStyle="1" w:styleId="95">
    <w:name w:val="页眉 Char3"/>
    <w:rPr>
      <w:rFonts w:ascii="等线" w:eastAsia="等线" w:cs="Times New Roman"/>
      <w:sz w:val="18"/>
      <w:szCs w:val="18"/>
    </w:rPr>
  </w:style>
  <w:style w:type="character" w:customStyle="1" w:styleId="96">
    <w:name w:val="页脚 字符"/>
    <w:basedOn w:val="10"/>
    <w:rPr>
      <w:rFonts w:ascii="Times New Roman" w:eastAsia="仿宋_GB2312" w:cs="Times New Roman" w:hAnsi="Times New Roman"/>
      <w:sz w:val="18"/>
      <w:szCs w:val="18"/>
    </w:rPr>
  </w:style>
  <w:style w:type="character" w:customStyle="1" w:styleId="97">
    <w:name w:val="页脚 Char3"/>
    <w:rPr>
      <w:rFonts w:ascii="等线" w:eastAsia="等线" w:cs="Times New Roman"/>
      <w:sz w:val="18"/>
      <w:szCs w:val="18"/>
    </w:rPr>
  </w:style>
  <w:style w:type="character" w:customStyle="1" w:styleId="98">
    <w:name w:val="批注框文本 字符"/>
    <w:basedOn w:val="10"/>
    <w:rPr>
      <w:rFonts w:ascii="Times New Roman" w:eastAsia="仿宋_GB2312" w:cs="Times New Roman" w:hAnsi="Times New Roman"/>
      <w:sz w:val="18"/>
      <w:szCs w:val="18"/>
    </w:rPr>
  </w:style>
  <w:style w:type="character" w:customStyle="1" w:styleId="99">
    <w:name w:val="批注框文本 Char3"/>
    <w:rPr>
      <w:rFonts w:ascii="等线" w:eastAsia="等线" w:cs="Times New Roman"/>
      <w:sz w:val="18"/>
      <w:szCs w:val="18"/>
    </w:rPr>
  </w:style>
  <w:style w:type="character" w:customStyle="1" w:styleId="100">
    <w:name w:val="批注文字 字符"/>
    <w:basedOn w:val="10"/>
    <w:rPr>
      <w:rFonts w:ascii="Times New Roman" w:eastAsia="仿宋_GB2312" w:cs="Times New Roman" w:hAnsi="Times New Roman"/>
      <w:sz w:val="28"/>
      <w:szCs w:val="28"/>
    </w:rPr>
  </w:style>
  <w:style w:type="paragraph" w:customStyle="1" w:styleId="101">
    <w:name w:val="List Paragraph"/>
    <w:basedOn w:val="0"/>
    <w:pPr>
      <w:adjustRightInd/>
      <w:snapToGrid/>
      <w:spacing w:line="240" w:lineRule="auto"/>
    </w:pPr>
    <w:rPr>
      <w:rFonts w:ascii="等线" w:eastAsia="等线"/>
      <w:sz w:val="21"/>
    </w:rPr>
  </w:style>
  <w:style w:type="character" w:customStyle="1" w:styleId="102">
    <w:name w:val="文档结构图 字符"/>
    <w:basedOn w:val="10"/>
    <w:rPr>
      <w:rFonts w:ascii="Microsoft YaHei UI" w:eastAsia="Microsoft YaHei UI" w:cs="Times New Roman" w:hAnsi="Microsoft YaHei UI"/>
      <w:sz w:val="18"/>
      <w:szCs w:val="18"/>
    </w:rPr>
  </w:style>
  <w:style w:type="character" w:customStyle="1" w:styleId="103">
    <w:name w:val="文档结构图 Char3"/>
    <w:rPr>
      <w:rFonts w:ascii="宋体" w:eastAsia="宋体" w:cs="Times New Roman"/>
      <w:sz w:val="18"/>
      <w:szCs w:val="18"/>
    </w:rPr>
  </w:style>
  <w:style w:type="character" w:customStyle="1" w:styleId="104">
    <w:name w:val="标题 1 字符1"/>
    <w:rPr>
      <w:rFonts w:ascii="Times New Roman" w:eastAsia="黑体" w:cs="Times New Roman" w:hAnsi="Times New Roman"/>
      <w:b/>
      <w:spacing w:val="-4"/>
      <w:kern w:val="44"/>
      <w:sz w:val="36"/>
      <w:szCs w:val="36"/>
    </w:rPr>
  </w:style>
  <w:style w:type="character" w:customStyle="1" w:styleId="105">
    <w:name w:val="标题 2 字符3"/>
    <w:rPr>
      <w:rFonts w:ascii="Times New Roman" w:eastAsia="黑体" w:cs="Times New Roman" w:hAnsi="Times New Roman"/>
      <w:bCs/>
      <w:sz w:val="32"/>
      <w:szCs w:val="32"/>
    </w:rPr>
  </w:style>
  <w:style w:type="character" w:customStyle="1" w:styleId="106">
    <w:name w:val="标题 3 字符1"/>
    <w:rPr>
      <w:rFonts w:ascii="Times New Roman" w:eastAsia="黑体" w:cs="Times New Roman" w:hAnsi="Times New Roman"/>
      <w:bCs/>
      <w:sz w:val="30"/>
      <w:szCs w:val="30"/>
    </w:rPr>
  </w:style>
  <w:style w:type="character" w:customStyle="1" w:styleId="107">
    <w:name w:val="标题 4 字符3"/>
    <w:rPr>
      <w:rFonts w:ascii="Times New Roman" w:eastAsia="仿宋_GB2312" w:hAnsi="Times New Roman"/>
      <w:b/>
      <w:bCs/>
      <w:kern w:val="2"/>
      <w:sz w:val="28"/>
      <w:szCs w:val="28"/>
    </w:rPr>
  </w:style>
  <w:style w:type="character" w:customStyle="1" w:styleId="108">
    <w:name w:val="标题 5 字符2"/>
    <w:rPr>
      <w:rFonts w:ascii="Calibri" w:eastAsia="仿宋" w:hAnsi="Calibri"/>
      <w:bCs/>
      <w:sz w:val="28"/>
      <w:szCs w:val="28"/>
    </w:rPr>
  </w:style>
  <w:style w:type="paragraph" w:customStyle="1" w:styleId="109">
    <w:name w:val="标准正文"/>
    <w:basedOn w:val="0"/>
    <w:pPr>
      <w:adjustRightInd/>
      <w:snapToGrid w:val="0"/>
      <w:spacing w:beforeLines="50" w:before="50"/>
    </w:pPr>
    <w:rPr>
      <w:rFonts w:ascii="Times New Roman" w:hAnsi="Times New Roman"/>
      <w:sz w:val="28"/>
      <w:szCs w:val="24"/>
    </w:rPr>
  </w:style>
  <w:style w:type="character" w:customStyle="1" w:styleId="110">
    <w:name w:val="脚注文本 字符"/>
    <w:basedOn w:val="10"/>
    <w:rPr>
      <w:rFonts w:ascii="Times New Roman" w:eastAsia="仿宋_GB2312" w:cs="Times New Roman" w:hAnsi="Times New Roman"/>
      <w:sz w:val="18"/>
      <w:szCs w:val="18"/>
    </w:rPr>
  </w:style>
  <w:style w:type="paragraph" w:customStyle="1" w:styleId="111">
    <w:name w:val="一级标题"/>
    <w:basedOn w:val="0"/>
    <w:pPr>
      <w:adjustRightInd/>
      <w:snapToGrid/>
      <w:spacing w:before="60" w:line="460" w:lineRule="exact"/>
      <w:ind w:firstLineChars="0" w:firstLine="0"/>
      <w:outlineLvl w:val="0"/>
    </w:pPr>
    <w:rPr>
      <w:rFonts w:ascii="Calibri" w:eastAsia="宋体" w:cs="Arial" w:hAnsi="Calibri"/>
      <w:b/>
      <w:sz w:val="32"/>
      <w:szCs w:val="24"/>
    </w:rPr>
  </w:style>
  <w:style w:type="paragraph" w:customStyle="1" w:styleId="112">
    <w:name w:val="正文-1"/>
    <w:basedOn w:val="0"/>
    <w:pPr>
      <w:adjustRightInd/>
      <w:snapToGrid/>
      <w:spacing w:before="60" w:line="460" w:lineRule="exact"/>
    </w:pPr>
    <w:rPr>
      <w:rFonts w:ascii="Times New Roman" w:eastAsia="宋体" w:cs="Arial" w:hAnsi="Times New Roman"/>
      <w:sz w:val="24"/>
      <w:szCs w:val="24"/>
    </w:rPr>
  </w:style>
  <w:style w:type="paragraph" w:customStyle="1" w:styleId="113">
    <w:name w:val="TOC 标题1"/>
    <w:basedOn w:val="1"/>
    <w:next w:val="0"/>
    <w:pPr>
      <w:keepNext/>
      <w:keepLines/>
      <w:widowControl/>
      <w:adjustRightInd/>
      <w:snapToGrid/>
      <w:spacing w:before="480" w:line="276" w:lineRule="auto"/>
      <w:jc w:val="left"/>
      <w:outlineLvl w:val="9"/>
    </w:pPr>
    <w:rPr>
      <w:rFonts w:ascii="等线 Light" w:eastAsia="等线 Light" w:cs="Times New Roman"/>
      <w:color w:val="2F5496"/>
      <w:kern w:val="0"/>
      <w:sz w:val="28"/>
      <w:szCs w:val="28"/>
    </w:rPr>
  </w:style>
  <w:style w:type="paragraph" w:customStyle="1" w:styleId="114">
    <w:name w:val="图表内容"/>
    <w:basedOn w:val="0"/>
    <w:pPr>
      <w:widowControl/>
      <w:adjustRightInd/>
      <w:snapToGrid/>
      <w:spacing w:line="300" w:lineRule="exact"/>
      <w:ind w:firstLineChars="0" w:firstLine="0"/>
      <w:jc w:val="center"/>
    </w:pPr>
    <w:rPr>
      <w:rFonts w:ascii="仿宋_GB2312" w:cs="宋体"/>
      <w:kern w:val="0"/>
      <w:sz w:val="21"/>
      <w:szCs w:val="18"/>
    </w:rPr>
  </w:style>
  <w:style w:type="paragraph" w:customStyle="1" w:styleId="115">
    <w:name w:val="正文_1"/>
    <w:basedOn w:val="0"/>
    <w:pPr>
      <w:adjustRightInd/>
      <w:snapToGrid/>
      <w:spacing w:before="60" w:after="60"/>
      <w:jc w:val="left"/>
    </w:pPr>
    <w:rPr>
      <w:rFonts w:ascii="Times New Roman" w:eastAsia="宋体" w:hAnsi="Times New Roman"/>
      <w:sz w:val="24"/>
      <w:szCs w:val="24"/>
    </w:rPr>
  </w:style>
  <w:style w:type="paragraph" w:customStyle="1" w:styleId="116">
    <w:name w:val="生态表格正文"/>
    <w:basedOn w:val="0"/>
    <w:pPr>
      <w:widowControl/>
      <w:adjustRightInd/>
      <w:snapToGrid/>
      <w:spacing w:line="400" w:lineRule="exact"/>
      <w:jc w:val="center"/>
    </w:pPr>
    <w:rPr>
      <w:rFonts w:ascii="Times New Roman" w:hAnsi="Times New Roman"/>
      <w:kern w:val="0"/>
      <w:sz w:val="24"/>
      <w:szCs w:val="21"/>
    </w:rPr>
  </w:style>
  <w:style w:type="paragraph" w:customStyle="1" w:styleId="117">
    <w:name w:val="正文01"/>
    <w:basedOn w:val="0"/>
    <w:pPr>
      <w:spacing w:line="500" w:lineRule="exact"/>
    </w:pPr>
    <w:rPr>
      <w:rFonts w:ascii="Times New Roman" w:hAnsi="Times New Roman"/>
      <w:color w:val="000000"/>
      <w:kern w:val="0"/>
      <w:sz w:val="28"/>
      <w:szCs w:val="24"/>
    </w:rPr>
  </w:style>
  <w:style w:type="paragraph" w:customStyle="1" w:styleId="118">
    <w:name w:val="p0"/>
    <w:basedOn w:val="0"/>
    <w:pPr>
      <w:widowControl/>
      <w:adjustRightInd/>
      <w:snapToGrid/>
      <w:spacing w:line="240" w:lineRule="auto"/>
      <w:ind w:firstLineChars="0" w:firstLine="0"/>
    </w:pPr>
    <w:rPr>
      <w:rFonts w:eastAsia="Arial Unicode MS" w:cs="Arial Unicode MS"/>
      <w:kern w:val="0"/>
      <w:sz w:val="21"/>
      <w:szCs w:val="21"/>
    </w:rPr>
  </w:style>
  <w:style w:type="character" w:customStyle="1" w:styleId="119">
    <w:name w:val="文档结构图 Char1"/>
    <w:rPr>
      <w:rFonts w:ascii="宋体" w:eastAsia="宋体"/>
      <w:sz w:val="18"/>
      <w:szCs w:val="18"/>
    </w:rPr>
  </w:style>
  <w:style w:type="character" w:customStyle="1" w:styleId="120">
    <w:name w:val="批注框文本 Char1"/>
    <w:rPr>
      <w:sz w:val="18"/>
      <w:szCs w:val="18"/>
    </w:rPr>
  </w:style>
  <w:style w:type="character" w:customStyle="1" w:styleId="121">
    <w:name w:val="日期 字符"/>
    <w:basedOn w:val="10"/>
    <w:rPr>
      <w:rFonts w:ascii="Times New Roman" w:eastAsia="仿宋_GB2312" w:cs="Times New Roman" w:hAnsi="Times New Roman"/>
      <w:sz w:val="28"/>
      <w:szCs w:val="28"/>
    </w:rPr>
  </w:style>
  <w:style w:type="character" w:customStyle="1" w:styleId="122">
    <w:name w:val="日期 Char4"/>
    <w:rPr>
      <w:rFonts w:ascii="等线" w:eastAsia="等线" w:cs="Times New Roman"/>
    </w:rPr>
  </w:style>
  <w:style w:type="character" w:customStyle="1" w:styleId="123">
    <w:name w:val="正文文本 字符"/>
    <w:basedOn w:val="10"/>
    <w:rPr>
      <w:rFonts w:ascii="Times New Roman" w:eastAsia="仿宋_GB2312" w:cs="Times New Roman" w:hAnsi="Times New Roman"/>
      <w:sz w:val="28"/>
      <w:szCs w:val="28"/>
    </w:rPr>
  </w:style>
  <w:style w:type="character" w:customStyle="1" w:styleId="124">
    <w:name w:val="页眉 Char1"/>
    <w:rPr>
      <w:rFonts w:eastAsia="仿宋_GB2312"/>
      <w:kern w:val="2"/>
      <w:sz w:val="18"/>
      <w:szCs w:val="18"/>
    </w:rPr>
  </w:style>
  <w:style w:type="character" w:customStyle="1" w:styleId="125">
    <w:name w:val="纯文本 Char1"/>
    <w:rPr>
      <w:rFonts w:ascii="宋体" w:eastAsia="宋体" w:cs="Times New Roman"/>
      <w:sz w:val="28"/>
      <w:szCs w:val="20"/>
    </w:rPr>
  </w:style>
  <w:style w:type="character" w:customStyle="1" w:styleId="126">
    <w:name w:val="正文文本 Char1"/>
    <w:rPr>
      <w:rFonts w:ascii="Calibri" w:eastAsia="宋体" w:cs="Times New Roman" w:hAnsi="Calibri"/>
    </w:rPr>
  </w:style>
  <w:style w:type="character" w:customStyle="1" w:styleId="127">
    <w:name w:val="页脚 Char1"/>
    <w:rPr>
      <w:rFonts w:ascii="Calibri" w:eastAsia="宋体" w:cs="黑体" w:hAnsi="Calibri"/>
      <w:sz w:val="18"/>
      <w:szCs w:val="18"/>
    </w:rPr>
  </w:style>
  <w:style w:type="character" w:customStyle="1" w:styleId="128">
    <w:name w:val="纯文本 字符"/>
    <w:basedOn w:val="10"/>
    <w:rPr>
      <w:rFonts w:ascii="宋体" w:cs="Courier New"/>
      <w:sz w:val="28"/>
      <w:szCs w:val="28"/>
    </w:rPr>
  </w:style>
  <w:style w:type="paragraph" w:customStyle="1" w:styleId="129">
    <w:name w:val="列出段落1"/>
    <w:basedOn w:val="0"/>
    <w:pPr>
      <w:adjustRightInd/>
      <w:snapToGrid/>
      <w:spacing w:line="240" w:lineRule="auto"/>
    </w:pPr>
    <w:rPr>
      <w:rFonts w:eastAsia="宋体"/>
      <w:sz w:val="21"/>
    </w:rPr>
  </w:style>
  <w:style w:type="paragraph" w:customStyle="1" w:styleId="130">
    <w:name w:val="Char"/>
    <w:basedOn w:val="0"/>
    <w:pPr>
      <w:widowControl/>
      <w:adjustRightInd/>
      <w:snapToGrid/>
      <w:spacing w:after="160" w:line="240" w:lineRule="exact"/>
      <w:ind w:firstLineChars="0" w:firstLine="0"/>
      <w:jc w:val="left"/>
    </w:pPr>
    <w:rPr>
      <w:rFonts w:ascii="Arial" w:eastAsia="宋体" w:cs="Verdana" w:hAnsi="Arial"/>
      <w:b/>
      <w:kern w:val="0"/>
      <w:sz w:val="24"/>
      <w:szCs w:val="20"/>
    </w:rPr>
  </w:style>
  <w:style w:type="paragraph" w:customStyle="1" w:styleId="131">
    <w:name w:val="xl229"/>
    <w:basedOn w:val="0"/>
    <w:pPr>
      <w:widowControl/>
      <w:pBdr>
        <w:top w:val="single" w:sz="4" w:space="0" w:color="4F81BD"/>
        <w:left w:val="single" w:sz="4" w:space="0" w:color="4F81BD"/>
        <w:bottom w:val="single" w:sz="4" w:space="0" w:color="4F81BD"/>
        <w:right w:val="single" w:sz="4" w:space="0" w:color="4F81BD"/>
      </w:pBdr>
      <w:adjustRightInd/>
      <w:snapToGrid/>
      <w:spacing w:before="100" w:beforeAutospacing="1" w:after="100" w:afterAutospacing="1" w:line="240" w:lineRule="auto"/>
      <w:ind w:firstLineChars="0" w:firstLine="0"/>
      <w:jc w:val="center"/>
      <w:textAlignment w:val="center"/>
    </w:pPr>
    <w:rPr>
      <w:rFonts w:ascii="宋体" w:eastAsia="宋体" w:cs="宋体"/>
      <w:color w:val="FF0000"/>
      <w:kern w:val="0"/>
      <w:sz w:val="20"/>
      <w:szCs w:val="20"/>
    </w:rPr>
  </w:style>
  <w:style w:type="paragraph" w:customStyle="1" w:styleId="132">
    <w:name w:val="xl225"/>
    <w:basedOn w:val="0"/>
    <w:pPr>
      <w:widowControl/>
      <w:pBdr>
        <w:top w:val="single" w:sz="4" w:space="0" w:color="4F81BD"/>
        <w:left w:val="single" w:sz="4" w:space="0" w:color="4F81BD"/>
        <w:bottom w:val="single" w:sz="4" w:space="0" w:color="4F81BD"/>
        <w:right w:val="single" w:sz="4" w:space="0" w:color="4F81BD"/>
      </w:pBdr>
      <w:adjustRightInd/>
      <w:snapToGrid/>
      <w:spacing w:before="100" w:beforeAutospacing="1" w:after="100" w:afterAutospacing="1" w:line="240" w:lineRule="auto"/>
      <w:ind w:firstLineChars="0" w:firstLine="0"/>
      <w:jc w:val="center"/>
      <w:textAlignment w:val="center"/>
    </w:pPr>
    <w:rPr>
      <w:rFonts w:ascii="Times New Roman" w:eastAsia="宋体" w:hAnsi="Times New Roman"/>
      <w:color w:val="000000"/>
      <w:kern w:val="0"/>
      <w:sz w:val="20"/>
      <w:szCs w:val="20"/>
    </w:rPr>
  </w:style>
  <w:style w:type="paragraph" w:customStyle="1" w:styleId="133">
    <w:name w:val="xl221"/>
    <w:basedOn w:val="0"/>
    <w:pPr>
      <w:widowControl/>
      <w:pBdr>
        <w:top w:val="single" w:sz="4" w:space="0" w:color="4F81BD"/>
        <w:left w:val="single" w:sz="4" w:space="0" w:color="4F81BD"/>
        <w:bottom w:val="single" w:sz="4" w:space="0" w:color="4F81BD"/>
        <w:right w:val="single" w:sz="4" w:space="0" w:color="4F81BD"/>
      </w:pBdr>
      <w:adjustRightInd/>
      <w:snapToGrid/>
      <w:spacing w:before="100" w:beforeAutospacing="1" w:after="100" w:afterAutospacing="1" w:line="240" w:lineRule="auto"/>
      <w:ind w:firstLineChars="0" w:firstLine="0"/>
      <w:jc w:val="center"/>
      <w:textAlignment w:val="center"/>
    </w:pPr>
    <w:rPr>
      <w:rFonts w:ascii="宋体" w:eastAsia="宋体" w:cs="宋体"/>
      <w:color w:val="000000"/>
      <w:kern w:val="0"/>
      <w:sz w:val="20"/>
      <w:szCs w:val="20"/>
    </w:rPr>
  </w:style>
  <w:style w:type="paragraph" w:customStyle="1" w:styleId="134">
    <w:name w:val="xl217"/>
    <w:basedOn w:val="0"/>
    <w:pPr>
      <w:widowControl/>
      <w:adjustRightInd/>
      <w:snapToGrid/>
      <w:spacing w:before="100" w:beforeAutospacing="1" w:after="100" w:afterAutospacing="1" w:line="240" w:lineRule="auto"/>
      <w:ind w:firstLineChars="0" w:firstLine="0"/>
      <w:jc w:val="center"/>
      <w:textAlignment w:val="center"/>
    </w:pPr>
    <w:rPr>
      <w:rFonts w:ascii="宋体" w:eastAsia="宋体" w:cs="宋体"/>
      <w:kern w:val="0"/>
      <w:sz w:val="20"/>
      <w:szCs w:val="20"/>
    </w:rPr>
  </w:style>
  <w:style w:type="paragraph" w:customStyle="1" w:styleId="135">
    <w:name w:val="列出段落2"/>
    <w:basedOn w:val="0"/>
    <w:pPr>
      <w:adjustRightInd/>
      <w:snapToGrid/>
      <w:spacing w:line="240" w:lineRule="auto"/>
    </w:pPr>
    <w:rPr>
      <w:rFonts w:eastAsia="宋体"/>
      <w:sz w:val="21"/>
    </w:rPr>
  </w:style>
  <w:style w:type="paragraph" w:customStyle="1" w:styleId="136">
    <w:name w:val="xl226"/>
    <w:basedOn w:val="0"/>
    <w:pPr>
      <w:widowControl/>
      <w:pBdr>
        <w:top w:val="single" w:sz="4" w:space="0" w:color="4F81BD"/>
        <w:left w:val="single" w:sz="4" w:space="0" w:color="4F81BD"/>
        <w:bottom w:val="single" w:sz="4" w:space="0" w:color="4F81BD"/>
        <w:right w:val="single" w:sz="4" w:space="0" w:color="4F81BD"/>
      </w:pBdr>
      <w:adjustRightInd/>
      <w:snapToGrid/>
      <w:spacing w:before="100" w:beforeAutospacing="1" w:after="100" w:afterAutospacing="1" w:line="240" w:lineRule="auto"/>
      <w:ind w:firstLineChars="0" w:firstLine="0"/>
      <w:jc w:val="left"/>
      <w:textAlignment w:val="center"/>
    </w:pPr>
    <w:rPr>
      <w:rFonts w:ascii="宋体" w:eastAsia="宋体" w:cs="宋体"/>
      <w:color w:val="FF0000"/>
      <w:kern w:val="0"/>
      <w:sz w:val="20"/>
      <w:szCs w:val="20"/>
    </w:rPr>
  </w:style>
  <w:style w:type="paragraph" w:customStyle="1" w:styleId="137">
    <w:name w:val="xl222"/>
    <w:basedOn w:val="0"/>
    <w:pPr>
      <w:widowControl/>
      <w:pBdr>
        <w:top w:val="single" w:sz="4" w:space="0" w:color="4F81BD"/>
        <w:left w:val="single" w:sz="4" w:space="0" w:color="4F81BD"/>
        <w:bottom w:val="single" w:sz="4" w:space="0" w:color="4F81BD"/>
        <w:right w:val="single" w:sz="4" w:space="0" w:color="4F81BD"/>
      </w:pBdr>
      <w:adjustRightInd/>
      <w:snapToGrid/>
      <w:spacing w:before="100" w:beforeAutospacing="1" w:after="100" w:afterAutospacing="1" w:line="240" w:lineRule="auto"/>
      <w:ind w:firstLineChars="0" w:firstLine="0"/>
      <w:jc w:val="center"/>
      <w:textAlignment w:val="center"/>
    </w:pPr>
    <w:rPr>
      <w:rFonts w:ascii="宋体" w:eastAsia="宋体" w:cs="宋体"/>
      <w:color w:val="FF0000"/>
      <w:kern w:val="0"/>
      <w:sz w:val="20"/>
      <w:szCs w:val="20"/>
    </w:rPr>
  </w:style>
  <w:style w:type="paragraph" w:customStyle="1" w:styleId="138">
    <w:name w:val="xl218"/>
    <w:basedOn w:val="0"/>
    <w:pPr>
      <w:widowControl/>
      <w:pBdr>
        <w:top w:val="single" w:sz="4" w:space="0" w:color="4F81BD"/>
        <w:left w:val="single" w:sz="4" w:space="0" w:color="4F81BD"/>
        <w:bottom w:val="single" w:sz="4" w:space="0" w:color="4F81BD"/>
        <w:right w:val="single" w:sz="4" w:space="0" w:color="4F81BD"/>
      </w:pBdr>
      <w:adjustRightInd/>
      <w:snapToGrid/>
      <w:spacing w:before="100" w:beforeAutospacing="1" w:after="100" w:afterAutospacing="1" w:line="240" w:lineRule="auto"/>
      <w:ind w:firstLineChars="0" w:firstLine="0"/>
      <w:jc w:val="center"/>
      <w:textAlignment w:val="center"/>
    </w:pPr>
    <w:rPr>
      <w:rFonts w:ascii="宋体" w:eastAsia="宋体" w:cs="宋体"/>
      <w:color w:val="000000"/>
      <w:kern w:val="0"/>
      <w:sz w:val="20"/>
      <w:szCs w:val="20"/>
    </w:rPr>
  </w:style>
  <w:style w:type="paragraph" w:customStyle="1" w:styleId="139">
    <w:name w:val="font5"/>
    <w:basedOn w:val="0"/>
    <w:pPr>
      <w:widowControl/>
      <w:adjustRightInd/>
      <w:snapToGrid/>
      <w:spacing w:before="100" w:beforeAutospacing="1" w:after="100" w:afterAutospacing="1" w:line="240" w:lineRule="auto"/>
      <w:ind w:firstLineChars="0" w:firstLine="0"/>
      <w:jc w:val="left"/>
    </w:pPr>
    <w:rPr>
      <w:rFonts w:ascii="Times New Roman" w:eastAsia="宋体" w:hAnsi="Times New Roman"/>
      <w:kern w:val="0"/>
      <w:sz w:val="20"/>
      <w:szCs w:val="20"/>
    </w:rPr>
  </w:style>
  <w:style w:type="paragraph" w:customStyle="1" w:styleId="140">
    <w:name w:val="列出段落3"/>
    <w:basedOn w:val="0"/>
    <w:pPr>
      <w:adjustRightInd/>
      <w:snapToGrid/>
      <w:spacing w:line="240" w:lineRule="auto"/>
    </w:pPr>
    <w:rPr>
      <w:rFonts w:eastAsia="宋体"/>
      <w:sz w:val="21"/>
    </w:rPr>
  </w:style>
  <w:style w:type="paragraph" w:customStyle="1" w:styleId="141">
    <w:name w:val="xl227"/>
    <w:basedOn w:val="0"/>
    <w:pPr>
      <w:widowControl/>
      <w:pBdr>
        <w:top w:val="single" w:sz="4" w:space="0" w:color="4F81BD"/>
        <w:left w:val="single" w:sz="4" w:space="0" w:color="4F81BD"/>
        <w:bottom w:val="single" w:sz="4" w:space="0" w:color="4F81BD"/>
        <w:right w:val="single" w:sz="4" w:space="0" w:color="4F81BD"/>
      </w:pBdr>
      <w:adjustRightInd/>
      <w:snapToGrid/>
      <w:spacing w:before="100" w:beforeAutospacing="1" w:after="100" w:afterAutospacing="1" w:line="240" w:lineRule="auto"/>
      <w:ind w:firstLineChars="0" w:firstLine="0"/>
      <w:jc w:val="center"/>
      <w:textAlignment w:val="center"/>
    </w:pPr>
    <w:rPr>
      <w:rFonts w:ascii="宋体" w:eastAsia="宋体" w:cs="宋体"/>
      <w:color w:val="000000"/>
      <w:kern w:val="0"/>
      <w:sz w:val="20"/>
      <w:szCs w:val="20"/>
    </w:rPr>
  </w:style>
  <w:style w:type="paragraph" w:customStyle="1" w:styleId="142">
    <w:name w:val="xl223"/>
    <w:basedOn w:val="0"/>
    <w:pPr>
      <w:widowControl/>
      <w:pBdr>
        <w:top w:val="single" w:sz="4" w:space="0" w:color="4F81BD"/>
        <w:left w:val="single" w:sz="4" w:space="0" w:color="4F81BD"/>
        <w:bottom w:val="single" w:sz="4" w:space="0" w:color="4F81BD"/>
        <w:right w:val="single" w:sz="4" w:space="0" w:color="4F81BD"/>
      </w:pBdr>
      <w:adjustRightInd/>
      <w:snapToGrid/>
      <w:spacing w:before="100" w:beforeAutospacing="1" w:after="100" w:afterAutospacing="1" w:line="240" w:lineRule="auto"/>
      <w:ind w:firstLineChars="0" w:firstLine="0"/>
      <w:jc w:val="center"/>
      <w:textAlignment w:val="center"/>
    </w:pPr>
    <w:rPr>
      <w:rFonts w:ascii="宋体" w:eastAsia="宋体" w:cs="宋体"/>
      <w:color w:val="FF0000"/>
      <w:kern w:val="0"/>
      <w:sz w:val="20"/>
      <w:szCs w:val="20"/>
    </w:rPr>
  </w:style>
  <w:style w:type="paragraph" w:customStyle="1" w:styleId="143">
    <w:name w:val="xl219"/>
    <w:basedOn w:val="0"/>
    <w:pPr>
      <w:widowControl/>
      <w:pBdr>
        <w:top w:val="single" w:sz="4" w:space="0" w:color="4F81BD"/>
        <w:left w:val="single" w:sz="4" w:space="0" w:color="4F81BD"/>
        <w:bottom w:val="single" w:sz="4" w:space="0" w:color="4F81BD"/>
        <w:right w:val="single" w:sz="4" w:space="0" w:color="4F81BD"/>
      </w:pBdr>
      <w:adjustRightInd/>
      <w:snapToGrid/>
      <w:spacing w:before="100" w:beforeAutospacing="1" w:after="100" w:afterAutospacing="1" w:line="240" w:lineRule="auto"/>
      <w:ind w:firstLineChars="0" w:firstLine="0"/>
      <w:jc w:val="center"/>
      <w:textAlignment w:val="center"/>
    </w:pPr>
    <w:rPr>
      <w:rFonts w:ascii="宋体" w:eastAsia="宋体" w:cs="宋体"/>
      <w:color w:val="000000"/>
      <w:kern w:val="0"/>
      <w:sz w:val="20"/>
      <w:szCs w:val="20"/>
    </w:rPr>
  </w:style>
  <w:style w:type="paragraph" w:customStyle="1" w:styleId="144">
    <w:name w:val="xl228"/>
    <w:basedOn w:val="0"/>
    <w:pPr>
      <w:widowControl/>
      <w:pBdr>
        <w:top w:val="single" w:sz="4" w:space="0" w:color="4F81BD"/>
        <w:left w:val="single" w:sz="4" w:space="0" w:color="4F81BD"/>
        <w:bottom w:val="single" w:sz="4" w:space="0" w:color="4F81BD"/>
        <w:right w:val="single" w:sz="4" w:space="0" w:color="4F81BD"/>
      </w:pBdr>
      <w:adjustRightInd/>
      <w:snapToGrid/>
      <w:spacing w:before="100" w:beforeAutospacing="1" w:after="100" w:afterAutospacing="1" w:line="240" w:lineRule="auto"/>
      <w:ind w:firstLineChars="0" w:firstLine="0"/>
      <w:jc w:val="center"/>
      <w:textAlignment w:val="center"/>
    </w:pPr>
    <w:rPr>
      <w:rFonts w:ascii="宋体" w:eastAsia="宋体" w:cs="宋体"/>
      <w:color w:val="000000"/>
      <w:kern w:val="0"/>
      <w:sz w:val="20"/>
      <w:szCs w:val="20"/>
    </w:rPr>
  </w:style>
  <w:style w:type="paragraph" w:customStyle="1" w:styleId="145">
    <w:name w:val="xl224"/>
    <w:basedOn w:val="0"/>
    <w:pPr>
      <w:widowControl/>
      <w:pBdr>
        <w:top w:val="single" w:sz="4" w:space="0" w:color="00FF00"/>
        <w:left w:val="single" w:sz="4" w:space="0" w:color="00FF00"/>
        <w:bottom w:val="single" w:sz="4" w:space="0" w:color="00FF00"/>
        <w:right w:val="single" w:sz="4" w:space="0" w:color="00FF00"/>
      </w:pBdr>
      <w:adjustRightInd/>
      <w:snapToGrid/>
      <w:spacing w:before="100" w:beforeAutospacing="1" w:after="100" w:afterAutospacing="1" w:line="240" w:lineRule="auto"/>
      <w:ind w:firstLineChars="0" w:firstLine="0"/>
      <w:jc w:val="center"/>
      <w:textAlignment w:val="center"/>
    </w:pPr>
    <w:rPr>
      <w:rFonts w:ascii="宋体" w:eastAsia="宋体" w:cs="宋体"/>
      <w:color w:val="FF0000"/>
      <w:kern w:val="0"/>
      <w:sz w:val="20"/>
      <w:szCs w:val="20"/>
    </w:rPr>
  </w:style>
  <w:style w:type="paragraph" w:customStyle="1" w:styleId="146">
    <w:name w:val="xl220"/>
    <w:basedOn w:val="0"/>
    <w:pPr>
      <w:widowControl/>
      <w:pBdr>
        <w:top w:val="single" w:sz="4" w:space="0" w:color="4F81BD"/>
        <w:left w:val="single" w:sz="4" w:space="0" w:color="4F81BD"/>
        <w:bottom w:val="single" w:sz="4" w:space="0" w:color="4F81BD"/>
        <w:right w:val="single" w:sz="4" w:space="0" w:color="4F81BD"/>
      </w:pBdr>
      <w:adjustRightInd/>
      <w:snapToGrid/>
      <w:spacing w:before="100" w:beforeAutospacing="1" w:after="100" w:afterAutospacing="1" w:line="240" w:lineRule="auto"/>
      <w:ind w:firstLineChars="0" w:firstLine="0"/>
      <w:jc w:val="center"/>
      <w:textAlignment w:val="center"/>
    </w:pPr>
    <w:rPr>
      <w:rFonts w:ascii="宋体" w:eastAsia="宋体" w:cs="宋体"/>
      <w:color w:val="000000"/>
      <w:kern w:val="0"/>
      <w:sz w:val="20"/>
      <w:szCs w:val="20"/>
    </w:rPr>
  </w:style>
  <w:style w:type="paragraph" w:customStyle="1" w:styleId="147">
    <w:name w:val="xl216"/>
    <w:basedOn w:val="0"/>
    <w:pPr>
      <w:widowControl/>
      <w:adjustRightInd/>
      <w:snapToGrid/>
      <w:spacing w:before="100" w:beforeAutospacing="1" w:after="100" w:afterAutospacing="1" w:line="240" w:lineRule="auto"/>
      <w:ind w:firstLineChars="0" w:firstLine="0"/>
      <w:jc w:val="left"/>
    </w:pPr>
    <w:rPr>
      <w:rFonts w:ascii="宋体" w:eastAsia="宋体" w:cs="宋体"/>
      <w:color w:val="FF0000"/>
      <w:kern w:val="0"/>
      <w:sz w:val="24"/>
      <w:szCs w:val="24"/>
    </w:rPr>
  </w:style>
  <w:style w:type="paragraph" w:customStyle="1" w:styleId="148">
    <w:name w:val="xl230"/>
    <w:basedOn w:val="0"/>
    <w:pPr>
      <w:widowControl/>
      <w:pBdr>
        <w:top w:val="single" w:sz="4" w:space="0" w:color="4F81BD"/>
        <w:left w:val="single" w:sz="4" w:space="0" w:color="4F81BD"/>
        <w:bottom w:val="single" w:sz="4" w:space="0" w:color="4F81BD"/>
        <w:right w:val="single" w:sz="4" w:space="0" w:color="4F81BD"/>
      </w:pBdr>
      <w:adjustRightInd/>
      <w:snapToGrid/>
      <w:spacing w:before="100" w:beforeAutospacing="1" w:after="100" w:afterAutospacing="1" w:line="240" w:lineRule="auto"/>
      <w:ind w:firstLineChars="0" w:firstLine="0"/>
      <w:jc w:val="center"/>
      <w:textAlignment w:val="center"/>
    </w:pPr>
    <w:rPr>
      <w:rFonts w:ascii="宋体" w:eastAsia="宋体" w:cs="宋体"/>
      <w:color w:val="FF0000"/>
      <w:kern w:val="0"/>
      <w:sz w:val="20"/>
      <w:szCs w:val="20"/>
    </w:rPr>
  </w:style>
  <w:style w:type="paragraph" w:customStyle="1" w:styleId="149">
    <w:name w:val="二级标题"/>
    <w:basedOn w:val="0"/>
    <w:pPr>
      <w:adjustRightInd/>
      <w:snapToGrid/>
      <w:spacing w:line="560" w:lineRule="exact"/>
      <w:outlineLvl w:val="1"/>
    </w:pPr>
    <w:rPr>
      <w:rFonts w:ascii="Times New Roman" w:eastAsia="方正黑体简体" w:hAnsi="Times New Roman"/>
      <w:bCs/>
      <w:sz w:val="32"/>
      <w:szCs w:val="32"/>
    </w:rPr>
  </w:style>
  <w:style w:type="paragraph" w:customStyle="1" w:styleId="150">
    <w:name w:val="三级标题"/>
    <w:basedOn w:val="0"/>
    <w:pPr>
      <w:adjustRightInd/>
      <w:snapToGrid/>
      <w:spacing w:line="560" w:lineRule="exact"/>
      <w:outlineLvl w:val="2"/>
    </w:pPr>
    <w:rPr>
      <w:rFonts w:ascii="Times New Roman" w:eastAsia="楷体_GB2312" w:hAnsi="Times New Roman"/>
      <w:sz w:val="32"/>
      <w:szCs w:val="32"/>
    </w:rPr>
  </w:style>
  <w:style w:type="paragraph" w:customStyle="1" w:styleId="151">
    <w:name w:val="四级标题"/>
    <w:basedOn w:val="117"/>
    <w:pPr>
      <w:adjustRightInd/>
      <w:snapToGrid/>
      <w:spacing w:line="560" w:lineRule="exact"/>
    </w:pPr>
    <w:rPr>
      <w:rFonts w:eastAsia="方正黑体简体"/>
      <w:kern w:val="2"/>
      <w:sz w:val="32"/>
      <w:szCs w:val="32"/>
    </w:rPr>
  </w:style>
  <w:style w:type="paragraph" w:customStyle="1" w:styleId="152">
    <w:name w:val="Char1"/>
    <w:basedOn w:val="0"/>
    <w:pPr>
      <w:adjustRightInd/>
      <w:snapToGrid w:val="0"/>
    </w:pPr>
    <w:rPr>
      <w:rFonts w:ascii="Times New Roman" w:hAnsi="Times New Roman"/>
      <w:sz w:val="24"/>
      <w:szCs w:val="24"/>
    </w:rPr>
  </w:style>
  <w:style w:type="paragraph" w:customStyle="1" w:styleId="153">
    <w:name w:val="Char Char Char Char1"/>
    <w:basedOn w:val="0"/>
    <w:pPr>
      <w:adjustRightInd/>
      <w:snapToGrid/>
      <w:spacing w:line="240" w:lineRule="auto"/>
      <w:ind w:firstLineChars="0" w:firstLine="0"/>
    </w:pPr>
    <w:rPr>
      <w:rFonts w:ascii="Times New Roman" w:eastAsia="宋体" w:hAnsi="Times New Roman"/>
      <w:sz w:val="21"/>
      <w:szCs w:val="24"/>
    </w:rPr>
  </w:style>
  <w:style w:type="paragraph" w:customStyle="1" w:styleId="154">
    <w:name w:val="Char Char Char Char"/>
    <w:basedOn w:val="0"/>
    <w:pPr>
      <w:adjustRightInd/>
      <w:snapToGrid/>
      <w:spacing w:line="240" w:lineRule="auto"/>
      <w:ind w:firstLineChars="0" w:firstLine="0"/>
    </w:pPr>
    <w:rPr>
      <w:rFonts w:ascii="仿宋_GB2312"/>
      <w:b/>
      <w:sz w:val="32"/>
      <w:szCs w:val="32"/>
    </w:rPr>
  </w:style>
  <w:style w:type="paragraph" w:customStyle="1" w:styleId="155">
    <w:name w:val="Char Char Char Char Char Char Char Char Char Char Char Char Char"/>
    <w:basedOn w:val="0"/>
    <w:pPr>
      <w:widowControl/>
      <w:adjustRightInd/>
      <w:snapToGrid/>
      <w:spacing w:after="160" w:line="240" w:lineRule="exact"/>
      <w:ind w:firstLineChars="0" w:firstLine="0"/>
      <w:jc w:val="left"/>
    </w:pPr>
    <w:rPr>
      <w:rFonts w:ascii="Times New Roman" w:eastAsia="宋体" w:hAnsi="Times New Roman"/>
      <w:sz w:val="21"/>
      <w:szCs w:val="24"/>
    </w:rPr>
  </w:style>
  <w:style w:type="character" w:customStyle="1" w:styleId="156">
    <w:name w:val="ared"/>
  </w:style>
  <w:style w:type="character" w:customStyle="1" w:styleId="157">
    <w:name w:val="apple-converted-space"/>
  </w:style>
  <w:style w:type="paragraph" w:customStyle="1" w:styleId="158">
    <w:name w:val="正文缩进1"/>
    <w:basedOn w:val="21"/>
    <w:pPr>
      <w:adjustRightInd w:val="0"/>
      <w:snapToGrid w:val="0"/>
      <w:spacing w:line="360" w:lineRule="auto"/>
      <w:ind w:left="960" w:firstLineChars="0" w:hanging="478"/>
    </w:pPr>
    <w:rPr>
      <w:rFonts w:ascii="仿宋_GB2312" w:eastAsia="仿宋_GB2312"/>
      <w:color w:val="000000"/>
      <w:spacing w:val="6"/>
      <w:kern w:val="0"/>
      <w:sz w:val="24"/>
    </w:rPr>
  </w:style>
  <w:style w:type="character" w:customStyle="1" w:styleId="159">
    <w:name w:val="标题 2 Char1"/>
    <w:rPr>
      <w:rFonts w:ascii="楷体_GB2312" w:eastAsia="楷体_GB2312" w:cs="Times New Roman"/>
      <w:b/>
      <w:sz w:val="32"/>
      <w:szCs w:val="20"/>
    </w:rPr>
  </w:style>
  <w:style w:type="character" w:customStyle="1" w:styleId="160">
    <w:name w:val="无间隔 Char2"/>
    <w:rPr>
      <w:rFonts w:ascii="Calibri" w:eastAsia="宋体" w:cs="Times New Roman" w:hAnsi="Calibri"/>
      <w:kern w:val="0"/>
      <w:sz w:val="22"/>
    </w:rPr>
  </w:style>
  <w:style w:type="character" w:customStyle="1" w:styleId="161">
    <w:name w:val="font01"/>
    <w:rPr>
      <w:rFonts w:ascii="宋体" w:eastAsia="宋体" w:cs="宋体"/>
      <w:color w:val="000000"/>
      <w:sz w:val="22"/>
      <w:szCs w:val="22"/>
      <w:u w:val="none"/>
    </w:rPr>
  </w:style>
  <w:style w:type="paragraph" w:customStyle="1" w:styleId="162">
    <w:name w:val="xl63"/>
    <w:basedOn w:val="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宋体" w:eastAsia="宋体" w:cs="宋体"/>
      <w:color w:val="000000"/>
      <w:kern w:val="0"/>
      <w:sz w:val="24"/>
      <w:szCs w:val="24"/>
    </w:rPr>
  </w:style>
  <w:style w:type="paragraph" w:customStyle="1" w:styleId="163">
    <w:name w:val="xl64"/>
    <w:basedOn w:val="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宋体" w:eastAsia="宋体" w:cs="宋体"/>
      <w:color w:val="000000"/>
      <w:kern w:val="0"/>
      <w:sz w:val="24"/>
      <w:szCs w:val="24"/>
    </w:rPr>
  </w:style>
  <w:style w:type="paragraph" w:customStyle="1" w:styleId="164">
    <w:name w:val="Char Char Char Char Char Char Char Char Char Char Char Char1 Char Char Char Char"/>
    <w:basedOn w:val="0"/>
    <w:pPr>
      <w:adjustRightInd/>
      <w:snapToGrid/>
      <w:spacing w:line="240" w:lineRule="auto"/>
      <w:ind w:firstLineChars="0" w:firstLine="0"/>
    </w:pPr>
    <w:rPr>
      <w:rFonts w:ascii="Times New Roman" w:eastAsia="宋体" w:hAnsi="Times New Roman"/>
      <w:sz w:val="21"/>
      <w:szCs w:val="20"/>
    </w:rPr>
  </w:style>
  <w:style w:type="paragraph" w:customStyle="1" w:styleId="165">
    <w:name w:val="p17"/>
    <w:basedOn w:val="0"/>
    <w:pPr>
      <w:widowControl/>
      <w:adjustRightInd/>
      <w:snapToGrid/>
      <w:spacing w:line="620" w:lineRule="atLeast"/>
      <w:ind w:firstLineChars="0" w:firstLine="420"/>
    </w:pPr>
    <w:rPr>
      <w:rFonts w:ascii="仿宋_GB2312" w:cs="宋体"/>
      <w:kern w:val="0"/>
      <w:sz w:val="32"/>
      <w:szCs w:val="32"/>
    </w:rPr>
  </w:style>
  <w:style w:type="character" w:customStyle="1" w:styleId="166">
    <w:name w:val="Char Char12"/>
    <w:rPr>
      <w:rFonts w:ascii="楷体_GB2312" w:eastAsia="楷体_GB2312"/>
      <w:b/>
      <w:kern w:val="2"/>
      <w:sz w:val="32"/>
      <w:lang w:bidi="ar-SA"/>
    </w:rPr>
  </w:style>
  <w:style w:type="paragraph" w:customStyle="1" w:styleId="167">
    <w:name w:val="xl65"/>
    <w:basedOn w:val="0"/>
    <w:pPr>
      <w:widowControl/>
      <w:pBdr>
        <w:top w:val="single" w:sz="8" w:space="0" w:color="auto"/>
        <w:left w:val="single" w:sz="8" w:space="0" w:color="auto"/>
        <w:bottom w:val="single" w:sz="8" w:space="0" w:color="auto"/>
        <w:right w:val="single" w:sz="8" w:space="0" w:color="auto"/>
      </w:pBdr>
      <w:adjustRightInd/>
      <w:snapToGrid/>
      <w:spacing w:before="100" w:beforeAutospacing="1" w:after="100" w:afterAutospacing="1" w:line="240" w:lineRule="auto"/>
      <w:ind w:firstLineChars="0" w:firstLine="0"/>
      <w:jc w:val="center"/>
    </w:pPr>
    <w:rPr>
      <w:rFonts w:ascii="宋体" w:eastAsia="宋体" w:cs="宋体"/>
      <w:color w:val="000000"/>
      <w:kern w:val="0"/>
      <w:sz w:val="20"/>
      <w:szCs w:val="20"/>
    </w:rPr>
  </w:style>
  <w:style w:type="paragraph" w:customStyle="1" w:styleId="168">
    <w:name w:val="xl66"/>
    <w:basedOn w:val="0"/>
    <w:pPr>
      <w:widowControl/>
      <w:pBdr>
        <w:top w:val="single" w:sz="8" w:space="0" w:color="auto"/>
        <w:bottom w:val="single" w:sz="8" w:space="0" w:color="auto"/>
        <w:right w:val="single" w:sz="8" w:space="0" w:color="auto"/>
      </w:pBdr>
      <w:adjustRightInd/>
      <w:snapToGrid/>
      <w:spacing w:before="100" w:beforeAutospacing="1" w:after="100" w:afterAutospacing="1" w:line="240" w:lineRule="auto"/>
      <w:ind w:firstLineChars="0" w:firstLine="0"/>
      <w:jc w:val="center"/>
    </w:pPr>
    <w:rPr>
      <w:rFonts w:ascii="宋体" w:eastAsia="宋体" w:cs="宋体"/>
      <w:color w:val="000000"/>
      <w:kern w:val="0"/>
      <w:sz w:val="20"/>
      <w:szCs w:val="20"/>
    </w:rPr>
  </w:style>
  <w:style w:type="paragraph" w:customStyle="1" w:styleId="169">
    <w:name w:val="xl67"/>
    <w:basedOn w:val="0"/>
    <w:pPr>
      <w:widowControl/>
      <w:pBdr>
        <w:bottom w:val="single" w:sz="8" w:space="0" w:color="auto"/>
        <w:right w:val="single" w:sz="8" w:space="0" w:color="auto"/>
      </w:pBdr>
      <w:adjustRightInd/>
      <w:snapToGrid/>
      <w:spacing w:before="100" w:beforeAutospacing="1" w:after="100" w:afterAutospacing="1" w:line="240" w:lineRule="auto"/>
      <w:ind w:firstLineChars="0" w:firstLine="0"/>
      <w:jc w:val="center"/>
    </w:pPr>
    <w:rPr>
      <w:rFonts w:ascii="宋体" w:eastAsia="宋体" w:cs="宋体"/>
      <w:color w:val="000000"/>
      <w:kern w:val="0"/>
      <w:sz w:val="20"/>
      <w:szCs w:val="20"/>
    </w:rPr>
  </w:style>
  <w:style w:type="paragraph" w:customStyle="1" w:styleId="170">
    <w:name w:val="xl68"/>
    <w:basedOn w:val="0"/>
    <w:pPr>
      <w:widowControl/>
      <w:pBdr>
        <w:left w:val="single" w:sz="8" w:space="0" w:color="auto"/>
        <w:bottom w:val="single" w:sz="8" w:space="0" w:color="auto"/>
        <w:right w:val="single" w:sz="8" w:space="0" w:color="auto"/>
      </w:pBdr>
      <w:adjustRightInd/>
      <w:snapToGrid/>
      <w:spacing w:before="100" w:beforeAutospacing="1" w:after="100" w:afterAutospacing="1" w:line="240" w:lineRule="auto"/>
      <w:ind w:firstLineChars="0" w:firstLine="0"/>
      <w:jc w:val="center"/>
    </w:pPr>
    <w:rPr>
      <w:rFonts w:ascii="宋体" w:eastAsia="宋体" w:cs="宋体"/>
      <w:color w:val="000000"/>
      <w:kern w:val="0"/>
      <w:sz w:val="20"/>
      <w:szCs w:val="20"/>
    </w:rPr>
  </w:style>
  <w:style w:type="paragraph" w:customStyle="1" w:styleId="171">
    <w:name w:val="xl69"/>
    <w:basedOn w:val="0"/>
    <w:pPr>
      <w:widowControl/>
      <w:pBdr>
        <w:top w:val="single" w:sz="8" w:space="0" w:color="auto"/>
        <w:left w:val="single" w:sz="8" w:space="0" w:color="auto"/>
        <w:right w:val="single" w:sz="8" w:space="0" w:color="auto"/>
      </w:pBdr>
      <w:adjustRightInd/>
      <w:snapToGrid/>
      <w:spacing w:before="100" w:beforeAutospacing="1" w:after="100" w:afterAutospacing="1" w:line="240" w:lineRule="auto"/>
      <w:ind w:firstLineChars="0" w:firstLine="0"/>
      <w:jc w:val="center"/>
    </w:pPr>
    <w:rPr>
      <w:rFonts w:ascii="宋体" w:eastAsia="宋体" w:cs="宋体"/>
      <w:color w:val="000000"/>
      <w:kern w:val="0"/>
      <w:sz w:val="20"/>
      <w:szCs w:val="20"/>
    </w:rPr>
  </w:style>
  <w:style w:type="paragraph" w:customStyle="1" w:styleId="172">
    <w:name w:val="font7"/>
    <w:basedOn w:val="0"/>
    <w:pPr>
      <w:widowControl/>
      <w:adjustRightInd/>
      <w:snapToGrid/>
      <w:spacing w:before="100" w:beforeAutospacing="1" w:after="100" w:afterAutospacing="1" w:line="240" w:lineRule="auto"/>
      <w:ind w:firstLineChars="0" w:firstLine="0"/>
      <w:jc w:val="left"/>
    </w:pPr>
    <w:rPr>
      <w:rFonts w:ascii="宋体" w:eastAsia="宋体" w:cs="宋体"/>
      <w:kern w:val="0"/>
      <w:sz w:val="20"/>
      <w:szCs w:val="20"/>
    </w:rPr>
  </w:style>
  <w:style w:type="paragraph" w:customStyle="1" w:styleId="173">
    <w:name w:val="xl71"/>
    <w:basedOn w:val="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cs="宋体"/>
      <w:color w:val="FF0000"/>
      <w:kern w:val="0"/>
      <w:sz w:val="20"/>
      <w:szCs w:val="20"/>
    </w:rPr>
  </w:style>
  <w:style w:type="paragraph" w:customStyle="1" w:styleId="174">
    <w:name w:val="xl72"/>
    <w:basedOn w:val="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黑体" w:eastAsia="黑体" w:cs="宋体"/>
      <w:kern w:val="0"/>
      <w:sz w:val="20"/>
      <w:szCs w:val="20"/>
    </w:rPr>
  </w:style>
  <w:style w:type="paragraph" w:customStyle="1" w:styleId="175">
    <w:name w:val="xl73"/>
    <w:basedOn w:val="0"/>
    <w:pPr>
      <w:widowControl/>
      <w:pBdr>
        <w:top w:val="single" w:sz="4" w:space="0" w:color="auto"/>
        <w:left w:val="single" w:sz="4" w:space="0" w:color="auto"/>
        <w:bottom w:val="single" w:sz="4" w:space="0" w:color="auto"/>
      </w:pBdr>
      <w:adjustRightInd/>
      <w:snapToGrid/>
      <w:spacing w:before="100" w:beforeAutospacing="1" w:after="100" w:afterAutospacing="1" w:line="240" w:lineRule="auto"/>
      <w:ind w:firstLineChars="0" w:firstLine="0"/>
      <w:jc w:val="center"/>
    </w:pPr>
    <w:rPr>
      <w:rFonts w:ascii="黑体" w:eastAsia="黑体" w:cs="宋体"/>
      <w:kern w:val="0"/>
      <w:sz w:val="20"/>
      <w:szCs w:val="20"/>
    </w:rPr>
  </w:style>
  <w:style w:type="paragraph" w:customStyle="1" w:styleId="176">
    <w:name w:val="xl74"/>
    <w:basedOn w:val="0"/>
    <w:pPr>
      <w:widowControl/>
      <w:pBdr>
        <w:top w:val="single" w:sz="4" w:space="0" w:color="auto"/>
        <w:bottom w:val="single" w:sz="4" w:space="0" w:color="auto"/>
      </w:pBdr>
      <w:adjustRightInd/>
      <w:snapToGrid/>
      <w:spacing w:before="100" w:beforeAutospacing="1" w:after="100" w:afterAutospacing="1" w:line="240" w:lineRule="auto"/>
      <w:ind w:firstLineChars="0" w:firstLine="0"/>
      <w:jc w:val="center"/>
    </w:pPr>
    <w:rPr>
      <w:rFonts w:ascii="黑体" w:eastAsia="黑体" w:cs="宋体"/>
      <w:kern w:val="0"/>
      <w:sz w:val="20"/>
      <w:szCs w:val="20"/>
    </w:rPr>
  </w:style>
  <w:style w:type="paragraph" w:customStyle="1" w:styleId="177">
    <w:name w:val="xl75"/>
    <w:basedOn w:val="0"/>
    <w:pPr>
      <w:widowControl/>
      <w:pBdr>
        <w:top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黑体" w:eastAsia="黑体" w:cs="宋体"/>
      <w:kern w:val="0"/>
      <w:sz w:val="20"/>
      <w:szCs w:val="20"/>
    </w:rPr>
  </w:style>
  <w:style w:type="character" w:customStyle="1" w:styleId="178">
    <w:name w:val="标题 字符"/>
    <w:basedOn w:val="10"/>
    <w:rPr>
      <w:rFonts w:ascii="Calibri Light" w:eastAsia="宋体" w:cs="Times New Roman" w:hAnsi="Calibri Light"/>
      <w:b/>
      <w:bCs/>
      <w:sz w:val="32"/>
      <w:szCs w:val="32"/>
    </w:rPr>
  </w:style>
  <w:style w:type="paragraph" w:customStyle="1" w:styleId="179">
    <w:name w:val="font8"/>
    <w:basedOn w:val="0"/>
    <w:pPr>
      <w:widowControl/>
      <w:adjustRightInd/>
      <w:snapToGrid/>
      <w:spacing w:before="100" w:beforeAutospacing="1" w:after="100" w:afterAutospacing="1" w:line="240" w:lineRule="auto"/>
      <w:ind w:firstLineChars="0" w:firstLine="0"/>
      <w:jc w:val="left"/>
    </w:pPr>
    <w:rPr>
      <w:rFonts w:ascii="宋体" w:eastAsia="宋体" w:cs="宋体"/>
      <w:kern w:val="0"/>
      <w:sz w:val="18"/>
      <w:szCs w:val="18"/>
    </w:rPr>
  </w:style>
  <w:style w:type="paragraph" w:customStyle="1" w:styleId="180">
    <w:name w:val="xl76"/>
    <w:basedOn w:val="0"/>
    <w:pPr>
      <w:widowControl/>
      <w:pBdr>
        <w:left w:val="single" w:sz="8" w:space="0" w:color="auto"/>
        <w:bottom w:val="single" w:sz="8" w:space="0" w:color="auto"/>
        <w:right w:val="single" w:sz="8" w:space="0" w:color="auto"/>
      </w:pBdr>
      <w:adjustRightInd/>
      <w:snapToGrid/>
      <w:spacing w:before="100" w:beforeAutospacing="1" w:after="100" w:afterAutospacing="1" w:line="240" w:lineRule="auto"/>
      <w:ind w:firstLineChars="0" w:firstLine="0"/>
      <w:jc w:val="center"/>
    </w:pPr>
    <w:rPr>
      <w:rFonts w:ascii="黑体" w:eastAsia="黑体" w:cs="宋体"/>
      <w:kern w:val="0"/>
      <w:sz w:val="20"/>
      <w:szCs w:val="20"/>
    </w:rPr>
  </w:style>
  <w:style w:type="paragraph" w:customStyle="1" w:styleId="181">
    <w:name w:val="xl77"/>
    <w:basedOn w:val="0"/>
    <w:pPr>
      <w:widowControl/>
      <w:pBdr>
        <w:top w:val="single" w:sz="8" w:space="0" w:color="auto"/>
        <w:left w:val="single" w:sz="8" w:space="0" w:color="auto"/>
        <w:bottom w:val="single" w:sz="8" w:space="0" w:color="auto"/>
      </w:pBdr>
      <w:adjustRightInd/>
      <w:snapToGrid/>
      <w:spacing w:before="100" w:beforeAutospacing="1" w:after="100" w:afterAutospacing="1" w:line="240" w:lineRule="auto"/>
      <w:ind w:firstLineChars="0" w:firstLine="0"/>
      <w:jc w:val="center"/>
    </w:pPr>
    <w:rPr>
      <w:rFonts w:ascii="黑体" w:eastAsia="黑体" w:cs="宋体"/>
      <w:kern w:val="0"/>
      <w:sz w:val="20"/>
      <w:szCs w:val="20"/>
    </w:rPr>
  </w:style>
  <w:style w:type="paragraph" w:customStyle="1" w:styleId="182">
    <w:name w:val="xl78"/>
    <w:basedOn w:val="0"/>
    <w:pPr>
      <w:widowControl/>
      <w:pBdr>
        <w:top w:val="single" w:sz="8" w:space="0" w:color="auto"/>
        <w:bottom w:val="single" w:sz="8" w:space="0" w:color="auto"/>
        <w:right w:val="single" w:sz="8" w:space="0" w:color="auto"/>
      </w:pBdr>
      <w:adjustRightInd/>
      <w:snapToGrid/>
      <w:spacing w:before="100" w:beforeAutospacing="1" w:after="100" w:afterAutospacing="1" w:line="240" w:lineRule="auto"/>
      <w:ind w:firstLineChars="0" w:firstLine="0"/>
      <w:jc w:val="center"/>
    </w:pPr>
    <w:rPr>
      <w:rFonts w:ascii="黑体" w:eastAsia="黑体" w:cs="宋体"/>
      <w:kern w:val="0"/>
      <w:sz w:val="20"/>
      <w:szCs w:val="20"/>
    </w:rPr>
  </w:style>
  <w:style w:type="paragraph" w:customStyle="1" w:styleId="183">
    <w:name w:val="xl79"/>
    <w:basedOn w:val="0"/>
    <w:pPr>
      <w:widowControl/>
      <w:pBdr>
        <w:left w:val="single" w:sz="8" w:space="0" w:color="auto"/>
        <w:right w:val="single" w:sz="8" w:space="0" w:color="auto"/>
      </w:pBdr>
      <w:adjustRightInd/>
      <w:snapToGrid/>
      <w:spacing w:before="100" w:beforeAutospacing="1" w:after="100" w:afterAutospacing="1" w:line="240" w:lineRule="auto"/>
      <w:ind w:firstLineChars="0" w:firstLine="0"/>
      <w:jc w:val="center"/>
    </w:pPr>
    <w:rPr>
      <w:rFonts w:eastAsia="宋体" w:cs="宋体"/>
      <w:kern w:val="0"/>
      <w:sz w:val="20"/>
      <w:szCs w:val="20"/>
    </w:rPr>
  </w:style>
  <w:style w:type="paragraph" w:customStyle="1" w:styleId="184">
    <w:name w:val="xl80"/>
    <w:basedOn w:val="0"/>
    <w:pPr>
      <w:widowControl/>
      <w:pBdr>
        <w:top w:val="single" w:sz="8" w:space="0" w:color="auto"/>
        <w:left w:val="single" w:sz="8" w:space="0" w:color="auto"/>
        <w:right w:val="single" w:sz="8" w:space="0" w:color="auto"/>
      </w:pBdr>
      <w:adjustRightInd/>
      <w:snapToGrid/>
      <w:spacing w:before="100" w:beforeAutospacing="1" w:after="100" w:afterAutospacing="1" w:line="240" w:lineRule="auto"/>
      <w:ind w:firstLineChars="0" w:firstLine="0"/>
      <w:jc w:val="center"/>
    </w:pPr>
    <w:rPr>
      <w:rFonts w:eastAsia="宋体" w:cs="宋体"/>
      <w:kern w:val="0"/>
      <w:sz w:val="20"/>
      <w:szCs w:val="20"/>
    </w:rPr>
  </w:style>
  <w:style w:type="paragraph" w:customStyle="1" w:styleId="185">
    <w:name w:val="xl81"/>
    <w:basedOn w:val="0"/>
    <w:pPr>
      <w:widowControl/>
      <w:pBdr>
        <w:top w:val="single" w:sz="8" w:space="0" w:color="auto"/>
        <w:left w:val="single" w:sz="8" w:space="0" w:color="auto"/>
        <w:right w:val="single" w:sz="8" w:space="0" w:color="auto"/>
      </w:pBdr>
      <w:adjustRightInd/>
      <w:snapToGrid/>
      <w:spacing w:before="100" w:beforeAutospacing="1" w:after="100" w:afterAutospacing="1" w:line="240" w:lineRule="auto"/>
      <w:ind w:firstLineChars="0" w:firstLine="0"/>
      <w:jc w:val="center"/>
    </w:pPr>
    <w:rPr>
      <w:rFonts w:ascii="宋体" w:eastAsia="宋体" w:cs="宋体"/>
      <w:kern w:val="0"/>
      <w:sz w:val="20"/>
      <w:szCs w:val="20"/>
    </w:rPr>
  </w:style>
  <w:style w:type="paragraph" w:customStyle="1" w:styleId="186">
    <w:name w:val="xl82"/>
    <w:basedOn w:val="0"/>
    <w:pPr>
      <w:widowControl/>
      <w:pBdr>
        <w:left w:val="single" w:sz="8" w:space="0" w:color="auto"/>
        <w:right w:val="single" w:sz="8" w:space="0" w:color="auto"/>
      </w:pBdr>
      <w:adjustRightInd/>
      <w:snapToGrid/>
      <w:spacing w:before="100" w:beforeAutospacing="1" w:after="100" w:afterAutospacing="1" w:line="240" w:lineRule="auto"/>
      <w:ind w:firstLineChars="0" w:firstLine="0"/>
      <w:jc w:val="center"/>
    </w:pPr>
    <w:rPr>
      <w:rFonts w:ascii="宋体" w:eastAsia="宋体" w:cs="宋体"/>
      <w:kern w:val="0"/>
      <w:sz w:val="20"/>
      <w:szCs w:val="20"/>
    </w:rPr>
  </w:style>
  <w:style w:type="paragraph" w:customStyle="1" w:styleId="187">
    <w:name w:val="xl83"/>
    <w:basedOn w:val="0"/>
    <w:pPr>
      <w:widowControl/>
      <w:pBdr>
        <w:top w:val="single" w:sz="8" w:space="0" w:color="auto"/>
        <w:left w:val="single" w:sz="8" w:space="0" w:color="auto"/>
        <w:right w:val="single" w:sz="8" w:space="0" w:color="auto"/>
      </w:pBdr>
      <w:adjustRightInd/>
      <w:snapToGrid/>
      <w:spacing w:before="100" w:beforeAutospacing="1" w:after="100" w:afterAutospacing="1" w:line="240" w:lineRule="auto"/>
      <w:ind w:firstLineChars="0" w:firstLine="0"/>
      <w:jc w:val="left"/>
    </w:pPr>
    <w:rPr>
      <w:rFonts w:ascii="宋体" w:eastAsia="宋体" w:cs="宋体"/>
      <w:kern w:val="0"/>
      <w:sz w:val="20"/>
      <w:szCs w:val="20"/>
    </w:rPr>
  </w:style>
  <w:style w:type="paragraph" w:customStyle="1" w:styleId="188">
    <w:name w:val="xl84"/>
    <w:basedOn w:val="0"/>
    <w:pPr>
      <w:widowControl/>
      <w:pBdr>
        <w:left w:val="single" w:sz="8" w:space="0" w:color="auto"/>
        <w:right w:val="single" w:sz="8" w:space="0" w:color="auto"/>
      </w:pBdr>
      <w:adjustRightInd/>
      <w:snapToGrid/>
      <w:spacing w:before="100" w:beforeAutospacing="1" w:after="100" w:afterAutospacing="1" w:line="240" w:lineRule="auto"/>
      <w:ind w:firstLineChars="0" w:firstLine="0"/>
      <w:jc w:val="left"/>
    </w:pPr>
    <w:rPr>
      <w:rFonts w:ascii="宋体" w:eastAsia="宋体" w:cs="宋体"/>
      <w:kern w:val="0"/>
      <w:sz w:val="20"/>
      <w:szCs w:val="20"/>
    </w:rPr>
  </w:style>
  <w:style w:type="paragraph" w:customStyle="1" w:styleId="189">
    <w:name w:val="xl85"/>
    <w:basedOn w:val="0"/>
    <w:pPr>
      <w:widowControl/>
      <w:pBdr>
        <w:left w:val="single" w:sz="8" w:space="0" w:color="auto"/>
        <w:bottom w:val="single" w:sz="8" w:space="0" w:color="auto"/>
        <w:right w:val="single" w:sz="8" w:space="0" w:color="auto"/>
      </w:pBdr>
      <w:adjustRightInd/>
      <w:snapToGrid/>
      <w:spacing w:before="100" w:beforeAutospacing="1" w:after="100" w:afterAutospacing="1" w:line="240" w:lineRule="auto"/>
      <w:ind w:firstLineChars="0" w:firstLine="0"/>
      <w:jc w:val="left"/>
    </w:pPr>
    <w:rPr>
      <w:rFonts w:ascii="宋体" w:eastAsia="宋体" w:cs="宋体"/>
      <w:kern w:val="0"/>
      <w:sz w:val="20"/>
      <w:szCs w:val="20"/>
    </w:rPr>
  </w:style>
  <w:style w:type="paragraph" w:customStyle="1" w:styleId="190">
    <w:name w:val="xl86"/>
    <w:basedOn w:val="0"/>
    <w:pPr>
      <w:widowControl/>
      <w:pBdr>
        <w:top w:val="single" w:sz="8" w:space="0" w:color="auto"/>
        <w:left w:val="single" w:sz="8" w:space="0" w:color="auto"/>
        <w:right w:val="single" w:sz="8" w:space="0" w:color="auto"/>
      </w:pBdr>
      <w:adjustRightInd/>
      <w:snapToGrid/>
      <w:spacing w:before="100" w:beforeAutospacing="1" w:after="100" w:afterAutospacing="1" w:line="240" w:lineRule="auto"/>
      <w:ind w:firstLineChars="0" w:firstLine="0"/>
      <w:jc w:val="center"/>
    </w:pPr>
    <w:rPr>
      <w:rFonts w:ascii="宋体" w:eastAsia="宋体" w:cs="宋体"/>
      <w:color w:val="333333"/>
      <w:kern w:val="0"/>
      <w:sz w:val="20"/>
      <w:szCs w:val="20"/>
    </w:rPr>
  </w:style>
  <w:style w:type="paragraph" w:customStyle="1" w:styleId="191">
    <w:name w:val="xl87"/>
    <w:basedOn w:val="0"/>
    <w:pPr>
      <w:widowControl/>
      <w:pBdr>
        <w:left w:val="single" w:sz="8" w:space="0" w:color="auto"/>
        <w:bottom w:val="single" w:sz="8" w:space="0" w:color="auto"/>
        <w:right w:val="single" w:sz="8" w:space="0" w:color="auto"/>
      </w:pBdr>
      <w:adjustRightInd/>
      <w:snapToGrid/>
      <w:spacing w:before="100" w:beforeAutospacing="1" w:after="100" w:afterAutospacing="1" w:line="240" w:lineRule="auto"/>
      <w:ind w:firstLineChars="0" w:firstLine="0"/>
      <w:jc w:val="center"/>
    </w:pPr>
    <w:rPr>
      <w:rFonts w:ascii="宋体" w:eastAsia="宋体" w:cs="宋体"/>
      <w:color w:val="333333"/>
      <w:kern w:val="0"/>
      <w:sz w:val="20"/>
      <w:szCs w:val="20"/>
    </w:rPr>
  </w:style>
  <w:style w:type="paragraph" w:customStyle="1" w:styleId="192">
    <w:name w:val="xl88"/>
    <w:basedOn w:val="0"/>
    <w:pPr>
      <w:widowControl/>
      <w:pBdr>
        <w:top w:val="single" w:sz="8" w:space="0" w:color="auto"/>
        <w:left w:val="single" w:sz="8" w:space="0" w:color="auto"/>
        <w:right w:val="single" w:sz="8" w:space="0" w:color="auto"/>
      </w:pBdr>
      <w:adjustRightInd/>
      <w:snapToGrid/>
      <w:spacing w:before="100" w:beforeAutospacing="1" w:after="100" w:afterAutospacing="1" w:line="240" w:lineRule="auto"/>
      <w:ind w:firstLineChars="0" w:firstLine="0"/>
      <w:jc w:val="center"/>
    </w:pPr>
    <w:rPr>
      <w:rFonts w:ascii="宋体" w:eastAsia="宋体" w:cs="宋体"/>
      <w:color w:val="FF0000"/>
      <w:kern w:val="0"/>
      <w:sz w:val="20"/>
      <w:szCs w:val="20"/>
    </w:rPr>
  </w:style>
  <w:style w:type="paragraph" w:customStyle="1" w:styleId="193">
    <w:name w:val="xl89"/>
    <w:basedOn w:val="0"/>
    <w:pPr>
      <w:widowControl/>
      <w:pBdr>
        <w:left w:val="single" w:sz="8" w:space="0" w:color="auto"/>
        <w:right w:val="single" w:sz="8" w:space="0" w:color="auto"/>
      </w:pBdr>
      <w:adjustRightInd/>
      <w:snapToGrid/>
      <w:spacing w:before="100" w:beforeAutospacing="1" w:after="100" w:afterAutospacing="1" w:line="240" w:lineRule="auto"/>
      <w:ind w:firstLineChars="0" w:firstLine="0"/>
      <w:jc w:val="center"/>
    </w:pPr>
    <w:rPr>
      <w:rFonts w:ascii="宋体" w:eastAsia="宋体" w:cs="宋体"/>
      <w:color w:val="FF0000"/>
      <w:kern w:val="0"/>
      <w:sz w:val="20"/>
      <w:szCs w:val="20"/>
    </w:rPr>
  </w:style>
  <w:style w:type="paragraph" w:customStyle="1" w:styleId="194">
    <w:name w:val="xl90"/>
    <w:basedOn w:val="0"/>
    <w:pPr>
      <w:widowControl/>
      <w:pBdr>
        <w:left w:val="single" w:sz="8" w:space="0" w:color="auto"/>
        <w:bottom w:val="single" w:sz="8" w:space="0" w:color="auto"/>
        <w:right w:val="single" w:sz="8" w:space="0" w:color="auto"/>
      </w:pBdr>
      <w:adjustRightInd/>
      <w:snapToGrid/>
      <w:spacing w:before="100" w:beforeAutospacing="1" w:after="100" w:afterAutospacing="1" w:line="240" w:lineRule="auto"/>
      <w:ind w:firstLineChars="0" w:firstLine="0"/>
      <w:jc w:val="center"/>
    </w:pPr>
    <w:rPr>
      <w:rFonts w:ascii="宋体" w:eastAsia="宋体" w:cs="宋体"/>
      <w:color w:val="FF0000"/>
      <w:kern w:val="0"/>
      <w:sz w:val="20"/>
      <w:szCs w:val="20"/>
    </w:rPr>
  </w:style>
  <w:style w:type="paragraph" w:customStyle="1" w:styleId="195">
    <w:name w:val="xl91"/>
    <w:basedOn w:val="0"/>
    <w:pPr>
      <w:widowControl/>
      <w:pBdr>
        <w:left w:val="single" w:sz="8" w:space="0" w:color="auto"/>
        <w:right w:val="single" w:sz="8" w:space="0" w:color="auto"/>
      </w:pBdr>
      <w:adjustRightInd/>
      <w:snapToGrid/>
      <w:spacing w:before="100" w:beforeAutospacing="1" w:after="100" w:afterAutospacing="1" w:line="240" w:lineRule="auto"/>
      <w:ind w:firstLineChars="0" w:firstLine="0"/>
      <w:jc w:val="center"/>
    </w:pPr>
    <w:rPr>
      <w:rFonts w:ascii="宋体" w:eastAsia="宋体" w:cs="宋体"/>
      <w:color w:val="333333"/>
      <w:kern w:val="0"/>
      <w:sz w:val="24"/>
      <w:szCs w:val="24"/>
    </w:rPr>
  </w:style>
  <w:style w:type="paragraph" w:customStyle="1" w:styleId="196">
    <w:name w:val="xl92"/>
    <w:basedOn w:val="0"/>
    <w:pPr>
      <w:widowControl/>
      <w:pBdr>
        <w:left w:val="single" w:sz="8" w:space="0" w:color="auto"/>
        <w:bottom w:val="single" w:sz="8" w:space="0" w:color="auto"/>
        <w:right w:val="single" w:sz="8" w:space="0" w:color="auto"/>
      </w:pBdr>
      <w:adjustRightInd/>
      <w:snapToGrid/>
      <w:spacing w:before="100" w:beforeAutospacing="1" w:after="100" w:afterAutospacing="1" w:line="240" w:lineRule="auto"/>
      <w:ind w:firstLineChars="0" w:firstLine="0"/>
      <w:jc w:val="center"/>
    </w:pPr>
    <w:rPr>
      <w:rFonts w:ascii="宋体" w:eastAsia="宋体" w:cs="宋体"/>
      <w:color w:val="333333"/>
      <w:kern w:val="0"/>
      <w:sz w:val="24"/>
      <w:szCs w:val="24"/>
    </w:rPr>
  </w:style>
  <w:style w:type="paragraph" w:customStyle="1" w:styleId="197">
    <w:name w:val="xl93"/>
    <w:basedOn w:val="0"/>
    <w:pPr>
      <w:widowControl/>
      <w:pBdr>
        <w:top w:val="single" w:sz="8" w:space="0" w:color="auto"/>
        <w:left w:val="single" w:sz="8" w:space="0" w:color="auto"/>
        <w:right w:val="single" w:sz="8" w:space="0" w:color="auto"/>
      </w:pBdr>
      <w:adjustRightInd/>
      <w:snapToGrid/>
      <w:spacing w:before="100" w:beforeAutospacing="1" w:after="100" w:afterAutospacing="1" w:line="240" w:lineRule="auto"/>
      <w:ind w:firstLineChars="0" w:firstLine="0"/>
      <w:jc w:val="left"/>
    </w:pPr>
    <w:rPr>
      <w:rFonts w:eastAsia="宋体" w:cs="宋体"/>
      <w:kern w:val="0"/>
      <w:sz w:val="20"/>
      <w:szCs w:val="20"/>
    </w:rPr>
  </w:style>
  <w:style w:type="paragraph" w:customStyle="1" w:styleId="198">
    <w:name w:val="xl94"/>
    <w:basedOn w:val="0"/>
    <w:pPr>
      <w:widowControl/>
      <w:pBdr>
        <w:left w:val="single" w:sz="8" w:space="0" w:color="auto"/>
        <w:bottom w:val="single" w:sz="8" w:space="0" w:color="auto"/>
        <w:right w:val="single" w:sz="8" w:space="0" w:color="auto"/>
      </w:pBdr>
      <w:adjustRightInd/>
      <w:snapToGrid/>
      <w:spacing w:before="100" w:beforeAutospacing="1" w:after="100" w:afterAutospacing="1" w:line="240" w:lineRule="auto"/>
      <w:ind w:firstLineChars="0" w:firstLine="0"/>
      <w:jc w:val="left"/>
    </w:pPr>
    <w:rPr>
      <w:rFonts w:eastAsia="宋体" w:cs="宋体"/>
      <w:kern w:val="0"/>
      <w:sz w:val="20"/>
      <w:szCs w:val="20"/>
    </w:rPr>
  </w:style>
  <w:style w:type="paragraph" w:customStyle="1" w:styleId="199">
    <w:name w:val="xl95"/>
    <w:basedOn w:val="0"/>
    <w:pPr>
      <w:widowControl/>
      <w:pBdr>
        <w:top w:val="single" w:sz="8" w:space="0" w:color="auto"/>
        <w:left w:val="single" w:sz="8" w:space="0" w:color="auto"/>
        <w:right w:val="single" w:sz="8" w:space="0" w:color="auto"/>
      </w:pBdr>
      <w:adjustRightInd/>
      <w:snapToGrid/>
      <w:spacing w:before="100" w:beforeAutospacing="1" w:after="100" w:afterAutospacing="1" w:line="240" w:lineRule="auto"/>
      <w:ind w:firstLineChars="0" w:firstLine="0"/>
      <w:jc w:val="center"/>
    </w:pPr>
    <w:rPr>
      <w:rFonts w:ascii="宋体" w:eastAsia="宋体" w:cs="宋体"/>
      <w:color w:val="FF0000"/>
      <w:kern w:val="0"/>
      <w:sz w:val="24"/>
      <w:szCs w:val="24"/>
    </w:rPr>
  </w:style>
  <w:style w:type="paragraph" w:customStyle="1" w:styleId="200">
    <w:name w:val="TOC 标题111"/>
    <w:basedOn w:val="1"/>
    <w:next w:val="0"/>
    <w:pPr>
      <w:keepNext/>
      <w:keepLines/>
      <w:widowControl/>
      <w:adjustRightInd/>
      <w:snapToGrid/>
      <w:spacing w:before="240" w:line="259" w:lineRule="auto"/>
      <w:jc w:val="left"/>
      <w:outlineLvl w:val="9"/>
    </w:pPr>
    <w:rPr>
      <w:rFonts w:ascii="等线 Light" w:eastAsia="等线 Light" w:cs="Times New Roman"/>
      <w:b w:val="0"/>
      <w:bCs w:val="0"/>
      <w:color w:val="2F5496"/>
      <w:kern w:val="0"/>
      <w:szCs w:val="32"/>
    </w:rPr>
  </w:style>
  <w:style w:type="paragraph" w:customStyle="1" w:styleId="201">
    <w:name w:val="图表前"/>
    <w:next w:val="0"/>
    <w:pPr>
      <w:widowControl w:val="0"/>
      <w:spacing w:before="240" w:after="120"/>
      <w:ind w:firstLine="200"/>
      <w:jc w:val="center"/>
    </w:pPr>
    <w:rPr>
      <w:rFonts w:ascii="Times New Roman" w:eastAsia="Times New Roman" w:cs="Times New Roman" w:hAnsi="Times New Roman"/>
      <w:color w:val="000000"/>
      <w:kern w:val="2"/>
      <w:sz w:val="21"/>
      <w:szCs w:val="21"/>
      <w:lang w:val="en-US" w:eastAsia="zh-CN" w:bidi="ar-SA"/>
    </w:rPr>
  </w:style>
  <w:style w:type="character" w:customStyle="1" w:styleId="202">
    <w:name w:val="无"/>
  </w:style>
  <w:style w:type="paragraph" w:customStyle="1" w:styleId="203">
    <w:name w:val="font9"/>
    <w:basedOn w:val="0"/>
    <w:pPr>
      <w:widowControl/>
      <w:adjustRightInd/>
      <w:snapToGrid/>
      <w:spacing w:before="100" w:beforeAutospacing="1" w:after="100" w:afterAutospacing="1" w:line="240" w:lineRule="auto"/>
      <w:ind w:firstLineChars="0" w:firstLine="0"/>
      <w:jc w:val="left"/>
    </w:pPr>
    <w:rPr>
      <w:rFonts w:ascii="宋体" w:eastAsia="宋体" w:cs="宋体"/>
      <w:color w:val="000000"/>
      <w:kern w:val="0"/>
      <w:sz w:val="22"/>
    </w:rPr>
  </w:style>
  <w:style w:type="paragraph" w:customStyle="1" w:styleId="204">
    <w:name w:val="font10"/>
    <w:basedOn w:val="0"/>
    <w:pPr>
      <w:widowControl/>
      <w:adjustRightInd/>
      <w:snapToGrid/>
      <w:spacing w:before="100" w:beforeAutospacing="1" w:after="100" w:afterAutospacing="1" w:line="240" w:lineRule="auto"/>
      <w:ind w:firstLineChars="0" w:firstLine="0"/>
      <w:jc w:val="left"/>
    </w:pPr>
    <w:rPr>
      <w:rFonts w:ascii="宋体" w:eastAsia="宋体" w:cs="宋体"/>
      <w:b/>
      <w:bCs/>
      <w:color w:val="000000"/>
      <w:kern w:val="0"/>
      <w:sz w:val="20"/>
      <w:szCs w:val="20"/>
    </w:rPr>
  </w:style>
  <w:style w:type="paragraph" w:customStyle="1" w:styleId="205">
    <w:name w:val="font11"/>
    <w:basedOn w:val="0"/>
    <w:pPr>
      <w:widowControl/>
      <w:adjustRightInd/>
      <w:snapToGrid/>
      <w:spacing w:before="100" w:beforeAutospacing="1" w:after="100" w:afterAutospacing="1" w:line="240" w:lineRule="auto"/>
      <w:ind w:firstLineChars="0" w:firstLine="0"/>
      <w:jc w:val="left"/>
    </w:pPr>
    <w:rPr>
      <w:rFonts w:ascii="Times New Roman" w:eastAsia="宋体" w:hAnsi="Times New Roman"/>
      <w:color w:val="000000"/>
      <w:kern w:val="0"/>
      <w:sz w:val="20"/>
      <w:szCs w:val="20"/>
    </w:rPr>
  </w:style>
  <w:style w:type="paragraph" w:customStyle="1" w:styleId="206">
    <w:name w:val="font12"/>
    <w:basedOn w:val="0"/>
    <w:pPr>
      <w:widowControl/>
      <w:adjustRightInd/>
      <w:snapToGrid/>
      <w:spacing w:before="100" w:beforeAutospacing="1" w:after="100" w:afterAutospacing="1" w:line="240" w:lineRule="auto"/>
      <w:ind w:firstLineChars="0" w:firstLine="0"/>
      <w:jc w:val="left"/>
    </w:pPr>
    <w:rPr>
      <w:rFonts w:ascii="宋体" w:eastAsia="宋体" w:cs="宋体"/>
      <w:color w:val="000000"/>
      <w:kern w:val="0"/>
      <w:sz w:val="20"/>
      <w:szCs w:val="20"/>
    </w:rPr>
  </w:style>
  <w:style w:type="paragraph" w:customStyle="1" w:styleId="207">
    <w:name w:val="font13"/>
    <w:basedOn w:val="0"/>
    <w:pPr>
      <w:widowControl/>
      <w:adjustRightInd/>
      <w:snapToGrid/>
      <w:spacing w:before="100" w:beforeAutospacing="1" w:after="100" w:afterAutospacing="1" w:line="240" w:lineRule="auto"/>
      <w:ind w:firstLineChars="0" w:firstLine="0"/>
      <w:jc w:val="left"/>
    </w:pPr>
    <w:rPr>
      <w:rFonts w:ascii="宋体" w:eastAsia="宋体" w:cs="宋体"/>
      <w:color w:val="000000"/>
      <w:kern w:val="0"/>
      <w:sz w:val="20"/>
      <w:szCs w:val="20"/>
    </w:rPr>
  </w:style>
  <w:style w:type="paragraph" w:customStyle="1" w:styleId="208">
    <w:name w:val="font14"/>
    <w:basedOn w:val="0"/>
    <w:pPr>
      <w:widowControl/>
      <w:adjustRightInd/>
      <w:snapToGrid/>
      <w:spacing w:before="100" w:beforeAutospacing="1" w:after="100" w:afterAutospacing="1" w:line="240" w:lineRule="auto"/>
      <w:ind w:firstLineChars="0" w:firstLine="0"/>
      <w:jc w:val="left"/>
    </w:pPr>
    <w:rPr>
      <w:rFonts w:ascii="Times New Roman" w:eastAsia="宋体" w:hAnsi="Times New Roman"/>
      <w:color w:val="000000"/>
      <w:kern w:val="0"/>
      <w:sz w:val="20"/>
      <w:szCs w:val="20"/>
    </w:rPr>
  </w:style>
  <w:style w:type="paragraph" w:customStyle="1" w:styleId="209">
    <w:name w:val="font15"/>
    <w:basedOn w:val="0"/>
    <w:pPr>
      <w:widowControl/>
      <w:adjustRightInd/>
      <w:snapToGrid/>
      <w:spacing w:before="100" w:beforeAutospacing="1" w:after="100" w:afterAutospacing="1" w:line="240" w:lineRule="auto"/>
      <w:ind w:firstLineChars="0" w:firstLine="0"/>
      <w:jc w:val="left"/>
    </w:pPr>
    <w:rPr>
      <w:rFonts w:ascii="Times New Roman" w:eastAsia="宋体" w:hAnsi="Times New Roman"/>
      <w:color w:val="000000"/>
      <w:kern w:val="0"/>
      <w:sz w:val="20"/>
      <w:szCs w:val="20"/>
    </w:rPr>
  </w:style>
  <w:style w:type="paragraph" w:customStyle="1" w:styleId="210">
    <w:name w:val="font16"/>
    <w:basedOn w:val="0"/>
    <w:pPr>
      <w:widowControl/>
      <w:adjustRightInd/>
      <w:snapToGrid/>
      <w:spacing w:before="100" w:beforeAutospacing="1" w:after="100" w:afterAutospacing="1" w:line="240" w:lineRule="auto"/>
      <w:ind w:firstLineChars="0" w:firstLine="0"/>
      <w:jc w:val="left"/>
    </w:pPr>
    <w:rPr>
      <w:rFonts w:ascii="宋体" w:eastAsia="宋体" w:cs="宋体"/>
      <w:color w:val="FF0000"/>
      <w:kern w:val="0"/>
      <w:sz w:val="20"/>
      <w:szCs w:val="20"/>
    </w:rPr>
  </w:style>
  <w:style w:type="paragraph" w:customStyle="1" w:styleId="211">
    <w:name w:val="font17"/>
    <w:basedOn w:val="0"/>
    <w:pPr>
      <w:widowControl/>
      <w:adjustRightInd/>
      <w:snapToGrid/>
      <w:spacing w:before="100" w:beforeAutospacing="1" w:after="100" w:afterAutospacing="1" w:line="240" w:lineRule="auto"/>
      <w:ind w:firstLineChars="0" w:firstLine="0"/>
      <w:jc w:val="left"/>
    </w:pPr>
    <w:rPr>
      <w:rFonts w:ascii="Times New Roman" w:eastAsia="宋体" w:hAnsi="Times New Roman"/>
      <w:color w:val="FF0000"/>
      <w:kern w:val="0"/>
      <w:sz w:val="20"/>
      <w:szCs w:val="20"/>
    </w:rPr>
  </w:style>
  <w:style w:type="paragraph" w:customStyle="1" w:styleId="212">
    <w:name w:val="font18"/>
    <w:basedOn w:val="0"/>
    <w:pPr>
      <w:widowControl/>
      <w:adjustRightInd/>
      <w:snapToGrid/>
      <w:spacing w:before="100" w:beforeAutospacing="1" w:after="100" w:afterAutospacing="1" w:line="240" w:lineRule="auto"/>
      <w:ind w:firstLineChars="0" w:firstLine="0"/>
      <w:jc w:val="left"/>
    </w:pPr>
    <w:rPr>
      <w:rFonts w:ascii="宋体" w:eastAsia="宋体" w:cs="宋体"/>
      <w:color w:val="000000"/>
      <w:kern w:val="0"/>
      <w:sz w:val="20"/>
      <w:szCs w:val="20"/>
    </w:rPr>
  </w:style>
  <w:style w:type="paragraph" w:customStyle="1" w:styleId="213">
    <w:name w:val="font19"/>
    <w:basedOn w:val="0"/>
    <w:pPr>
      <w:widowControl/>
      <w:adjustRightInd/>
      <w:snapToGrid/>
      <w:spacing w:before="100" w:beforeAutospacing="1" w:after="100" w:afterAutospacing="1" w:line="240" w:lineRule="auto"/>
      <w:ind w:firstLineChars="0" w:firstLine="0"/>
      <w:jc w:val="left"/>
    </w:pPr>
    <w:rPr>
      <w:rFonts w:ascii="Times New Roman" w:eastAsia="宋体" w:hAnsi="Times New Roman"/>
      <w:color w:val="000000"/>
      <w:kern w:val="0"/>
      <w:sz w:val="20"/>
      <w:szCs w:val="20"/>
    </w:rPr>
  </w:style>
  <w:style w:type="paragraph" w:customStyle="1" w:styleId="214">
    <w:name w:val="font20"/>
    <w:basedOn w:val="0"/>
    <w:pPr>
      <w:widowControl/>
      <w:adjustRightInd/>
      <w:snapToGrid/>
      <w:spacing w:before="100" w:beforeAutospacing="1" w:after="100" w:afterAutospacing="1" w:line="240" w:lineRule="auto"/>
      <w:ind w:firstLineChars="0" w:firstLine="0"/>
      <w:jc w:val="left"/>
    </w:pPr>
    <w:rPr>
      <w:rFonts w:ascii="宋体" w:eastAsia="宋体" w:cs="宋体"/>
      <w:color w:val="000000"/>
      <w:kern w:val="0"/>
      <w:sz w:val="20"/>
      <w:szCs w:val="20"/>
    </w:rPr>
  </w:style>
  <w:style w:type="paragraph" w:customStyle="1" w:styleId="215">
    <w:name w:val="font21"/>
    <w:basedOn w:val="0"/>
    <w:pPr>
      <w:widowControl/>
      <w:adjustRightInd/>
      <w:snapToGrid/>
      <w:spacing w:before="100" w:beforeAutospacing="1" w:after="100" w:afterAutospacing="1" w:line="240" w:lineRule="auto"/>
      <w:ind w:firstLineChars="0" w:firstLine="0"/>
      <w:jc w:val="left"/>
    </w:pPr>
    <w:rPr>
      <w:rFonts w:ascii="仿宋_GB2312" w:cs="宋体"/>
      <w:color w:val="000000"/>
      <w:kern w:val="0"/>
      <w:sz w:val="20"/>
      <w:szCs w:val="20"/>
    </w:rPr>
  </w:style>
  <w:style w:type="paragraph" w:customStyle="1" w:styleId="216">
    <w:name w:val="font22"/>
    <w:basedOn w:val="0"/>
    <w:pPr>
      <w:widowControl/>
      <w:adjustRightInd/>
      <w:snapToGrid/>
      <w:spacing w:before="100" w:beforeAutospacing="1" w:after="100" w:afterAutospacing="1" w:line="240" w:lineRule="auto"/>
      <w:ind w:firstLineChars="0" w:firstLine="0"/>
      <w:jc w:val="left"/>
    </w:pPr>
    <w:rPr>
      <w:rFonts w:ascii="宋体" w:eastAsia="宋体" w:cs="宋体"/>
      <w:kern w:val="0"/>
      <w:sz w:val="20"/>
      <w:szCs w:val="20"/>
    </w:rPr>
  </w:style>
  <w:style w:type="paragraph" w:customStyle="1" w:styleId="217">
    <w:name w:val="font23"/>
    <w:basedOn w:val="0"/>
    <w:pPr>
      <w:widowControl/>
      <w:adjustRightInd/>
      <w:snapToGrid/>
      <w:spacing w:before="100" w:beforeAutospacing="1" w:after="100" w:afterAutospacing="1" w:line="240" w:lineRule="auto"/>
      <w:ind w:firstLineChars="0" w:firstLine="0"/>
      <w:jc w:val="left"/>
    </w:pPr>
    <w:rPr>
      <w:rFonts w:ascii="Times New Roman" w:eastAsia="宋体" w:hAnsi="Times New Roman"/>
      <w:kern w:val="0"/>
      <w:sz w:val="20"/>
      <w:szCs w:val="20"/>
    </w:rPr>
  </w:style>
  <w:style w:type="paragraph" w:customStyle="1" w:styleId="218">
    <w:name w:val="新正文"/>
    <w:basedOn w:val="0"/>
    <w:pPr>
      <w:adjustRightInd/>
      <w:snapToGrid/>
      <w:spacing w:before="60" w:line="460" w:lineRule="exact"/>
    </w:pPr>
    <w:rPr>
      <w:rFonts w:ascii="Times New Roman" w:eastAsia="宋体" w:hAnsi="Times New Roman"/>
      <w:sz w:val="24"/>
      <w:szCs w:val="20"/>
    </w:rPr>
  </w:style>
  <w:style w:type="paragraph" w:customStyle="1" w:styleId="219">
    <w:name w:val="表序号"/>
    <w:basedOn w:val="0"/>
    <w:pPr>
      <w:keepNext/>
      <w:widowControl w:val="0"/>
      <w:adjustRightInd/>
      <w:snapToGrid/>
      <w:spacing w:line="240" w:lineRule="auto"/>
      <w:ind w:firstLineChars="0" w:firstLine="0"/>
      <w:jc w:val="left"/>
    </w:pPr>
    <w:rPr>
      <w:rFonts w:ascii="Times New Roman" w:eastAsia="宋体" w:hAnsi="Times New Roman"/>
      <w:spacing w:val="10"/>
      <w:kern w:val="28"/>
      <w:sz w:val="20"/>
      <w:szCs w:val="28"/>
    </w:rPr>
  </w:style>
  <w:style w:type="paragraph" w:customStyle="1" w:styleId="220">
    <w:name w:val="表格五号"/>
    <w:basedOn w:val="0"/>
    <w:pPr>
      <w:widowControl w:val="0"/>
      <w:tabs>
        <w:tab w:val="right" w:pos="8814"/>
      </w:tabs>
      <w:suppressAutoHyphens/>
      <w:adjustRightInd/>
      <w:snapToGrid w:val="0"/>
      <w:spacing w:line="240" w:lineRule="auto"/>
      <w:ind w:firstLineChars="0" w:firstLine="0"/>
      <w:jc w:val="center"/>
    </w:pPr>
    <w:rPr>
      <w:rFonts w:ascii="Times New Roman" w:eastAsia="宋体" w:hAnsi="Times New Roman"/>
      <w:color w:val="000000"/>
      <w:kern w:val="0"/>
      <w:sz w:val="24"/>
      <w:szCs w:val="24"/>
    </w:rPr>
  </w:style>
  <w:style w:type="paragraph" w:customStyle="1" w:styleId="221">
    <w:name w:val="三调"/>
    <w:next w:val="0"/>
    <w:pPr>
      <w:widowControl w:val="0"/>
      <w:spacing w:line="520" w:lineRule="exact"/>
      <w:jc w:val="both"/>
    </w:pPr>
    <w:rPr>
      <w:rFonts w:ascii="Times New Roman" w:eastAsia="宋体" w:cs="Times New Roman" w:hAnsi="Times New Roman"/>
      <w:kern w:val="2"/>
      <w:sz w:val="24"/>
      <w:szCs w:val="24"/>
      <w:lang w:val="en-US" w:eastAsia="zh-CN" w:bidi="ar-SA"/>
    </w:rPr>
  </w:style>
  <w:style w:type="paragraph" w:customStyle="1" w:styleId="222">
    <w:name w:val="图表格式"/>
    <w:basedOn w:val="22"/>
    <w:pPr>
      <w:spacing w:line="240" w:lineRule="auto"/>
      <w:ind w:firstLineChars="0" w:firstLine="0"/>
      <w:jc w:val="center"/>
    </w:pPr>
    <w:rPr>
      <w:rFonts w:ascii="Times New Roman" w:eastAsia="仿宋_GB2312" w:cs="Times New Roman" w:hAnsi="Times New Roman"/>
      <w:sz w:val="21"/>
      <w:szCs w:val="24"/>
    </w:rPr>
  </w:style>
  <w:style w:type="paragraph" w:customStyle="1" w:styleId="223">
    <w:name w:val="7表格(治)"/>
    <w:pPr>
      <w:keepNext/>
      <w:widowControl w:val="0"/>
      <w:tabs>
        <w:tab w:val="right" w:leader="middleDot" w:pos="600"/>
      </w:tabs>
      <w:adjustRightInd w:val="0"/>
      <w:snapToGrid w:val="0"/>
      <w:spacing w:line="360" w:lineRule="auto"/>
      <w:jc w:val="center"/>
    </w:pPr>
    <w:rPr>
      <w:rFonts w:ascii="Times New Roman" w:eastAsia="仿宋_GB2312" w:cs="Times New Roman" w:hAnsi="Times New Roman"/>
      <w:kern w:val="2"/>
      <w:sz w:val="21"/>
      <w:szCs w:val="21"/>
      <w:lang w:val="en-US" w:eastAsia="zh-CN" w:bidi="ar-SA"/>
    </w:rPr>
  </w:style>
  <w:style w:type="character" w:customStyle="1" w:styleId="224">
    <w:name w:val="书籍标题1"/>
    <w:rPr>
      <w:b/>
      <w:bCs/>
      <w:caps w:val="0"/>
      <w:smallCaps/>
      <w:spacing w:val="5"/>
    </w:rPr>
  </w:style>
  <w:style w:type="paragraph" w:customStyle="1" w:styleId="225">
    <w:name w:val="5文章(治)"/>
    <w:next w:val="34"/>
    <w:pPr>
      <w:widowControl w:val="0"/>
      <w:spacing w:line="360" w:lineRule="auto"/>
      <w:ind w:firstLineChars="200" w:firstLine="200"/>
      <w:jc w:val="both"/>
    </w:pPr>
    <w:rPr>
      <w:rFonts w:ascii="Calibri" w:eastAsia="宋体" w:cs="Arial" w:hAnsi="Calibri"/>
      <w:kern w:val="2"/>
      <w:sz w:val="24"/>
      <w:szCs w:val="22"/>
      <w:lang w:val="en-US" w:eastAsia="zh-CN" w:bidi="ar-SA"/>
    </w:rPr>
  </w:style>
  <w:style w:type="paragraph" w:customStyle="1" w:styleId="226">
    <w:name w:val="xl417"/>
    <w:basedOn w:val="0"/>
    <w:pPr>
      <w:widowControl/>
      <w:adjustRightInd/>
      <w:snapToGrid/>
      <w:spacing w:before="100" w:beforeAutospacing="1" w:after="100" w:afterAutospacing="1" w:line="240" w:lineRule="auto"/>
      <w:ind w:firstLineChars="0" w:firstLine="0"/>
      <w:jc w:val="center"/>
    </w:pPr>
    <w:rPr>
      <w:rFonts w:ascii="宋体" w:eastAsia="宋体" w:cs="宋体"/>
      <w:kern w:val="0"/>
      <w:sz w:val="24"/>
      <w:szCs w:val="24"/>
    </w:rPr>
  </w:style>
  <w:style w:type="paragraph" w:customStyle="1" w:styleId="227">
    <w:name w:val="xl418"/>
    <w:basedOn w:val="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Times New Roman" w:eastAsia="宋体" w:hAnsi="Times New Roman"/>
      <w:kern w:val="0"/>
      <w:sz w:val="18"/>
      <w:szCs w:val="18"/>
    </w:rPr>
  </w:style>
  <w:style w:type="paragraph" w:customStyle="1" w:styleId="228">
    <w:name w:val="xl419"/>
    <w:basedOn w:val="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Times New Roman" w:eastAsia="宋体" w:hAnsi="Times New Roman"/>
      <w:kern w:val="0"/>
      <w:sz w:val="18"/>
      <w:szCs w:val="18"/>
    </w:rPr>
  </w:style>
  <w:style w:type="paragraph" w:customStyle="1" w:styleId="229">
    <w:name w:val="xl420"/>
    <w:basedOn w:val="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Times New Roman" w:eastAsia="宋体" w:hAnsi="Times New Roman"/>
      <w:kern w:val="0"/>
      <w:sz w:val="18"/>
      <w:szCs w:val="18"/>
    </w:rPr>
  </w:style>
  <w:style w:type="paragraph" w:customStyle="1" w:styleId="230">
    <w:name w:val="xl421"/>
    <w:basedOn w:val="0"/>
    <w:pPr>
      <w:widowControl/>
      <w:pBdr>
        <w:top w:val="single" w:sz="4" w:space="0" w:color="auto"/>
        <w:left w:val="single" w:sz="4" w:space="0" w:color="auto"/>
        <w:right w:val="single" w:sz="4" w:space="0" w:color="auto"/>
      </w:pBdr>
      <w:adjustRightInd/>
      <w:snapToGrid/>
      <w:spacing w:before="100" w:beforeAutospacing="1" w:after="100" w:afterAutospacing="1" w:line="240" w:lineRule="auto"/>
      <w:ind w:firstLineChars="0" w:firstLine="0"/>
      <w:jc w:val="center"/>
    </w:pPr>
    <w:rPr>
      <w:rFonts w:ascii="Times New Roman" w:eastAsia="宋体" w:hAnsi="Times New Roman"/>
      <w:b/>
      <w:bCs/>
      <w:kern w:val="0"/>
      <w:sz w:val="18"/>
      <w:szCs w:val="18"/>
    </w:rPr>
  </w:style>
  <w:style w:type="paragraph" w:customStyle="1" w:styleId="231">
    <w:name w:val="xl422"/>
    <w:basedOn w:val="0"/>
    <w:pPr>
      <w:widowControl/>
      <w:pBdr>
        <w:top w:val="single" w:sz="4" w:space="0" w:color="auto"/>
        <w:left w:val="single" w:sz="4" w:space="0" w:color="auto"/>
        <w:right w:val="single" w:sz="4" w:space="0" w:color="auto"/>
      </w:pBdr>
      <w:adjustRightInd/>
      <w:snapToGrid/>
      <w:spacing w:before="100" w:beforeAutospacing="1" w:after="100" w:afterAutospacing="1" w:line="240" w:lineRule="auto"/>
      <w:ind w:firstLineChars="0" w:firstLine="0"/>
      <w:jc w:val="center"/>
    </w:pPr>
    <w:rPr>
      <w:rFonts w:ascii="Times New Roman" w:eastAsia="宋体" w:hAnsi="Times New Roman"/>
      <w:b/>
      <w:bCs/>
      <w:kern w:val="0"/>
      <w:sz w:val="18"/>
      <w:szCs w:val="18"/>
    </w:rPr>
  </w:style>
  <w:style w:type="paragraph" w:customStyle="1" w:styleId="232">
    <w:name w:val="xl423"/>
    <w:basedOn w:val="0"/>
    <w:pPr>
      <w:widowControl/>
      <w:pBdr>
        <w:top w:val="single" w:sz="4" w:space="0" w:color="auto"/>
        <w:left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cs="宋体"/>
      <w:b/>
      <w:bCs/>
      <w:kern w:val="0"/>
      <w:sz w:val="18"/>
      <w:szCs w:val="18"/>
    </w:rPr>
  </w:style>
  <w:style w:type="paragraph" w:customStyle="1" w:styleId="233">
    <w:name w:val="xl424"/>
    <w:basedOn w:val="0"/>
    <w:pPr>
      <w:widowControl/>
      <w:pBdr>
        <w:top w:val="single" w:sz="4" w:space="0" w:color="auto"/>
        <w:left w:val="single" w:sz="4" w:space="0" w:color="auto"/>
        <w:bottom w:val="single" w:sz="4" w:space="0" w:color="auto"/>
      </w:pBdr>
      <w:adjustRightInd/>
      <w:snapToGrid/>
      <w:spacing w:before="100" w:beforeAutospacing="1" w:after="100" w:afterAutospacing="1" w:line="240" w:lineRule="auto"/>
      <w:ind w:firstLineChars="0" w:firstLine="0"/>
      <w:jc w:val="center"/>
    </w:pPr>
    <w:rPr>
      <w:rFonts w:ascii="宋体" w:eastAsia="宋体" w:cs="宋体"/>
      <w:b/>
      <w:bCs/>
      <w:kern w:val="0"/>
      <w:sz w:val="18"/>
      <w:szCs w:val="18"/>
    </w:rPr>
  </w:style>
  <w:style w:type="paragraph" w:customStyle="1" w:styleId="234">
    <w:name w:val="xl425"/>
    <w:basedOn w:val="0"/>
    <w:pPr>
      <w:widowControl/>
      <w:pBdr>
        <w:top w:val="single" w:sz="4" w:space="0" w:color="auto"/>
        <w:bottom w:val="single" w:sz="4" w:space="0" w:color="auto"/>
      </w:pBdr>
      <w:adjustRightInd/>
      <w:snapToGrid/>
      <w:spacing w:before="100" w:beforeAutospacing="1" w:after="100" w:afterAutospacing="1" w:line="240" w:lineRule="auto"/>
      <w:ind w:firstLineChars="0" w:firstLine="0"/>
      <w:jc w:val="center"/>
    </w:pPr>
    <w:rPr>
      <w:rFonts w:ascii="Times New Roman" w:eastAsia="宋体" w:hAnsi="Times New Roman"/>
      <w:b/>
      <w:bCs/>
      <w:kern w:val="0"/>
      <w:sz w:val="18"/>
      <w:szCs w:val="18"/>
    </w:rPr>
  </w:style>
  <w:style w:type="paragraph" w:customStyle="1" w:styleId="235">
    <w:name w:val="xl426"/>
    <w:basedOn w:val="0"/>
    <w:pPr>
      <w:widowControl/>
      <w:pBdr>
        <w:top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Times New Roman" w:eastAsia="宋体" w:hAnsi="Times New Roman"/>
      <w:b/>
      <w:bCs/>
      <w:kern w:val="0"/>
      <w:sz w:val="18"/>
      <w:szCs w:val="18"/>
    </w:rPr>
  </w:style>
  <w:style w:type="paragraph" w:customStyle="1" w:styleId="236">
    <w:name w:val="xl427"/>
    <w:basedOn w:val="0"/>
    <w:pPr>
      <w:widowControl/>
      <w:pBdr>
        <w:top w:val="single" w:sz="4" w:space="0" w:color="auto"/>
        <w:left w:val="single" w:sz="4" w:space="0" w:color="auto"/>
        <w:bottom w:val="single" w:sz="4" w:space="0" w:color="auto"/>
      </w:pBdr>
      <w:adjustRightInd/>
      <w:snapToGrid/>
      <w:spacing w:before="100" w:beforeAutospacing="1" w:after="100" w:afterAutospacing="1" w:line="240" w:lineRule="auto"/>
      <w:ind w:firstLineChars="0" w:firstLine="0"/>
      <w:jc w:val="center"/>
    </w:pPr>
    <w:rPr>
      <w:rFonts w:ascii="Times New Roman" w:eastAsia="宋体" w:hAnsi="Times New Roman"/>
      <w:b/>
      <w:bCs/>
      <w:kern w:val="0"/>
      <w:sz w:val="18"/>
      <w:szCs w:val="18"/>
    </w:rPr>
  </w:style>
  <w:style w:type="paragraph" w:customStyle="1" w:styleId="237">
    <w:name w:val="xl428"/>
    <w:basedOn w:val="0"/>
    <w:pPr>
      <w:widowControl/>
      <w:pBdr>
        <w:top w:val="single" w:sz="4" w:space="0" w:color="auto"/>
        <w:left w:val="single" w:sz="4" w:space="0" w:color="auto"/>
        <w:bottom w:val="single" w:sz="4" w:space="0" w:color="auto"/>
      </w:pBdr>
      <w:adjustRightInd/>
      <w:snapToGrid/>
      <w:spacing w:before="100" w:beforeAutospacing="1" w:after="100" w:afterAutospacing="1" w:line="240" w:lineRule="auto"/>
      <w:ind w:firstLineChars="0" w:firstLine="0"/>
      <w:jc w:val="center"/>
    </w:pPr>
    <w:rPr>
      <w:rFonts w:ascii="Times New Roman" w:eastAsia="宋体" w:hAnsi="Times New Roman"/>
      <w:b/>
      <w:bCs/>
      <w:kern w:val="0"/>
      <w:sz w:val="18"/>
      <w:szCs w:val="18"/>
    </w:rPr>
  </w:style>
  <w:style w:type="paragraph" w:customStyle="1" w:styleId="238">
    <w:name w:val="xl429"/>
    <w:basedOn w:val="0"/>
    <w:pPr>
      <w:widowControl/>
      <w:pBdr>
        <w:top w:val="single" w:sz="4" w:space="0" w:color="auto"/>
        <w:bottom w:val="single" w:sz="4" w:space="0" w:color="auto"/>
      </w:pBdr>
      <w:adjustRightInd/>
      <w:snapToGrid/>
      <w:spacing w:before="100" w:beforeAutospacing="1" w:after="100" w:afterAutospacing="1" w:line="240" w:lineRule="auto"/>
      <w:ind w:firstLineChars="0" w:firstLine="0"/>
      <w:jc w:val="center"/>
    </w:pPr>
    <w:rPr>
      <w:rFonts w:ascii="Times New Roman" w:eastAsia="宋体" w:hAnsi="Times New Roman"/>
      <w:b/>
      <w:bCs/>
      <w:kern w:val="0"/>
      <w:sz w:val="18"/>
      <w:szCs w:val="18"/>
    </w:rPr>
  </w:style>
  <w:style w:type="paragraph" w:customStyle="1" w:styleId="239">
    <w:name w:val="xl430"/>
    <w:basedOn w:val="0"/>
    <w:pPr>
      <w:widowControl/>
      <w:pBdr>
        <w:top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Times New Roman" w:eastAsia="宋体" w:hAnsi="Times New Roman"/>
      <w:b/>
      <w:bCs/>
      <w:kern w:val="0"/>
      <w:sz w:val="18"/>
      <w:szCs w:val="18"/>
    </w:rPr>
  </w:style>
  <w:style w:type="paragraph" w:customStyle="1" w:styleId="240">
    <w:name w:val="xl431"/>
    <w:basedOn w:val="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Times New Roman" w:eastAsia="宋体" w:hAnsi="Times New Roman"/>
      <w:b/>
      <w:bCs/>
      <w:kern w:val="0"/>
      <w:sz w:val="18"/>
      <w:szCs w:val="18"/>
    </w:rPr>
  </w:style>
  <w:style w:type="paragraph" w:customStyle="1" w:styleId="241">
    <w:name w:val="xl432"/>
    <w:basedOn w:val="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Times New Roman" w:eastAsia="宋体" w:hAnsi="Times New Roman"/>
      <w:b/>
      <w:bCs/>
      <w:kern w:val="0"/>
      <w:sz w:val="18"/>
      <w:szCs w:val="18"/>
    </w:rPr>
  </w:style>
  <w:style w:type="paragraph" w:customStyle="1" w:styleId="242">
    <w:name w:val="xl433"/>
    <w:basedOn w:val="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Times New Roman" w:eastAsia="宋体" w:hAnsi="Times New Roman"/>
      <w:b/>
      <w:bCs/>
      <w:kern w:val="0"/>
      <w:sz w:val="18"/>
      <w:szCs w:val="18"/>
    </w:rPr>
  </w:style>
  <w:style w:type="paragraph" w:customStyle="1" w:styleId="243">
    <w:name w:val="xl434"/>
    <w:basedOn w:val="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Times New Roman" w:eastAsia="宋体" w:hAnsi="Times New Roman"/>
      <w:b/>
      <w:bCs/>
      <w:kern w:val="0"/>
      <w:sz w:val="18"/>
      <w:szCs w:val="18"/>
    </w:rPr>
  </w:style>
  <w:style w:type="character" w:customStyle="1" w:styleId="244">
    <w:name w:val="电子邮件签名 字符"/>
    <w:basedOn w:val="10"/>
    <w:rPr>
      <w:rFonts w:ascii="Times New Roman" w:eastAsia="仿宋_GB2312" w:cs="Times New Roman" w:hAnsi="Times New Roman"/>
      <w:sz w:val="28"/>
      <w:szCs w:val="28"/>
    </w:rPr>
  </w:style>
  <w:style w:type="paragraph" w:customStyle="1" w:styleId="245">
    <w:name w:val="td1"/>
    <w:basedOn w:val="0"/>
    <w:next w:val="0"/>
    <w:pPr>
      <w:widowControl/>
      <w:adjustRightInd/>
      <w:snapToGrid/>
      <w:spacing w:before="280" w:after="280" w:line="300" w:lineRule="atLeast"/>
      <w:ind w:firstLineChars="0" w:firstLine="0"/>
    </w:pPr>
    <w:rPr>
      <w:rFonts w:ascii="等线" w:eastAsia="等线"/>
      <w:color w:val="000000"/>
      <w:sz w:val="18"/>
    </w:rPr>
  </w:style>
  <w:style w:type="paragraph" w:customStyle="1" w:styleId="246">
    <w:name w:val="LZ-正文"/>
    <w:basedOn w:val="0"/>
    <w:pPr>
      <w:widowControl/>
      <w:adjustRightInd/>
      <w:snapToGrid/>
    </w:pPr>
    <w:rPr>
      <w:rFonts w:ascii="Times New Roman" w:eastAsia="宋体" w:cs="仿宋" w:hAnsi="Times New Roman"/>
      <w:color w:val="000000"/>
      <w:kern w:val="0"/>
      <w:sz w:val="24"/>
      <w:szCs w:val="28"/>
      <w:lang w:val="zh-CN"/>
    </w:rPr>
  </w:style>
  <w:style w:type="paragraph" w:customStyle="1" w:styleId="247">
    <w:name w:val="Table Paragraph"/>
    <w:basedOn w:val="0"/>
    <w:pPr>
      <w:adjustRightInd/>
      <w:snapToGrid/>
      <w:spacing w:before="61" w:line="240" w:lineRule="auto"/>
      <w:ind w:firstLineChars="0" w:firstLine="0"/>
      <w:jc w:val="center"/>
    </w:pPr>
    <w:rPr>
      <w:rFonts w:ascii="宋体" w:eastAsia="宋体" w:cs="宋体"/>
      <w:sz w:val="21"/>
      <w:lang w:val="zh-CN" w:bidi="zh-CN"/>
    </w:rPr>
  </w:style>
  <w:style w:type="paragraph" w:customStyle="1" w:styleId="248">
    <w:name w:val="图表-VOC"/>
    <w:basedOn w:val="0"/>
    <w:next w:val="0"/>
    <w:pPr>
      <w:adjustRightInd/>
      <w:snapToGrid/>
      <w:spacing w:before="120" w:line="240" w:lineRule="auto"/>
      <w:ind w:firstLineChars="0" w:firstLine="0"/>
      <w:jc w:val="center"/>
    </w:pPr>
    <w:rPr>
      <w:rFonts w:ascii="Times New Roman" w:eastAsia="宋体" w:hAnsi="Times New Roman"/>
      <w:b/>
      <w:sz w:val="24"/>
      <w:szCs w:val="21"/>
    </w:rPr>
  </w:style>
  <w:style w:type="character" w:customStyle="1" w:styleId="249">
    <w:name w:val="副标题 字符"/>
    <w:basedOn w:val="10"/>
    <w:rPr>
      <w:b/>
      <w:bCs/>
      <w:kern w:val="28"/>
      <w:sz w:val="32"/>
      <w:szCs w:val="32"/>
    </w:rPr>
  </w:style>
  <w:style w:type="paragraph" w:customStyle="1" w:styleId="250">
    <w:name w:val="Quote"/>
    <w:basedOn w:val="0"/>
    <w:next w:val="0"/>
    <w:pPr>
      <w:adjustRightInd/>
      <w:snapToGrid/>
      <w:spacing w:line="240" w:lineRule="auto"/>
      <w:ind w:firstLineChars="0" w:firstLine="0"/>
    </w:pPr>
    <w:rPr>
      <w:rFonts w:eastAsia="宋体"/>
      <w:i/>
      <w:iCs/>
      <w:color w:val="000000"/>
      <w:sz w:val="21"/>
    </w:rPr>
  </w:style>
  <w:style w:type="character" w:customStyle="1" w:styleId="251">
    <w:name w:val="引用 Char"/>
    <w:basedOn w:val="10"/>
    <w:rPr>
      <w:rFonts w:ascii="Calibri" w:eastAsia="仿宋_GB2312" w:cs="Times New Roman" w:hAnsi="Calibri"/>
      <w:i/>
      <w:iCs/>
      <w:color w:val="000000"/>
      <w:sz w:val="30"/>
    </w:rPr>
  </w:style>
  <w:style w:type="character" w:customStyle="1" w:styleId="252">
    <w:name w:val="引用 字符"/>
    <w:basedOn w:val="10"/>
    <w:rPr>
      <w:rFonts w:ascii="Times New Roman" w:eastAsia="仿宋_GB2312" w:cs="Times New Roman" w:hAnsi="Times New Roman"/>
      <w:i/>
      <w:iCs/>
      <w:color w:val="404040"/>
      <w:sz w:val="28"/>
      <w:szCs w:val="28"/>
    </w:rPr>
  </w:style>
  <w:style w:type="paragraph" w:customStyle="1" w:styleId="253">
    <w:name w:val="Intense Quote"/>
    <w:basedOn w:val="0"/>
    <w:next w:val="0"/>
    <w:pPr>
      <w:pBdr>
        <w:bottom w:val="single" w:sz="4" w:space="4" w:color="4F81BD"/>
      </w:pBdr>
      <w:adjustRightInd/>
      <w:snapToGrid/>
      <w:spacing w:before="200" w:after="280" w:line="240" w:lineRule="auto"/>
      <w:ind w:left="936" w:right="936" w:firstLineChars="0" w:firstLine="0"/>
    </w:pPr>
    <w:rPr>
      <w:rFonts w:eastAsia="宋体"/>
      <w:b/>
      <w:bCs/>
      <w:i/>
      <w:iCs/>
      <w:color w:val="4F81BD"/>
      <w:sz w:val="21"/>
    </w:rPr>
  </w:style>
  <w:style w:type="character" w:customStyle="1" w:styleId="254">
    <w:name w:val="明显引用 Char"/>
    <w:basedOn w:val="10"/>
    <w:rPr>
      <w:rFonts w:ascii="Calibri" w:eastAsia="仿宋_GB2312" w:cs="Times New Roman" w:hAnsi="Calibri"/>
      <w:b/>
      <w:bCs/>
      <w:i/>
      <w:iCs/>
      <w:color w:val="5B9BD5"/>
      <w:sz w:val="30"/>
    </w:rPr>
  </w:style>
  <w:style w:type="character" w:customStyle="1" w:styleId="255">
    <w:name w:val="明显引用 字符"/>
    <w:basedOn w:val="10"/>
    <w:rPr>
      <w:rFonts w:ascii="Times New Roman" w:eastAsia="仿宋_GB2312" w:cs="Times New Roman" w:hAnsi="Times New Roman"/>
      <w:i/>
      <w:iCs/>
      <w:color w:val="5B9BD5"/>
      <w:sz w:val="28"/>
      <w:szCs w:val="28"/>
    </w:rPr>
  </w:style>
  <w:style w:type="character" w:customStyle="1" w:styleId="256">
    <w:name w:val="不明显强调1"/>
    <w:rPr>
      <w:i/>
      <w:iCs/>
      <w:color w:val="808080"/>
    </w:rPr>
  </w:style>
  <w:style w:type="character" w:customStyle="1" w:styleId="257">
    <w:name w:val="明显强调1"/>
    <w:rPr>
      <w:b/>
      <w:bCs/>
      <w:i/>
      <w:iCs/>
      <w:color w:val="4F81BD"/>
    </w:rPr>
  </w:style>
  <w:style w:type="character" w:customStyle="1" w:styleId="258">
    <w:name w:val="不明显参考1"/>
    <w:rPr>
      <w:caps w:val="0"/>
      <w:smallCaps/>
      <w:color w:val="C0504D"/>
      <w:u w:val="single"/>
    </w:rPr>
  </w:style>
  <w:style w:type="character" w:customStyle="1" w:styleId="259">
    <w:name w:val="明显参考1"/>
    <w:rPr>
      <w:b/>
      <w:bCs/>
      <w:caps w:val="0"/>
      <w:smallCaps/>
      <w:color w:val="C0504D"/>
      <w:spacing w:val="5"/>
      <w:u w:val="single"/>
    </w:rPr>
  </w:style>
  <w:style w:type="character" w:customStyle="1" w:styleId="260">
    <w:name w:val="fontstyle01"/>
    <w:rPr>
      <w:rFonts w:ascii="宋体" w:eastAsia="宋体" w:cs="宋体"/>
      <w:color w:val="000000"/>
      <w:sz w:val="22"/>
      <w:szCs w:val="22"/>
    </w:rPr>
  </w:style>
  <w:style w:type="character" w:customStyle="1" w:styleId="261">
    <w:name w:val="fontstyle11"/>
    <w:rPr>
      <w:rFonts w:ascii="仿宋_GB2312" w:eastAsia="仿宋_GB2312" w:cs="仿宋_GB2312"/>
      <w:color w:val="000000"/>
      <w:sz w:val="28"/>
      <w:szCs w:val="28"/>
    </w:rPr>
  </w:style>
  <w:style w:type="character" w:customStyle="1" w:styleId="262">
    <w:name w:val="fontstyle31"/>
    <w:rPr>
      <w:rFonts w:ascii="Times New Roman" w:cs="Times New Roman" w:hAnsi="Times New Roman"/>
      <w:color w:val="000000"/>
      <w:sz w:val="28"/>
      <w:szCs w:val="28"/>
    </w:rPr>
  </w:style>
  <w:style w:type="paragraph" w:customStyle="1" w:styleId="263">
    <w:name w:val="样式 仿宋_GB2312 四号"/>
    <w:basedOn w:val="0"/>
    <w:pPr>
      <w:adjustRightInd/>
      <w:snapToGrid/>
      <w:spacing w:line="240" w:lineRule="auto"/>
    </w:pPr>
    <w:rPr>
      <w:rFonts w:ascii="仿宋_GB2312" w:cs="宋体"/>
      <w:sz w:val="28"/>
      <w:szCs w:val="20"/>
    </w:rPr>
  </w:style>
  <w:style w:type="character" w:customStyle="1" w:styleId="264">
    <w:name w:val="font31"/>
    <w:rPr>
      <w:rFonts w:ascii="Times New Roman" w:cs="Times New Roman" w:hAnsi="Times New Roman"/>
      <w:b/>
      <w:color w:val="000000"/>
      <w:sz w:val="21"/>
      <w:szCs w:val="21"/>
      <w:u w:val="none"/>
    </w:rPr>
  </w:style>
  <w:style w:type="paragraph" w:customStyle="1" w:styleId="265">
    <w:name w:val="WPSOffice手动目录 1"/>
    <w:rPr>
      <w:rFonts w:ascii="Calibri" w:eastAsia="宋体" w:cs="Times New Roman" w:hAnsi="Calibri"/>
      <w:sz w:val="20"/>
      <w:szCs w:val="20"/>
      <w:lang w:val="en-US" w:eastAsia="zh-CN" w:bidi="ar-SA"/>
    </w:rPr>
  </w:style>
  <w:style w:type="paragraph" w:customStyle="1" w:styleId="266">
    <w:name w:val="WPSOffice手动目录 2"/>
    <w:pPr>
      <w:ind w:leftChars="200" w:left="200"/>
    </w:pPr>
    <w:rPr>
      <w:rFonts w:ascii="Calibri" w:eastAsia="宋体" w:cs="Times New Roman" w:hAnsi="Calibri"/>
      <w:sz w:val="20"/>
      <w:szCs w:val="20"/>
      <w:lang w:val="en-US" w:eastAsia="zh-CN" w:bidi="ar-SA"/>
    </w:rPr>
  </w:style>
  <w:style w:type="character" w:customStyle="1" w:styleId="267">
    <w:name w:val="font71"/>
    <w:rPr>
      <w:rFonts w:ascii="宋体" w:eastAsia="宋体" w:cs="宋体"/>
      <w:b/>
      <w:color w:val="000000"/>
      <w:sz w:val="18"/>
      <w:szCs w:val="18"/>
      <w:u w:val="none"/>
    </w:rPr>
  </w:style>
  <w:style w:type="character" w:customStyle="1" w:styleId="268">
    <w:name w:val="font51"/>
    <w:rPr>
      <w:rFonts w:ascii="宋体" w:eastAsia="宋体" w:cs="宋体"/>
      <w:color w:val="000000"/>
      <w:sz w:val="18"/>
      <w:szCs w:val="18"/>
      <w:u w:val="none"/>
    </w:rPr>
  </w:style>
  <w:style w:type="character" w:customStyle="1" w:styleId="269">
    <w:name w:val="doc-header-title"/>
    <w:basedOn w:val="10"/>
  </w:style>
  <w:style w:type="paragraph" w:customStyle="1" w:styleId="270">
    <w:name w:val="msonormal"/>
    <w:basedOn w:val="0"/>
    <w:pPr>
      <w:widowControl/>
      <w:adjustRightInd/>
      <w:snapToGrid/>
      <w:spacing w:before="100" w:beforeAutospacing="1" w:after="100" w:afterAutospacing="1" w:line="240" w:lineRule="auto"/>
      <w:ind w:firstLineChars="0" w:firstLine="0"/>
      <w:jc w:val="left"/>
    </w:pPr>
    <w:rPr>
      <w:rFonts w:ascii="宋体" w:eastAsia="宋体" w:cs="宋体"/>
      <w:kern w:val="0"/>
      <w:sz w:val="24"/>
      <w:szCs w:val="24"/>
    </w:rPr>
  </w:style>
  <w:style w:type="paragraph" w:customStyle="1" w:styleId="271">
    <w:name w:val="新正文 Char"/>
    <w:basedOn w:val="0"/>
    <w:pPr>
      <w:adjustRightInd/>
      <w:snapToGrid/>
    </w:pPr>
    <w:rPr>
      <w:rFonts w:ascii="Calibri" w:eastAsia="宋体" w:cs="Arial" w:hAnsi="Calibri"/>
      <w:sz w:val="24"/>
      <w:szCs w:val="24"/>
    </w:rPr>
  </w:style>
  <w:style w:type="paragraph" w:customStyle="1" w:styleId="272">
    <w:name w:val="6表(图)头(治)"/>
    <w:next w:val="0"/>
    <w:pPr>
      <w:widowControl w:val="0"/>
      <w:jc w:val="center"/>
    </w:pPr>
    <w:rPr>
      <w:rFonts w:ascii="Times New Roman" w:eastAsia="黑体" w:cs="Times New Roman" w:hAnsi="Times New Roman"/>
      <w:b/>
      <w:bCs/>
      <w:sz w:val="24"/>
      <w:szCs w:val="30"/>
      <w:lang w:val="en-US" w:eastAsia="zh-CN" w:bidi="ar-SA"/>
    </w:rPr>
  </w:style>
  <w:style w:type="paragraph" w:customStyle="1" w:styleId="273">
    <w:name w:val="文本"/>
    <w:pPr>
      <w:adjustRightInd w:val="0"/>
      <w:snapToGrid w:val="0"/>
      <w:spacing w:line="360" w:lineRule="auto"/>
      <w:ind w:firstLineChars="200" w:firstLine="200"/>
      <w:jc w:val="both"/>
    </w:pPr>
    <w:rPr>
      <w:rFonts w:ascii="Times New Roman" w:eastAsia="宋体" w:cs="Times New Roman" w:hAnsi="Times New Roman"/>
      <w:kern w:val="2"/>
      <w:sz w:val="24"/>
      <w:szCs w:val="24"/>
      <w:lang w:val="en-US" w:eastAsia="zh-CN" w:bidi="ar-SA"/>
    </w:rPr>
  </w:style>
  <w:style w:type="character" w:customStyle="1" w:styleId="274">
    <w:name w:val="HTML 预设格式 字符"/>
    <w:basedOn w:val="10"/>
    <w:rPr>
      <w:rFonts w:ascii="Courier New" w:eastAsia="仿宋_GB2312" w:cs="Courier New" w:hAnsi="Courier New"/>
      <w:sz w:val="20"/>
      <w:szCs w:val="20"/>
    </w:rPr>
  </w:style>
  <w:style w:type="paragraph" w:customStyle="1" w:styleId="275">
    <w:name w:val="正文文本缩进1"/>
    <w:basedOn w:val="0"/>
    <w:next w:val="26"/>
    <w:pPr>
      <w:widowControl/>
      <w:adjustRightInd/>
      <w:snapToGrid/>
      <w:spacing w:line="260" w:lineRule="exact"/>
      <w:ind w:firstLineChars="0" w:firstLine="0"/>
      <w:jc w:val="center"/>
    </w:pPr>
    <w:rPr>
      <w:rFonts w:ascii="Times New Roman" w:hAnsi="Times New Roman"/>
      <w:sz w:val="28"/>
      <w:szCs w:val="28"/>
    </w:rPr>
  </w:style>
  <w:style w:type="character" w:customStyle="1" w:styleId="276">
    <w:name w:val="正文文本缩进 2 字符"/>
    <w:basedOn w:val="10"/>
    <w:rPr>
      <w:rFonts w:ascii="Times New Roman" w:eastAsia="仿宋_GB2312" w:cs="Times New Roman" w:hAnsi="Times New Roman"/>
      <w:sz w:val="28"/>
      <w:szCs w:val="28"/>
    </w:rPr>
  </w:style>
  <w:style w:type="character" w:customStyle="1" w:styleId="277">
    <w:name w:val="正文文本缩进 3 字符"/>
    <w:basedOn w:val="10"/>
    <w:rPr>
      <w:rFonts w:ascii="Times New Roman" w:eastAsia="仿宋_GB2312" w:cs="Times New Roman" w:hAnsi="Times New Roman"/>
      <w:sz w:val="16"/>
      <w:szCs w:val="16"/>
    </w:rPr>
  </w:style>
  <w:style w:type="character" w:customStyle="1" w:styleId="278">
    <w:name w:val="页脚 字符1"/>
    <w:rPr>
      <w:sz w:val="18"/>
      <w:szCs w:val="18"/>
    </w:rPr>
  </w:style>
  <w:style w:type="paragraph" w:customStyle="1" w:styleId="279">
    <w:name w:val="样式 (中文) 黑体 小四 居中 行距: 1.5 倍行距"/>
    <w:basedOn w:val="0"/>
    <w:pPr>
      <w:jc w:val="center"/>
    </w:pPr>
    <w:rPr>
      <w:rFonts w:ascii="Times New Roman" w:eastAsia="黑体" w:cs="宋体" w:hAnsi="Times New Roman"/>
      <w:sz w:val="24"/>
      <w:szCs w:val="20"/>
    </w:rPr>
  </w:style>
  <w:style w:type="character" w:customStyle="1" w:styleId="280">
    <w:name w:val="NormalCharacter"/>
  </w:style>
  <w:style w:type="paragraph" w:customStyle="1" w:styleId="281">
    <w:name w:val="样式 宋体 四号"/>
    <w:basedOn w:val="0"/>
    <w:pPr>
      <w:adjustRightInd/>
      <w:snapToGrid/>
      <w:spacing w:line="312" w:lineRule="auto"/>
      <w:ind w:firstLineChars="257" w:firstLine="257"/>
    </w:pPr>
    <w:rPr>
      <w:rFonts w:ascii="仿宋_GB2312" w:cs="宋体"/>
      <w:szCs w:val="20"/>
    </w:rPr>
  </w:style>
  <w:style w:type="paragraph" w:customStyle="1" w:styleId="282">
    <w:name w:val="表格标题xiaowo"/>
    <w:basedOn w:val="0"/>
    <w:pPr>
      <w:adjustRightInd/>
      <w:snapToGrid/>
      <w:ind w:firstLineChars="0" w:firstLine="0"/>
      <w:jc w:val="center"/>
    </w:pPr>
    <w:rPr>
      <w:rFonts w:ascii="Times New Roman" w:eastAsia="宋体" w:hAnsi="Times New Roman"/>
      <w:b/>
      <w:sz w:val="24"/>
      <w:szCs w:val="21"/>
    </w:rPr>
  </w:style>
  <w:style w:type="paragraph" w:customStyle="1" w:styleId="283">
    <w:name w:val="表格内容xiaowo"/>
    <w:basedOn w:val="0"/>
    <w:pPr>
      <w:adjustRightInd/>
      <w:snapToGrid/>
      <w:spacing w:line="240" w:lineRule="auto"/>
      <w:ind w:firstLineChars="0" w:firstLine="0"/>
    </w:pPr>
    <w:rPr>
      <w:rFonts w:ascii="Times New Roman" w:eastAsia="宋体" w:hAnsi="Times New Roman"/>
      <w:sz w:val="21"/>
      <w:szCs w:val="21"/>
    </w:rPr>
  </w:style>
  <w:style w:type="paragraph" w:customStyle="1" w:styleId="284">
    <w:name w:val="Titre B1"/>
    <w:basedOn w:val="0"/>
    <w:next w:val="0"/>
    <w:pPr>
      <w:keepNext/>
      <w:keepLines/>
      <w:widowControl w:val="0"/>
      <w:adjustRightInd/>
      <w:snapToGrid/>
      <w:spacing w:before="260" w:after="260" w:line="415" w:lineRule="auto"/>
      <w:ind w:firstLineChars="0" w:firstLine="0"/>
      <w:outlineLvl w:val="1"/>
    </w:pPr>
    <w:rPr>
      <w:rFonts w:ascii="等线 Light" w:eastAsia="等线 Light"/>
      <w:b/>
      <w:bCs/>
      <w:sz w:val="32"/>
      <w:szCs w:val="32"/>
    </w:rPr>
  </w:style>
  <w:style w:type="paragraph" w:customStyle="1" w:styleId="285">
    <w:name w:val="标题 41"/>
    <w:basedOn w:val="0"/>
    <w:next w:val="0"/>
    <w:pPr>
      <w:keepNext/>
      <w:keepLines/>
      <w:widowControl w:val="0"/>
      <w:adjustRightInd/>
      <w:snapToGrid/>
      <w:spacing w:before="280" w:after="290" w:line="377" w:lineRule="auto"/>
      <w:ind w:firstLineChars="0" w:firstLine="0"/>
      <w:outlineLvl w:val="3"/>
    </w:pPr>
    <w:rPr>
      <w:rFonts w:ascii="等线 Light" w:eastAsia="等线 Light"/>
      <w:b/>
      <w:bCs/>
      <w:szCs w:val="28"/>
    </w:rPr>
  </w:style>
  <w:style w:type="paragraph" w:customStyle="1" w:styleId="286">
    <w:name w:val="标题 51"/>
    <w:basedOn w:val="0"/>
    <w:next w:val="0"/>
    <w:pPr>
      <w:keepNext/>
      <w:keepLines/>
      <w:widowControl w:val="0"/>
      <w:adjustRightInd/>
      <w:snapToGrid/>
      <w:spacing w:before="280" w:after="290" w:line="377" w:lineRule="auto"/>
      <w:ind w:firstLineChars="0" w:firstLine="0"/>
      <w:outlineLvl w:val="4"/>
    </w:pPr>
    <w:rPr>
      <w:rFonts w:ascii="等线" w:eastAsia="宋体" w:hAnsi="等线"/>
      <w:b/>
      <w:bCs/>
      <w:szCs w:val="28"/>
    </w:rPr>
  </w:style>
  <w:style w:type="paragraph" w:customStyle="1" w:styleId="287">
    <w:name w:val="表名"/>
    <w:basedOn w:val="0"/>
    <w:pPr>
      <w:adjustRightInd/>
      <w:snapToGrid/>
      <w:spacing w:beforeLines="50" w:before="50"/>
      <w:ind w:firstLineChars="0" w:firstLine="0"/>
      <w:jc w:val="center"/>
    </w:pPr>
    <w:rPr>
      <w:rFonts w:ascii="Times New Roman" w:cs="宋体" w:hAnsi="Times New Roman"/>
      <w:b/>
      <w:color w:val="000000"/>
      <w:spacing w:val="-4"/>
      <w:sz w:val="24"/>
      <w:szCs w:val="24"/>
    </w:rPr>
  </w:style>
  <w:style w:type="paragraph" w:customStyle="1" w:styleId="288">
    <w:name w:val="实德题注1"/>
    <w:basedOn w:val="0"/>
    <w:next w:val="0"/>
    <w:pPr>
      <w:adjustRightInd/>
      <w:snapToGrid/>
      <w:spacing w:line="240" w:lineRule="auto"/>
      <w:ind w:firstLineChars="0" w:firstLine="0"/>
    </w:pPr>
    <w:rPr>
      <w:rFonts w:ascii="等线 Light" w:eastAsia="黑体" w:hAnsi="等线 Light"/>
      <w:sz w:val="20"/>
      <w:szCs w:val="20"/>
    </w:rPr>
  </w:style>
  <w:style w:type="paragraph" w:customStyle="1" w:styleId="289">
    <w:name w:val="样式9"/>
    <w:basedOn w:val="2"/>
    <w:pPr>
      <w:adjustRightInd/>
      <w:snapToGrid/>
      <w:spacing w:before="260" w:after="260" w:line="415" w:lineRule="auto"/>
    </w:pPr>
    <w:rPr>
      <w:rFonts w:ascii="等线 Light" w:eastAsia="等线 Light" w:cs="Times New Roman"/>
      <w:b/>
      <w:sz w:val="32"/>
    </w:rPr>
  </w:style>
  <w:style w:type="paragraph" w:customStyle="1" w:styleId="290">
    <w:name w:val="列表段落1"/>
    <w:basedOn w:val="0"/>
    <w:next w:val="101"/>
    <w:pPr>
      <w:adjustRightInd/>
      <w:snapToGrid/>
      <w:spacing w:line="240" w:lineRule="auto"/>
    </w:pPr>
    <w:rPr>
      <w:rFonts w:ascii="等线" w:eastAsia="宋体" w:hAnsi="等线"/>
      <w:sz w:val="21"/>
    </w:rPr>
  </w:style>
  <w:style w:type="paragraph" w:customStyle="1" w:styleId="291">
    <w:name w:val="正文图件"/>
    <w:basedOn w:val="0"/>
    <w:pPr>
      <w:spacing w:line="240" w:lineRule="auto"/>
      <w:ind w:firstLineChars="0" w:firstLine="0"/>
      <w:jc w:val="center"/>
    </w:pPr>
    <w:rPr>
      <w:rFonts w:ascii="等线" w:eastAsia="宋体" w:hAnsi="等线"/>
      <w:kern w:val="0"/>
      <w:sz w:val="24"/>
      <w:szCs w:val="24"/>
    </w:rPr>
  </w:style>
  <w:style w:type="paragraph" w:customStyle="1" w:styleId="292">
    <w:name w:val="文档结构图1"/>
    <w:basedOn w:val="0"/>
    <w:next w:val="23"/>
    <w:pPr>
      <w:adjustRightInd/>
      <w:snapToGrid/>
      <w:spacing w:line="240" w:lineRule="auto"/>
      <w:ind w:firstLineChars="0" w:firstLine="0"/>
    </w:pPr>
    <w:rPr>
      <w:rFonts w:ascii="宋体" w:eastAsia="宋体"/>
      <w:sz w:val="18"/>
      <w:szCs w:val="18"/>
    </w:rPr>
  </w:style>
  <w:style w:type="paragraph" w:customStyle="1" w:styleId="293">
    <w:name w:val="常用标题2"/>
    <w:basedOn w:val="2"/>
    <w:pPr>
      <w:adjustRightInd/>
      <w:snapToGrid/>
      <w:spacing w:before="260" w:after="260" w:line="415" w:lineRule="auto"/>
    </w:pPr>
    <w:rPr>
      <w:rFonts w:ascii="等线 Light" w:eastAsia="等线 Light" w:cs="Times New Roman"/>
      <w:b/>
      <w:sz w:val="32"/>
    </w:rPr>
  </w:style>
  <w:style w:type="paragraph" w:customStyle="1" w:styleId="294">
    <w:name w:val="图表标题"/>
    <w:basedOn w:val="0"/>
    <w:pPr>
      <w:adjustRightInd/>
      <w:snapToGrid/>
      <w:spacing w:beforeLines="50" w:before="50" w:afterLines="50" w:after="50" w:line="240" w:lineRule="auto"/>
      <w:jc w:val="center"/>
    </w:pPr>
    <w:rPr>
      <w:rFonts w:ascii="Times New Roman" w:eastAsia="宋体" w:hAnsi="Times New Roman"/>
      <w:b/>
      <w:bCs/>
      <w:color w:val="000000"/>
      <w:kern w:val="0"/>
      <w:sz w:val="24"/>
      <w:szCs w:val="21"/>
    </w:rPr>
  </w:style>
  <w:style w:type="paragraph" w:customStyle="1" w:styleId="295">
    <w:name w:val="表格正文"/>
    <w:pPr>
      <w:spacing w:before="50" w:after="50"/>
      <w:jc w:val="center"/>
    </w:pPr>
    <w:rPr>
      <w:rFonts w:ascii="Times New Roman" w:eastAsia="宋体" w:cs="Times New Roman" w:hAnsi="Times New Roman"/>
      <w:color w:val="000000"/>
      <w:sz w:val="18"/>
      <w:szCs w:val="21"/>
      <w:lang w:val="en-US" w:eastAsia="zh-CN" w:bidi="ar-SA"/>
    </w:rPr>
  </w:style>
  <w:style w:type="paragraph" w:customStyle="1" w:styleId="296">
    <w:name w:val="表格alt+b"/>
    <w:basedOn w:val="0"/>
    <w:pPr>
      <w:tabs>
        <w:tab w:val="left" w:pos="1526"/>
      </w:tabs>
      <w:adjustRightInd/>
      <w:snapToGrid/>
      <w:spacing w:beforeLines="50" w:before="50" w:afterLines="50" w:after="50"/>
    </w:pPr>
    <w:rPr>
      <w:rFonts w:ascii="仿宋_GB2312" w:cs="仿宋_GB2312"/>
      <w:b/>
      <w:color w:val="000000"/>
      <w:kern w:val="0"/>
      <w:sz w:val="24"/>
      <w:szCs w:val="24"/>
    </w:rPr>
  </w:style>
  <w:style w:type="character" w:customStyle="1" w:styleId="297">
    <w:name w:val="批注文字 字符1"/>
    <w:rPr>
      <w:rFonts w:ascii="等线" w:eastAsia="等线" w:cs="Times New Roman"/>
    </w:rPr>
  </w:style>
  <w:style w:type="paragraph" w:customStyle="1" w:styleId="298">
    <w:name w:val="样式 一、 + 首行缩进:  2 字符 段前: 0.5 行 段后: 0.5 行"/>
    <w:basedOn w:val="0"/>
    <w:pPr>
      <w:adjustRightInd/>
      <w:snapToGrid/>
      <w:spacing w:beforeLines="50" w:before="50" w:afterLines="50" w:after="50" w:line="700" w:lineRule="exact"/>
      <w:jc w:val="left"/>
      <w:outlineLvl w:val="1"/>
    </w:pPr>
    <w:rPr>
      <w:rFonts w:ascii="宋体" w:eastAsia="黑体" w:cs="宋体" w:hAnsi="宋体"/>
      <w:color w:val="000000"/>
      <w:spacing w:val="6"/>
      <w:kern w:val="0"/>
      <w:szCs w:val="20"/>
      <w:lang w:val="zh-CN"/>
    </w:rPr>
  </w:style>
  <w:style w:type="paragraph" w:customStyle="1" w:styleId="299">
    <w:name w:val="TOC 21"/>
    <w:basedOn w:val="0"/>
    <w:next w:val="0"/>
    <w:pPr>
      <w:widowControl/>
      <w:adjustRightInd/>
      <w:snapToGrid/>
      <w:spacing w:beforeLines="50" w:before="50" w:afterLines="50" w:after="50" w:line="259" w:lineRule="auto"/>
      <w:ind w:left="220"/>
      <w:jc w:val="left"/>
    </w:pPr>
    <w:rPr>
      <w:rFonts w:ascii="仿宋_GB2312"/>
      <w:color w:val="000000"/>
      <w:kern w:val="0"/>
      <w:sz w:val="22"/>
      <w:szCs w:val="24"/>
    </w:rPr>
  </w:style>
  <w:style w:type="paragraph" w:customStyle="1" w:styleId="300">
    <w:name w:val="TOC 11"/>
    <w:basedOn w:val="0"/>
    <w:next w:val="0"/>
    <w:pPr>
      <w:widowControl/>
      <w:adjustRightInd/>
      <w:snapToGrid/>
      <w:spacing w:beforeLines="50" w:before="50" w:afterLines="50" w:after="50" w:line="259" w:lineRule="auto"/>
      <w:jc w:val="left"/>
    </w:pPr>
    <w:rPr>
      <w:rFonts w:ascii="仿宋_GB2312"/>
      <w:color w:val="000000"/>
      <w:kern w:val="0"/>
      <w:sz w:val="22"/>
      <w:szCs w:val="24"/>
    </w:rPr>
  </w:style>
  <w:style w:type="paragraph" w:customStyle="1" w:styleId="301">
    <w:name w:val="TOC 31"/>
    <w:basedOn w:val="0"/>
    <w:next w:val="0"/>
    <w:pPr>
      <w:widowControl/>
      <w:adjustRightInd/>
      <w:snapToGrid/>
      <w:spacing w:beforeLines="50" w:before="50" w:afterLines="50" w:after="50" w:line="259" w:lineRule="auto"/>
      <w:ind w:left="440"/>
      <w:jc w:val="left"/>
    </w:pPr>
    <w:rPr>
      <w:rFonts w:ascii="仿宋_GB2312"/>
      <w:color w:val="000000"/>
      <w:kern w:val="0"/>
      <w:sz w:val="22"/>
      <w:szCs w:val="24"/>
    </w:rPr>
  </w:style>
  <w:style w:type="character" w:customStyle="1" w:styleId="302">
    <w:name w:val="超链接1"/>
    <w:rPr>
      <w:color w:val="0563C1"/>
      <w:u w:val="single"/>
    </w:rPr>
  </w:style>
  <w:style w:type="paragraph" w:customStyle="1" w:styleId="303">
    <w:name w:val="段落"/>
    <w:basedOn w:val="0"/>
    <w:pPr>
      <w:adjustRightInd/>
      <w:snapToGrid/>
      <w:spacing w:beforeLines="50" w:before="50" w:afterLines="50" w:after="50"/>
    </w:pPr>
    <w:rPr>
      <w:rFonts w:ascii="Times New Roman" w:eastAsia="宋体" w:hAnsi="Times New Roman"/>
      <w:iCs/>
      <w:color w:val="000000"/>
      <w:kern w:val="0"/>
      <w:sz w:val="24"/>
      <w:szCs w:val="21"/>
    </w:rPr>
  </w:style>
  <w:style w:type="paragraph" w:customStyle="1" w:styleId="304">
    <w:name w:val="Char Char Char Char Char Char Char"/>
    <w:basedOn w:val="0"/>
    <w:pPr>
      <w:adjustRightInd/>
      <w:snapToGrid/>
      <w:spacing w:beforeLines="50" w:before="50" w:afterLines="50" w:after="50"/>
    </w:pPr>
    <w:rPr>
      <w:rFonts w:ascii="Times New Roman" w:eastAsia="宋体" w:hAnsi="Times New Roman"/>
      <w:color w:val="000000"/>
      <w:kern w:val="0"/>
      <w:sz w:val="24"/>
      <w:szCs w:val="24"/>
    </w:rPr>
  </w:style>
  <w:style w:type="paragraph" w:customStyle="1" w:styleId="305">
    <w:name w:val="TOC 41"/>
    <w:basedOn w:val="0"/>
    <w:next w:val="0"/>
    <w:pPr>
      <w:adjustRightInd/>
      <w:snapToGrid/>
      <w:spacing w:beforeLines="50" w:before="50" w:afterLines="50" w:after="50"/>
      <w:ind w:leftChars="600" w:left="600"/>
    </w:pPr>
    <w:rPr>
      <w:rFonts w:ascii="仿宋_GB2312" w:cs="仿宋_GB2312"/>
      <w:color w:val="000000"/>
      <w:kern w:val="0"/>
      <w:sz w:val="24"/>
      <w:szCs w:val="24"/>
    </w:rPr>
  </w:style>
  <w:style w:type="paragraph" w:customStyle="1" w:styleId="306">
    <w:name w:val="TOC 51"/>
    <w:basedOn w:val="0"/>
    <w:next w:val="0"/>
    <w:pPr>
      <w:adjustRightInd/>
      <w:snapToGrid/>
      <w:spacing w:beforeLines="50" w:before="50" w:afterLines="50" w:after="50"/>
      <w:ind w:leftChars="800" w:left="800"/>
    </w:pPr>
    <w:rPr>
      <w:rFonts w:ascii="仿宋_GB2312" w:cs="仿宋_GB2312"/>
      <w:color w:val="000000"/>
      <w:kern w:val="0"/>
      <w:sz w:val="24"/>
      <w:szCs w:val="24"/>
    </w:rPr>
  </w:style>
  <w:style w:type="paragraph" w:customStyle="1" w:styleId="307">
    <w:name w:val="TOC 61"/>
    <w:basedOn w:val="0"/>
    <w:next w:val="0"/>
    <w:pPr>
      <w:adjustRightInd/>
      <w:snapToGrid/>
      <w:spacing w:beforeLines="50" w:before="50" w:afterLines="50" w:after="50"/>
      <w:ind w:leftChars="1000" w:left="1000"/>
    </w:pPr>
    <w:rPr>
      <w:rFonts w:ascii="仿宋_GB2312" w:cs="仿宋_GB2312"/>
      <w:color w:val="000000"/>
      <w:kern w:val="0"/>
      <w:sz w:val="24"/>
      <w:szCs w:val="24"/>
    </w:rPr>
  </w:style>
  <w:style w:type="paragraph" w:customStyle="1" w:styleId="308">
    <w:name w:val="TOC 71"/>
    <w:basedOn w:val="0"/>
    <w:next w:val="0"/>
    <w:pPr>
      <w:adjustRightInd/>
      <w:snapToGrid/>
      <w:spacing w:beforeLines="50" w:before="50" w:afterLines="50" w:after="50"/>
      <w:ind w:leftChars="1200" w:left="1200"/>
    </w:pPr>
    <w:rPr>
      <w:rFonts w:ascii="仿宋_GB2312" w:cs="仿宋_GB2312"/>
      <w:color w:val="000000"/>
      <w:kern w:val="0"/>
      <w:sz w:val="24"/>
      <w:szCs w:val="24"/>
    </w:rPr>
  </w:style>
  <w:style w:type="paragraph" w:customStyle="1" w:styleId="309">
    <w:name w:val="TOC 81"/>
    <w:basedOn w:val="0"/>
    <w:next w:val="0"/>
    <w:pPr>
      <w:adjustRightInd/>
      <w:snapToGrid/>
      <w:spacing w:beforeLines="50" w:before="50" w:afterLines="50" w:after="50"/>
      <w:ind w:leftChars="1400" w:left="1400"/>
    </w:pPr>
    <w:rPr>
      <w:rFonts w:ascii="仿宋_GB2312" w:cs="仿宋_GB2312"/>
      <w:color w:val="000000"/>
      <w:kern w:val="0"/>
      <w:sz w:val="24"/>
      <w:szCs w:val="24"/>
    </w:rPr>
  </w:style>
  <w:style w:type="paragraph" w:customStyle="1" w:styleId="310">
    <w:name w:val="TOC 91"/>
    <w:basedOn w:val="0"/>
    <w:next w:val="0"/>
    <w:pPr>
      <w:adjustRightInd/>
      <w:snapToGrid/>
      <w:spacing w:beforeLines="50" w:before="50" w:afterLines="50" w:after="50"/>
      <w:ind w:leftChars="1600" w:left="1600"/>
    </w:pPr>
    <w:rPr>
      <w:rFonts w:ascii="仿宋_GB2312" w:cs="仿宋_GB2312"/>
      <w:color w:val="000000"/>
      <w:kern w:val="0"/>
      <w:sz w:val="24"/>
      <w:szCs w:val="24"/>
    </w:rPr>
  </w:style>
  <w:style w:type="paragraph" w:customStyle="1" w:styleId="311">
    <w:name w:val="脚注文本1"/>
    <w:basedOn w:val="0"/>
    <w:next w:val="40"/>
    <w:pPr>
      <w:adjustRightInd/>
      <w:snapToGrid w:val="0"/>
      <w:spacing w:beforeLines="50" w:before="50" w:afterLines="50" w:after="50"/>
      <w:jc w:val="left"/>
    </w:pPr>
    <w:rPr>
      <w:rFonts w:ascii="Times New Roman" w:eastAsia="宋体" w:hAnsi="Times New Roman"/>
      <w:sz w:val="18"/>
      <w:szCs w:val="18"/>
    </w:rPr>
  </w:style>
  <w:style w:type="paragraph" w:customStyle="1" w:styleId="312">
    <w:name w:val="标准文字"/>
    <w:basedOn w:val="0"/>
    <w:pPr>
      <w:adjustRightInd/>
      <w:snapToGrid/>
      <w:spacing w:beforeLines="50" w:before="50" w:afterLines="50" w:after="50"/>
    </w:pPr>
    <w:rPr>
      <w:rFonts w:ascii="Times New Roman" w:hAnsi="Times New Roman"/>
      <w:color w:val="000000"/>
      <w:kern w:val="0"/>
      <w:szCs w:val="30"/>
    </w:rPr>
  </w:style>
  <w:style w:type="paragraph" w:customStyle="1" w:styleId="313">
    <w:name w:val="表格标题11"/>
    <w:basedOn w:val="0"/>
    <w:pPr>
      <w:adjustRightInd/>
      <w:snapToGrid/>
      <w:spacing w:line="440" w:lineRule="exact"/>
      <w:ind w:firstLineChars="0" w:firstLine="0"/>
      <w:jc w:val="center"/>
    </w:pPr>
    <w:rPr>
      <w:rFonts w:ascii="黑体" w:eastAsia="黑体" w:cs="宋体"/>
      <w:sz w:val="24"/>
      <w:szCs w:val="28"/>
    </w:rPr>
  </w:style>
  <w:style w:type="paragraph" w:customStyle="1" w:styleId="314">
    <w:name w:val="规划正文"/>
    <w:basedOn w:val="0"/>
    <w:pPr>
      <w:adjustRightInd/>
      <w:snapToGrid/>
      <w:spacing w:line="480" w:lineRule="exact"/>
    </w:pPr>
    <w:rPr>
      <w:rFonts w:ascii="仿宋_GB2312"/>
      <w:szCs w:val="30"/>
    </w:rPr>
  </w:style>
  <w:style w:type="character" w:customStyle="1" w:styleId="315">
    <w:name w:val="font41"/>
    <w:rPr>
      <w:rFonts w:ascii="Times New Roman" w:cs="Times New Roman" w:hAnsi="Times New Roman"/>
      <w:color w:val="000000"/>
      <w:sz w:val="20"/>
      <w:szCs w:val="20"/>
      <w:u w:val="none"/>
    </w:rPr>
  </w:style>
  <w:style w:type="paragraph" w:customStyle="1" w:styleId="316">
    <w:name w:val="TOC 标题2"/>
    <w:basedOn w:val="1"/>
    <w:next w:val="0"/>
    <w:pPr>
      <w:keepNext/>
      <w:keepLines/>
      <w:widowControl/>
      <w:wordWrap w:val="0"/>
      <w:overflowPunct w:val="0"/>
      <w:adjustRightInd/>
      <w:snapToGrid/>
      <w:spacing w:line="259" w:lineRule="auto"/>
      <w:ind w:firstLineChars="200" w:firstLine="200"/>
      <w:jc w:val="left"/>
      <w:outlineLvl w:val="9"/>
    </w:pPr>
    <w:rPr>
      <w:rFonts w:ascii="等线 Light" w:eastAsia="等线 Light" w:cs="Times New Roman"/>
      <w:b w:val="0"/>
      <w:bCs w:val="0"/>
      <w:color w:val="2F5496"/>
      <w:kern w:val="0"/>
      <w:szCs w:val="32"/>
    </w:rPr>
  </w:style>
  <w:style w:type="character" w:customStyle="1" w:styleId="317">
    <w:name w:val="标题 4 字符1"/>
    <w:rPr>
      <w:rFonts w:ascii="Cambria" w:eastAsia="宋体" w:cs="Times New Roman" w:hAnsi="Cambria"/>
      <w:b/>
      <w:bCs/>
      <w:sz w:val="28"/>
      <w:szCs w:val="28"/>
    </w:rPr>
  </w:style>
  <w:style w:type="character" w:customStyle="1" w:styleId="318">
    <w:name w:val="mod-title11"/>
  </w:style>
  <w:style w:type="paragraph" w:customStyle="1" w:styleId="319">
    <w:name w:val="z正文"/>
    <w:basedOn w:val="0"/>
    <w:pPr>
      <w:ind w:firstLineChars="0" w:firstLine="567"/>
    </w:pPr>
    <w:rPr>
      <w:rFonts w:ascii="仿宋_GB2312" w:cs="Tahoma"/>
      <w:color w:val="000000"/>
      <w:kern w:val="0"/>
      <w:szCs w:val="30"/>
    </w:rPr>
  </w:style>
  <w:style w:type="paragraph" w:customStyle="1" w:styleId="320">
    <w:name w:val="金皇-表格内文字"/>
    <w:basedOn w:val="0"/>
    <w:pPr>
      <w:tabs>
        <w:tab w:val="left" w:pos="0"/>
      </w:tabs>
      <w:spacing w:line="240" w:lineRule="auto"/>
      <w:ind w:firstLineChars="0" w:firstLine="0"/>
      <w:jc w:val="center"/>
    </w:pPr>
    <w:rPr>
      <w:rFonts w:ascii="Times New Roman" w:eastAsia="宋体" w:hAnsi="Times New Roman"/>
      <w:snapToGrid w:val="0"/>
      <w:sz w:val="21"/>
      <w:szCs w:val="21"/>
    </w:rPr>
  </w:style>
  <w:style w:type="character" w:customStyle="1" w:styleId="321">
    <w:name w:val="标题 字符1"/>
    <w:rPr>
      <w:rFonts w:ascii="等线 Light" w:eastAsia="等线 Light" w:cs="Times New Roman"/>
      <w:b/>
      <w:bCs/>
      <w:sz w:val="32"/>
      <w:szCs w:val="32"/>
    </w:rPr>
  </w:style>
  <w:style w:type="character" w:customStyle="1" w:styleId="322">
    <w:name w:val="标题 Char1"/>
    <w:rPr>
      <w:rFonts w:ascii="等线 Light" w:eastAsia="宋体" w:cs="Times New Roman" w:hAnsi="等线 Light"/>
      <w:b/>
      <w:bCs/>
      <w:sz w:val="32"/>
      <w:szCs w:val="32"/>
    </w:rPr>
  </w:style>
  <w:style w:type="character" w:customStyle="1" w:styleId="323">
    <w:name w:val="副标题 字符1"/>
    <w:rPr>
      <w:b/>
      <w:bCs/>
      <w:kern w:val="28"/>
      <w:sz w:val="32"/>
      <w:szCs w:val="32"/>
    </w:rPr>
  </w:style>
  <w:style w:type="character" w:customStyle="1" w:styleId="324">
    <w:name w:val="副标题 Char1"/>
    <w:rPr>
      <w:rFonts w:ascii="等线 Light" w:eastAsia="宋体" w:cs="Times New Roman" w:hAnsi="等线 Light"/>
      <w:b/>
      <w:bCs/>
      <w:kern w:val="28"/>
      <w:sz w:val="32"/>
      <w:szCs w:val="32"/>
    </w:rPr>
  </w:style>
  <w:style w:type="paragraph" w:customStyle="1" w:styleId="325">
    <w:name w:val="表内容"/>
    <w:basedOn w:val="0"/>
    <w:pPr>
      <w:widowControl/>
      <w:adjustRightInd/>
      <w:snapToGrid/>
      <w:spacing w:line="240" w:lineRule="auto"/>
      <w:ind w:left="1" w:hangingChars="1" w:hanging="1"/>
      <w:jc w:val="center"/>
    </w:pPr>
    <w:rPr>
      <w:rFonts w:ascii="宋体" w:eastAsia="华文中宋" w:cs="Arial" w:hAnsi="宋体"/>
      <w:color w:val="000000"/>
      <w:sz w:val="18"/>
    </w:rPr>
  </w:style>
  <w:style w:type="paragraph" w:customStyle="1" w:styleId="326">
    <w:name w:val="SB"/>
    <w:basedOn w:val="0"/>
    <w:pPr>
      <w:spacing w:line="240" w:lineRule="auto"/>
      <w:ind w:firstLineChars="0" w:firstLine="0"/>
      <w:jc w:val="center"/>
    </w:pPr>
    <w:rPr>
      <w:rFonts w:ascii="Times New Roman" w:eastAsia="宋体" w:hAnsi="Times New Roman"/>
      <w:kern w:val="0"/>
      <w:sz w:val="21"/>
      <w:szCs w:val="21"/>
    </w:rPr>
  </w:style>
  <w:style w:type="paragraph" w:customStyle="1" w:styleId="327">
    <w:name w:val="SZ"/>
    <w:basedOn w:val="0"/>
    <w:pPr>
      <w:adjustRightInd/>
      <w:snapToGrid/>
      <w:spacing w:line="300" w:lineRule="auto"/>
      <w:ind w:firstLineChars="0" w:firstLine="422"/>
    </w:pPr>
    <w:rPr>
      <w:rFonts w:ascii="仿宋_GB2312"/>
      <w:color w:val="000000"/>
      <w:sz w:val="28"/>
      <w:szCs w:val="21"/>
    </w:rPr>
  </w:style>
  <w:style w:type="character" w:customStyle="1" w:styleId="328">
    <w:name w:val="无间隔 字符"/>
    <w:rPr>
      <w:rFonts w:ascii="Times New Roman" w:eastAsia="宋体" w:hAnsi="Times New Roman"/>
      <w:b/>
      <w:sz w:val="32"/>
    </w:rPr>
  </w:style>
  <w:style w:type="character" w:customStyle="1" w:styleId="329">
    <w:name w:val="标题 2 字符2"/>
    <w:rPr>
      <w:rFonts w:ascii="Times New Roman" w:eastAsia="黑体" w:cs="Times New Roman" w:hAnsi="Times New Roman"/>
      <w:bCs/>
      <w:kern w:val="0"/>
      <w:sz w:val="32"/>
      <w:szCs w:val="32"/>
    </w:rPr>
  </w:style>
  <w:style w:type="character" w:customStyle="1" w:styleId="330">
    <w:name w:val="页眉 字符1"/>
    <w:rPr>
      <w:rFonts w:ascii="等线" w:eastAsia="等线" w:cs="Times New Roman"/>
      <w:kern w:val="0"/>
      <w:sz w:val="18"/>
      <w:szCs w:val="18"/>
    </w:rPr>
  </w:style>
  <w:style w:type="character" w:customStyle="1" w:styleId="331">
    <w:name w:val="页脚 字符2"/>
    <w:rPr>
      <w:rFonts w:ascii="等线" w:eastAsia="等线" w:cs="Times New Roman"/>
      <w:kern w:val="0"/>
      <w:sz w:val="18"/>
      <w:szCs w:val="18"/>
    </w:rPr>
  </w:style>
  <w:style w:type="character" w:customStyle="1" w:styleId="332">
    <w:name w:val="批注框文本 字符2"/>
    <w:rPr>
      <w:rFonts w:ascii="等线" w:eastAsia="等线" w:cs="Times New Roman"/>
      <w:kern w:val="0"/>
      <w:sz w:val="18"/>
      <w:szCs w:val="18"/>
    </w:rPr>
  </w:style>
  <w:style w:type="character" w:customStyle="1" w:styleId="333">
    <w:name w:val="图名 Char"/>
    <w:rPr>
      <w:rFonts w:ascii="Times New Roman" w:eastAsia="仿宋_GB2312" w:hAnsi="Times New Roman"/>
      <w:b/>
      <w:sz w:val="24"/>
      <w:szCs w:val="24"/>
    </w:rPr>
  </w:style>
  <w:style w:type="character" w:customStyle="1" w:styleId="334">
    <w:name w:val="批注文字 字符2"/>
    <w:rPr>
      <w:rFonts w:ascii="等线" w:eastAsia="等线" w:cs="Times New Roman"/>
    </w:rPr>
  </w:style>
  <w:style w:type="character" w:customStyle="1" w:styleId="335">
    <w:name w:val="批注主题 字符2"/>
    <w:rPr>
      <w:rFonts w:ascii="等线" w:eastAsia="等线" w:cs="Times New Roman"/>
      <w:b/>
      <w:bCs/>
      <w:kern w:val="0"/>
      <w:sz w:val="20"/>
      <w:szCs w:val="20"/>
    </w:rPr>
  </w:style>
  <w:style w:type="character" w:customStyle="1" w:styleId="336">
    <w:name w:val="文档结构图 字符3"/>
    <w:rPr>
      <w:rFonts w:ascii="宋体" w:eastAsia="宋体" w:cs="Times New Roman"/>
      <w:kern w:val="0"/>
      <w:sz w:val="18"/>
      <w:szCs w:val="18"/>
    </w:rPr>
  </w:style>
  <w:style w:type="character" w:customStyle="1" w:styleId="337">
    <w:name w:val="题注 字符1"/>
    <w:rPr>
      <w:rFonts w:ascii="等线 Light" w:eastAsia="黑体" w:cs="Times New Roman" w:hAnsi="等线 Light"/>
      <w:kern w:val="0"/>
      <w:sz w:val="20"/>
      <w:szCs w:val="20"/>
    </w:rPr>
  </w:style>
  <w:style w:type="character" w:customStyle="1" w:styleId="338">
    <w:name w:val="正文文本 字符2"/>
    <w:rPr>
      <w:rFonts w:ascii="Times New Roman" w:eastAsia="宋体" w:cs="Times New Roman" w:hAnsi="Times New Roman"/>
      <w:kern w:val="0"/>
      <w:sz w:val="44"/>
      <w:szCs w:val="20"/>
    </w:rPr>
  </w:style>
  <w:style w:type="paragraph" w:customStyle="1" w:styleId="339">
    <w:name w:val="表标题"/>
    <w:basedOn w:val="0"/>
    <w:pPr>
      <w:adjustRightInd/>
      <w:snapToGrid/>
      <w:spacing w:line="240" w:lineRule="auto"/>
      <w:ind w:firstLineChars="0" w:firstLine="0"/>
      <w:jc w:val="center"/>
    </w:pPr>
    <w:rPr>
      <w:rFonts w:ascii="Times New Roman" w:eastAsia="仿宋" w:hAnsi="Times New Roman"/>
      <w:b/>
      <w:kern w:val="0"/>
      <w:sz w:val="28"/>
      <w:szCs w:val="20"/>
    </w:rPr>
  </w:style>
  <w:style w:type="character" w:customStyle="1" w:styleId="340">
    <w:name w:val="副标题 字符2"/>
    <w:rPr>
      <w:rFonts w:ascii="Cambria" w:eastAsia="宋体" w:cs="Times New Roman" w:hAnsi="Cambria"/>
      <w:i/>
      <w:iCs/>
      <w:color w:val="4F81BD"/>
      <w:spacing w:val="15"/>
      <w:kern w:val="0"/>
      <w:sz w:val="24"/>
      <w:szCs w:val="24"/>
    </w:rPr>
  </w:style>
  <w:style w:type="paragraph" w:customStyle="1" w:styleId="341">
    <w:name w:val="标题4"/>
    <w:basedOn w:val="4"/>
    <w:pPr>
      <w:keepNext w:val="0"/>
      <w:keepLines w:val="0"/>
      <w:widowControl w:val="0"/>
      <w:ind w:firstLineChars="200" w:firstLine="200"/>
    </w:pPr>
    <w:rPr>
      <w:rFonts w:ascii="Times New Roman" w:eastAsia="仿宋_GB2312" w:cs="Times New Roman" w:hAnsi="Times New Roman"/>
    </w:rPr>
  </w:style>
  <w:style w:type="paragraph" w:customStyle="1" w:styleId="342">
    <w:name w:val="正文-宋体"/>
    <w:basedOn w:val="44"/>
    <w:pPr>
      <w:tabs>
        <w:tab w:val="clear" w:pos="8296"/>
      </w:tabs>
      <w:adjustRightInd/>
      <w:snapToGrid/>
      <w:ind w:leftChars="100" w:left="100"/>
      <w:jc w:val="both"/>
    </w:pPr>
    <w:rPr>
      <w:b w:val="0"/>
      <w:bCs/>
      <w:caps w:val="0"/>
      <w:smallCaps w:val="0"/>
      <w:sz w:val="24"/>
      <w:szCs w:val="28"/>
    </w:rPr>
  </w:style>
  <w:style w:type="character" w:customStyle="1" w:styleId="343">
    <w:name w:val="页眉 Char2"/>
    <w:rPr>
      <w:sz w:val="18"/>
      <w:szCs w:val="18"/>
    </w:rPr>
  </w:style>
  <w:style w:type="character" w:customStyle="1" w:styleId="344">
    <w:name w:val="页脚 Char2"/>
    <w:rPr>
      <w:sz w:val="18"/>
      <w:szCs w:val="18"/>
    </w:rPr>
  </w:style>
  <w:style w:type="character" w:customStyle="1" w:styleId="345">
    <w:name w:val="批注框文本 Char2"/>
    <w:rPr>
      <w:sz w:val="18"/>
      <w:szCs w:val="18"/>
    </w:rPr>
  </w:style>
  <w:style w:type="character" w:customStyle="1" w:styleId="346">
    <w:name w:val="批注文字 Char1"/>
    <w:basedOn w:val="10"/>
  </w:style>
  <w:style w:type="character" w:customStyle="1" w:styleId="347">
    <w:name w:val="批注主题 Char1"/>
    <w:rPr>
      <w:b/>
      <w:bCs/>
    </w:rPr>
  </w:style>
  <w:style w:type="character" w:customStyle="1" w:styleId="348">
    <w:name w:val="文档结构图 Char2"/>
    <w:rPr>
      <w:rFonts w:ascii="宋体" w:eastAsia="宋体"/>
      <w:sz w:val="18"/>
      <w:szCs w:val="18"/>
    </w:rPr>
  </w:style>
  <w:style w:type="character" w:customStyle="1" w:styleId="349">
    <w:name w:val="标题 1 Char1"/>
    <w:rPr>
      <w:rFonts w:ascii="Times New Roman" w:eastAsia="黑体" w:cs="Times New Roman" w:hAnsi="Times New Roman"/>
      <w:b/>
      <w:spacing w:val="-4"/>
      <w:kern w:val="44"/>
      <w:sz w:val="36"/>
      <w:szCs w:val="36"/>
    </w:rPr>
  </w:style>
  <w:style w:type="character" w:customStyle="1" w:styleId="350">
    <w:name w:val="标题 2 Char2"/>
    <w:rPr>
      <w:rFonts w:ascii="Times New Roman" w:eastAsia="黑体" w:cs="Times New Roman" w:hAnsi="Times New Roman"/>
      <w:bCs/>
      <w:sz w:val="32"/>
      <w:szCs w:val="32"/>
    </w:rPr>
  </w:style>
  <w:style w:type="character" w:customStyle="1" w:styleId="351">
    <w:name w:val="标题 3 Char1"/>
    <w:rPr>
      <w:rFonts w:ascii="Times New Roman" w:eastAsia="黑体" w:cs="Times New Roman" w:hAnsi="Times New Roman"/>
      <w:bCs/>
      <w:sz w:val="30"/>
      <w:szCs w:val="30"/>
    </w:rPr>
  </w:style>
  <w:style w:type="character" w:customStyle="1" w:styleId="352">
    <w:name w:val="标题 4 Char1"/>
    <w:rPr>
      <w:rFonts w:ascii="Times New Roman" w:eastAsia="仿宋_GB2312" w:cs="Times New Roman" w:hAnsi="Times New Roman"/>
      <w:b/>
      <w:bCs/>
      <w:sz w:val="28"/>
      <w:szCs w:val="28"/>
    </w:rPr>
  </w:style>
  <w:style w:type="character" w:customStyle="1" w:styleId="353">
    <w:name w:val="标题 5 Char1"/>
    <w:rPr>
      <w:rFonts w:ascii="Calibri" w:eastAsia="仿宋" w:cs="Times New Roman" w:hAnsi="Calibri"/>
      <w:b/>
      <w:bCs/>
      <w:kern w:val="0"/>
      <w:sz w:val="28"/>
      <w:szCs w:val="28"/>
    </w:rPr>
  </w:style>
  <w:style w:type="character" w:customStyle="1" w:styleId="354">
    <w:name w:val="标题 6 Char1"/>
    <w:rPr>
      <w:rFonts w:ascii="Calibri Light" w:eastAsia="宋体" w:cs="Times New Roman" w:hAnsi="Calibri Light"/>
      <w:b/>
      <w:bCs/>
      <w:kern w:val="0"/>
      <w:sz w:val="24"/>
      <w:szCs w:val="24"/>
    </w:rPr>
  </w:style>
  <w:style w:type="character" w:customStyle="1" w:styleId="355">
    <w:name w:val="标题 7 Char1"/>
    <w:rPr>
      <w:rFonts w:ascii="Calibri" w:eastAsia="仿宋" w:cs="Times New Roman" w:hAnsi="Calibri"/>
      <w:b/>
      <w:bCs/>
      <w:kern w:val="0"/>
      <w:sz w:val="24"/>
      <w:szCs w:val="24"/>
    </w:rPr>
  </w:style>
  <w:style w:type="character" w:customStyle="1" w:styleId="356">
    <w:name w:val="标题 8 Char1"/>
    <w:rPr>
      <w:rFonts w:ascii="Calibri Light" w:eastAsia="宋体" w:cs="Times New Roman" w:hAnsi="Calibri Light"/>
      <w:kern w:val="0"/>
      <w:sz w:val="24"/>
      <w:szCs w:val="24"/>
    </w:rPr>
  </w:style>
  <w:style w:type="character" w:customStyle="1" w:styleId="357">
    <w:name w:val="标题 9 Char1"/>
    <w:rPr>
      <w:rFonts w:ascii="Calibri Light" w:eastAsia="宋体" w:cs="Times New Roman" w:hAnsi="Calibri Light"/>
      <w:kern w:val="0"/>
      <w:sz w:val="28"/>
      <w:szCs w:val="21"/>
    </w:rPr>
  </w:style>
  <w:style w:type="character" w:customStyle="1" w:styleId="358">
    <w:name w:val="脚注文本 Char2"/>
    <w:rPr>
      <w:sz w:val="18"/>
      <w:szCs w:val="18"/>
    </w:rPr>
  </w:style>
  <w:style w:type="character" w:customStyle="1" w:styleId="359">
    <w:name w:val="题注 Char1"/>
    <w:rPr>
      <w:rFonts w:ascii="等线 Light" w:eastAsia="黑体" w:cs="Times New Roman" w:hAnsi="等线 Light"/>
      <w:sz w:val="20"/>
      <w:szCs w:val="20"/>
    </w:rPr>
  </w:style>
  <w:style w:type="character" w:customStyle="1" w:styleId="360">
    <w:name w:val="日期 Char3"/>
    <w:basedOn w:val="10"/>
  </w:style>
  <w:style w:type="character" w:customStyle="1" w:styleId="361">
    <w:name w:val="正文文本 Char3"/>
    <w:rPr>
      <w:rFonts w:ascii="Times New Roman" w:eastAsia="宋体" w:cs="Times New Roman" w:hAnsi="Times New Roman"/>
      <w:sz w:val="44"/>
      <w:szCs w:val="20"/>
    </w:rPr>
  </w:style>
  <w:style w:type="character" w:customStyle="1" w:styleId="362">
    <w:name w:val="纯文本 Char3"/>
    <w:rPr>
      <w:rFonts w:ascii="宋体" w:eastAsia="宋体" w:cs="Times New Roman"/>
      <w:sz w:val="28"/>
      <w:szCs w:val="20"/>
    </w:rPr>
  </w:style>
  <w:style w:type="character" w:customStyle="1" w:styleId="363">
    <w:name w:val="无间隔 Char1"/>
    <w:rPr>
      <w:rFonts w:ascii="Calibri" w:eastAsia="宋体" w:cs="Times New Roman" w:hAnsi="Calibri"/>
      <w:kern w:val="0"/>
      <w:sz w:val="22"/>
    </w:rPr>
  </w:style>
  <w:style w:type="character" w:customStyle="1" w:styleId="364">
    <w:name w:val="标题 Char2"/>
    <w:rPr>
      <w:rFonts w:ascii="Cambria" w:eastAsia="宋体" w:cs="Times New Roman" w:hAnsi="Cambria"/>
      <w:b/>
      <w:bCs/>
      <w:sz w:val="32"/>
      <w:szCs w:val="32"/>
    </w:rPr>
  </w:style>
  <w:style w:type="character" w:customStyle="1" w:styleId="365">
    <w:name w:val="电子邮件签名 Char1"/>
    <w:rPr>
      <w:rFonts w:ascii="Times New Roman" w:hAnsi="Times New Roman"/>
      <w:szCs w:val="24"/>
      <w:lang w:val="zh-CN"/>
    </w:rPr>
  </w:style>
  <w:style w:type="character" w:customStyle="1" w:styleId="366">
    <w:name w:val="副标题 Char2"/>
    <w:rPr>
      <w:rFonts w:ascii="Cambria" w:eastAsia="宋体" w:cs="Times New Roman" w:hAnsi="Cambria"/>
      <w:i/>
      <w:iCs/>
      <w:color w:val="4F81BD"/>
      <w:spacing w:val="15"/>
      <w:sz w:val="24"/>
      <w:szCs w:val="24"/>
    </w:rPr>
  </w:style>
  <w:style w:type="character" w:customStyle="1" w:styleId="367">
    <w:name w:val="引用 Char1"/>
    <w:rPr>
      <w:rFonts w:ascii="Calibri" w:eastAsia="宋体" w:cs="Times New Roman" w:hAnsi="Calibri"/>
      <w:i/>
      <w:iCs/>
      <w:color w:val="000000"/>
    </w:rPr>
  </w:style>
  <w:style w:type="character" w:customStyle="1" w:styleId="368">
    <w:name w:val="明显引用 Char1"/>
    <w:rPr>
      <w:rFonts w:ascii="Calibri" w:eastAsia="宋体" w:cs="Times New Roman" w:hAnsi="Calibri"/>
      <w:b/>
      <w:bCs/>
      <w:i/>
      <w:iCs/>
      <w:color w:val="4F81BD"/>
    </w:rPr>
  </w:style>
  <w:style w:type="character" w:customStyle="1" w:styleId="369">
    <w:name w:val="HTML 预设格式 Char1"/>
    <w:rPr>
      <w:rFonts w:ascii="Arial" w:eastAsia="宋体" w:cs="Arial" w:hAnsi="Arial"/>
      <w:kern w:val="0"/>
      <w:szCs w:val="21"/>
    </w:rPr>
  </w:style>
  <w:style w:type="character" w:customStyle="1" w:styleId="370">
    <w:name w:val="正文文本缩进 2 Char2"/>
    <w:rPr>
      <w:rFonts w:ascii="Times New Roman" w:eastAsia="宋体" w:cs="Times New Roman" w:hAnsi="Times New Roman"/>
      <w:kern w:val="0"/>
      <w:sz w:val="30"/>
      <w:szCs w:val="24"/>
    </w:rPr>
  </w:style>
  <w:style w:type="character" w:customStyle="1" w:styleId="371">
    <w:name w:val="正文文本缩进 3 Char2"/>
    <w:rPr>
      <w:rFonts w:ascii="仿宋_GB2312" w:eastAsia="宋体" w:cs="Times New Roman" w:hAnsi="仿宋_GB2312"/>
      <w:kern w:val="0"/>
      <w:sz w:val="24"/>
      <w:szCs w:val="20"/>
    </w:rPr>
  </w:style>
  <w:style w:type="paragraph" w:customStyle="1" w:styleId="372">
    <w:name w:val="正文alt+z"/>
    <w:basedOn w:val="0"/>
    <w:pPr>
      <w:overflowPunct w:val="0"/>
      <w:topLinePunct/>
      <w:adjustRightInd/>
      <w:snapToGrid/>
      <w:spacing w:before="156" w:afterLines="50" w:after="50"/>
    </w:pPr>
    <w:rPr>
      <w:rFonts w:ascii="Times New Roman" w:hAnsi="Times New Roman"/>
      <w:color w:val="000000"/>
      <w:kern w:val="0"/>
      <w:sz w:val="28"/>
      <w:szCs w:val="28"/>
    </w:rPr>
  </w:style>
  <w:style w:type="character" w:customStyle="1" w:styleId="373">
    <w:name w:val="题注 Char"/>
    <w:rPr>
      <w:rFonts w:ascii="等线 Light" w:eastAsia="黑体" w:cs="Times New Roman" w:hAnsi="等线 Light"/>
      <w:sz w:val="20"/>
      <w:szCs w:val="20"/>
    </w:rPr>
  </w:style>
  <w:style w:type="character" w:customStyle="1" w:styleId="374">
    <w:name w:val="日期 Char2"/>
    <w:basedOn w:val="10"/>
  </w:style>
  <w:style w:type="character" w:customStyle="1" w:styleId="375">
    <w:name w:val="正文文本 Char2"/>
    <w:rPr>
      <w:rFonts w:ascii="Times New Roman" w:eastAsia="宋体" w:cs="Times New Roman" w:hAnsi="Times New Roman"/>
      <w:sz w:val="44"/>
      <w:szCs w:val="20"/>
    </w:rPr>
  </w:style>
  <w:style w:type="character" w:customStyle="1" w:styleId="376">
    <w:name w:val="纯文本 Char2"/>
    <w:rPr>
      <w:rFonts w:ascii="宋体" w:eastAsia="宋体" w:cs="Times New Roman"/>
      <w:sz w:val="28"/>
      <w:szCs w:val="20"/>
    </w:rPr>
  </w:style>
  <w:style w:type="paragraph" w:customStyle="1" w:styleId="377">
    <w:name w:val="TOC 标题11"/>
    <w:basedOn w:val="1"/>
    <w:next w:val="0"/>
    <w:pPr>
      <w:keepNext/>
      <w:keepLines/>
      <w:widowControl/>
      <w:adjustRightInd/>
      <w:snapToGrid/>
      <w:spacing w:before="240" w:line="259" w:lineRule="auto"/>
      <w:jc w:val="left"/>
      <w:outlineLvl w:val="9"/>
    </w:pPr>
    <w:rPr>
      <w:rFonts w:ascii="等线 Light" w:eastAsia="等线 Light" w:cs="Times New Roman"/>
      <w:b w:val="0"/>
      <w:bCs w:val="0"/>
      <w:color w:val="2F5496"/>
      <w:kern w:val="0"/>
      <w:szCs w:val="32"/>
    </w:rPr>
  </w:style>
  <w:style w:type="character" w:customStyle="1" w:styleId="378">
    <w:name w:val="书籍标题11"/>
    <w:rPr>
      <w:b/>
      <w:bCs/>
      <w:caps w:val="0"/>
      <w:smallCaps/>
      <w:spacing w:val="5"/>
    </w:rPr>
  </w:style>
  <w:style w:type="character" w:customStyle="1" w:styleId="379">
    <w:name w:val="不明显强调11"/>
    <w:rPr>
      <w:i/>
      <w:iCs/>
      <w:color w:val="808080"/>
    </w:rPr>
  </w:style>
  <w:style w:type="character" w:customStyle="1" w:styleId="380">
    <w:name w:val="明显强调11"/>
    <w:rPr>
      <w:b/>
      <w:bCs/>
      <w:i/>
      <w:iCs/>
      <w:color w:val="4F81BD"/>
    </w:rPr>
  </w:style>
  <w:style w:type="character" w:customStyle="1" w:styleId="381">
    <w:name w:val="不明显参考11"/>
    <w:rPr>
      <w:caps w:val="0"/>
      <w:smallCaps/>
      <w:color w:val="C0504D"/>
      <w:u w:val="single"/>
    </w:rPr>
  </w:style>
  <w:style w:type="character" w:customStyle="1" w:styleId="382">
    <w:name w:val="明显参考11"/>
    <w:rPr>
      <w:b/>
      <w:bCs/>
      <w:caps w:val="0"/>
      <w:smallCaps/>
      <w:color w:val="C0504D"/>
      <w:spacing w:val="5"/>
      <w:u w:val="single"/>
    </w:rPr>
  </w:style>
  <w:style w:type="paragraph" w:customStyle="1" w:styleId="383">
    <w:name w:val="标题  1"/>
    <w:basedOn w:val="1"/>
    <w:pPr>
      <w:spacing w:before="156" w:afterLines="50" w:after="50"/>
    </w:pPr>
    <w:rPr>
      <w:rFonts w:ascii="Times New Roman" w:cs="Times New Roman" w:hAnsi="Times New Roman"/>
      <w:bCs w:val="0"/>
      <w:spacing w:val="-4"/>
      <w:sz w:val="36"/>
      <w:szCs w:val="36"/>
    </w:rPr>
  </w:style>
  <w:style w:type="paragraph" w:customStyle="1" w:styleId="384">
    <w:name w:val="！正文"/>
    <w:basedOn w:val="0"/>
    <w:pPr>
      <w:adjustRightInd w:val="0"/>
      <w:snapToGrid/>
    </w:pPr>
    <w:rPr>
      <w:rFonts w:ascii="Times New Roman" w:hAnsi="Times New Roman"/>
      <w:szCs w:val="28"/>
    </w:rPr>
  </w:style>
  <w:style w:type="paragraph" w:customStyle="1" w:styleId="385">
    <w:name w:val="！1."/>
    <w:basedOn w:val="3"/>
    <w:pPr>
      <w:adjustRightInd/>
      <w:snapToGrid/>
      <w:spacing w:before="156" w:afterLines="50" w:after="50"/>
    </w:pPr>
    <w:rPr>
      <w:rFonts w:ascii="等线" w:eastAsia="黑体" w:hAnsi="等线"/>
      <w:b w:val="0"/>
      <w:kern w:val="0"/>
      <w:sz w:val="30"/>
      <w:szCs w:val="30"/>
    </w:rPr>
  </w:style>
  <w:style w:type="paragraph" w:customStyle="1" w:styleId="386">
    <w:name w:val="2单位"/>
    <w:basedOn w:val="0"/>
    <w:pPr>
      <w:tabs>
        <w:tab w:val="left" w:pos="1575"/>
      </w:tabs>
      <w:adjustRightInd/>
      <w:snapToGrid/>
      <w:spacing w:line="240" w:lineRule="auto"/>
      <w:ind w:firstLineChars="0" w:firstLine="437"/>
      <w:jc w:val="right"/>
    </w:pPr>
    <w:rPr>
      <w:rFonts w:ascii="宋体" w:eastAsia="宋体"/>
      <w:spacing w:val="4"/>
      <w:sz w:val="21"/>
      <w:szCs w:val="21"/>
    </w:rPr>
  </w:style>
  <w:style w:type="paragraph" w:customStyle="1" w:styleId="387">
    <w:name w:val="1.1.1"/>
    <w:next w:val="0"/>
    <w:pPr>
      <w:adjustRightInd w:val="0"/>
      <w:snapToGrid w:val="0"/>
      <w:spacing w:line="360" w:lineRule="auto"/>
      <w:outlineLvl w:val="4"/>
    </w:pPr>
    <w:rPr>
      <w:rFonts w:ascii="Times New Roman" w:eastAsia="宋体" w:cs="Times New Roman" w:hAnsi="Times New Roman"/>
      <w:sz w:val="24"/>
      <w:szCs w:val="20"/>
      <w:lang w:val="en-US" w:eastAsia="zh-CN" w:bidi="ar-SA"/>
    </w:rPr>
  </w:style>
  <w:style w:type="paragraph" w:customStyle="1" w:styleId="388">
    <w:name w:val="（一）"/>
    <w:basedOn w:val="3"/>
    <w:pPr>
      <w:adjustRightInd/>
      <w:snapToGrid/>
      <w:spacing w:beforeLines="50" w:before="50" w:afterLines="50" w:after="50" w:line="700" w:lineRule="exact"/>
      <w:ind w:firstLineChars="200" w:firstLine="200"/>
    </w:pPr>
    <w:rPr>
      <w:rFonts w:ascii="Calibri" w:eastAsia="宋体" w:cs="Arial" w:hAnsi="Calibri"/>
      <w:sz w:val="24"/>
      <w:szCs w:val="24"/>
    </w:rPr>
  </w:style>
  <w:style w:type="paragraph" w:customStyle="1" w:styleId="389">
    <w:name w:val="1、"/>
    <w:basedOn w:val="0"/>
    <w:pPr>
      <w:adjustRightInd/>
      <w:snapToGrid/>
      <w:spacing w:beforeLines="50" w:before="50" w:afterLines="50" w:after="50" w:line="480" w:lineRule="exact"/>
    </w:pPr>
    <w:rPr>
      <w:rFonts w:ascii="Calibri" w:eastAsia="宋体" w:cs="Arial" w:hAnsi="Calibri"/>
      <w:sz w:val="24"/>
      <w:szCs w:val="24"/>
    </w:rPr>
  </w:style>
  <w:style w:type="paragraph" w:customStyle="1" w:styleId="390">
    <w:name w:val="（1）"/>
    <w:basedOn w:val="0"/>
    <w:pPr>
      <w:adjustRightInd/>
      <w:snapToGrid/>
      <w:spacing w:beforeLines="50" w:before="50" w:afterLines="50" w:after="50" w:line="480" w:lineRule="exact"/>
      <w:outlineLvl w:val="3"/>
    </w:pPr>
    <w:rPr>
      <w:rFonts w:ascii="Calibri" w:eastAsia="宋体" w:cs="Arial" w:hAnsi="Calibri"/>
      <w:b/>
      <w:sz w:val="24"/>
      <w:szCs w:val="24"/>
    </w:rPr>
  </w:style>
  <w:style w:type="paragraph" w:customStyle="1" w:styleId="391">
    <w:name w:val="000附表标题"/>
    <w:next w:val="38"/>
    <w:pPr>
      <w:widowControl w:val="0"/>
      <w:snapToGrid w:val="0"/>
      <w:spacing w:before="100" w:beforeAutospacing="1" w:after="100" w:afterAutospacing="1" w:line="360" w:lineRule="auto"/>
      <w:jc w:val="center"/>
      <w:outlineLvl w:val="1"/>
    </w:pPr>
    <w:rPr>
      <w:rFonts w:ascii="楷体_GB2312" w:eastAsia="楷体_GB2312" w:cs="Times New Roman"/>
      <w:b/>
      <w:bCs/>
      <w:sz w:val="30"/>
      <w:szCs w:val="30"/>
      <w:lang w:val="en-US" w:eastAsia="zh-CN" w:bidi="ar-SA"/>
    </w:rPr>
  </w:style>
  <w:style w:type="paragraph" w:customStyle="1" w:styleId="392">
    <w:name w:val="4"/>
    <w:basedOn w:val="0"/>
    <w:next w:val="0"/>
    <w:pPr>
      <w:adjustRightInd/>
      <w:snapToGrid/>
      <w:spacing w:line="240" w:lineRule="auto"/>
      <w:ind w:leftChars="1600" w:left="1600" w:firstLineChars="0" w:firstLine="0"/>
    </w:pPr>
    <w:rPr>
      <w:rFonts w:ascii="等线" w:eastAsia="等线"/>
      <w:sz w:val="21"/>
    </w:rPr>
  </w:style>
  <w:style w:type="character" w:customStyle="1" w:styleId="393">
    <w:name w:val="批注文字 Char2"/>
    <w:rPr>
      <w:kern w:val="2"/>
      <w:sz w:val="21"/>
      <w:szCs w:val="22"/>
    </w:rPr>
  </w:style>
  <w:style w:type="paragraph" w:customStyle="1" w:styleId="394">
    <w:name w:val="2"/>
    <w:basedOn w:val="0"/>
    <w:next w:val="0"/>
    <w:pPr>
      <w:adjustRightInd/>
      <w:snapToGrid/>
      <w:spacing w:line="240" w:lineRule="auto"/>
      <w:ind w:leftChars="1600" w:left="1600" w:firstLineChars="0" w:firstLine="0"/>
    </w:pPr>
    <w:rPr>
      <w:rFonts w:ascii="等线" w:eastAsia="等线"/>
      <w:sz w:val="21"/>
    </w:rPr>
  </w:style>
  <w:style w:type="paragraph" w:customStyle="1" w:styleId="395">
    <w:name w:val="标题5"/>
    <w:basedOn w:val="0"/>
    <w:pPr>
      <w:adjustRightInd/>
      <w:snapToGrid/>
      <w:spacing w:line="240" w:lineRule="auto"/>
      <w:ind w:firstLineChars="0" w:firstLine="562"/>
      <w:outlineLvl w:val="4"/>
    </w:pPr>
    <w:rPr>
      <w:rFonts w:ascii="等线" w:eastAsia="等线"/>
      <w:b/>
      <w:sz w:val="21"/>
    </w:rPr>
  </w:style>
  <w:style w:type="paragraph" w:customStyle="1" w:styleId="396">
    <w:name w:val="图题"/>
    <w:basedOn w:val="0"/>
    <w:next w:val="0"/>
    <w:pPr>
      <w:adjustRightInd/>
      <w:snapToGrid/>
      <w:spacing w:beforeLines="50" w:before="50" w:line="400" w:lineRule="atLeast"/>
      <w:ind w:firstLineChars="0" w:firstLine="0"/>
      <w:jc w:val="center"/>
    </w:pPr>
    <w:rPr>
      <w:rFonts w:ascii="黑体" w:eastAsia="黑体"/>
      <w:sz w:val="21"/>
      <w:szCs w:val="21"/>
    </w:rPr>
  </w:style>
  <w:style w:type="character" w:customStyle="1" w:styleId="397">
    <w:name w:val="doc_title"/>
    <w:basedOn w:val="10"/>
  </w:style>
  <w:style w:type="character" w:customStyle="1" w:styleId="398">
    <w:name w:val="fontstyle21"/>
    <w:basedOn w:val="10"/>
    <w:rPr>
      <w:rFonts w:ascii="TimesNewRomanPSMT" w:eastAsia="TimesNewRomanPSMT" w:hAnsi="TimesNewRomanPSMT"/>
      <w:color w:val="000000"/>
      <w:sz w:val="32"/>
      <w:szCs w:val="32"/>
    </w:rPr>
  </w:style>
  <w:style w:type="paragraph" w:customStyle="1" w:styleId="399">
    <w:name w:val="Char2"/>
    <w:basedOn w:val="0"/>
    <w:pPr>
      <w:adjustRightInd/>
      <w:snapToGrid w:val="0"/>
    </w:pPr>
    <w:rPr>
      <w:rFonts w:ascii="Times New Roman" w:eastAsia="宋体" w:hAnsi="Times New Roman"/>
      <w:sz w:val="21"/>
      <w:szCs w:val="24"/>
    </w:rPr>
  </w:style>
  <w:style w:type="paragraph" w:customStyle="1" w:styleId="400">
    <w:name w:val="刘标题1"/>
    <w:next w:val="43"/>
    <w:pPr>
      <w:spacing w:beforeLines="50" w:before="50" w:afterLines="50" w:after="50" w:line="360" w:lineRule="auto"/>
      <w:outlineLvl w:val="0"/>
    </w:pPr>
    <w:rPr>
      <w:rFonts w:ascii="楷体_GB2312" w:eastAsia="黑体" w:cs="Times New Roman" w:hAnsi="楷体_GB2312"/>
      <w:bCs/>
      <w:kern w:val="2"/>
      <w:sz w:val="32"/>
      <w:szCs w:val="32"/>
      <w:lang w:val="en-US" w:eastAsia="zh-CN" w:bidi="ar-SA"/>
    </w:rPr>
  </w:style>
  <w:style w:type="paragraph" w:customStyle="1" w:styleId="401">
    <w:name w:val="pwx表格内容"/>
    <w:basedOn w:val="0"/>
    <w:pPr>
      <w:autoSpaceDE w:val="0"/>
      <w:autoSpaceDN w:val="0"/>
      <w:adjustRightInd/>
      <w:snapToGrid/>
      <w:spacing w:line="240" w:lineRule="auto"/>
      <w:ind w:firstLineChars="0" w:firstLine="0"/>
      <w:jc w:val="center"/>
    </w:pPr>
    <w:rPr>
      <w:rFonts w:ascii="Times New Roman" w:eastAsia="宋体" w:cs="Arial" w:hAnsi="Times New Roman"/>
      <w:kern w:val="0"/>
      <w:sz w:val="20"/>
      <w:szCs w:val="20"/>
      <w:lang w:bidi="he-IL"/>
    </w:rPr>
  </w:style>
  <w:style w:type="paragraph" w:customStyle="1" w:styleId="402">
    <w:name w:val="刘标题2"/>
    <w:next w:val="27"/>
    <w:pPr>
      <w:widowControl w:val="0"/>
      <w:adjustRightInd w:val="0"/>
      <w:snapToGrid w:val="0"/>
      <w:spacing w:beforeLines="150" w:before="150" w:afterLines="150" w:after="150" w:line="360" w:lineRule="auto"/>
      <w:jc w:val="center"/>
      <w:outlineLvl w:val="1"/>
    </w:pPr>
    <w:rPr>
      <w:rFonts w:ascii="Calibri" w:eastAsia="楷体_GB2312" w:cs="Arial" w:hAnsi="Calibri"/>
      <w:b/>
      <w:kern w:val="2"/>
      <w:sz w:val="32"/>
      <w:szCs w:val="28"/>
      <w:lang w:val="en-US" w:eastAsia="zh-CN" w:bidi="ar-SA"/>
    </w:rPr>
  </w:style>
  <w:style w:type="paragraph" w:customStyle="1" w:styleId="403">
    <w:name w:val="刘正文"/>
    <w:next w:val="28"/>
    <w:pPr>
      <w:widowControl w:val="0"/>
      <w:adjustRightInd w:val="0"/>
      <w:snapToGrid w:val="0"/>
      <w:spacing w:line="360" w:lineRule="auto"/>
      <w:ind w:firstLineChars="200" w:firstLine="200"/>
      <w:jc w:val="both"/>
    </w:pPr>
    <w:rPr>
      <w:rFonts w:ascii="Calibri" w:eastAsia="仿宋_GB2312" w:cs="Arial" w:hAnsi="Calibri"/>
      <w:kern w:val="2"/>
      <w:sz w:val="32"/>
      <w:szCs w:val="28"/>
      <w:lang w:val="en-US" w:eastAsia="zh-CN" w:bidi="ar-SA"/>
    </w:rPr>
  </w:style>
  <w:style w:type="paragraph" w:customStyle="1" w:styleId="404">
    <w:name w:val="Revision"/>
    <w:rPr>
      <w:rFonts w:ascii="Calibri" w:eastAsia="仿宋_GB2312" w:cs="Times New Roman" w:hAnsi="Calibri"/>
      <w:kern w:val="2"/>
      <w:sz w:val="30"/>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2406</TotalTime>
  <Application>Yozo_Office</Application>
  <Pages>57</Pages>
  <Words>22299</Words>
  <Characters>23075</Characters>
  <Lines>1599</Lines>
  <Paragraphs>702</Paragraphs>
  <CharactersWithSpaces>23259</CharactersWithSpaces>
  <Company>www.hqbsh.com</Company>
</Properties>
</file>

<file path=docProps/core.xml><?xml version="1.0" encoding="utf-8"?>
<cp:coreProperties xmlns:cp="http://schemas.openxmlformats.org/package/2006/metadata/core-properties" xmlns:dc="http://purl.org/dc/elements/1.1/" xmlns:dcterms="http://purl.org/dc/terms/" xmlns:xsi="http://www.w3.org/2001/XMLSchema-instance">
  <dc:creator>ZYJ</dc:creator>
  <cp:lastModifiedBy>lenovo</cp:lastModifiedBy>
  <cp:revision>294</cp:revision>
  <cp:lastPrinted>2022-02-14T07:12:05Z</cp:lastPrinted>
  <dcterms:created xsi:type="dcterms:W3CDTF">2021-11-26T03:15:00Z</dcterms:created>
  <dcterms:modified xsi:type="dcterms:W3CDTF">2022-02-14T07:12:09Z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2052-11.8.2.10251</vt:lpwstr>
  </property>
</Properties>
</file>