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topLinePunct w:val="0"/>
        <w:bidi w:val="0"/>
        <w:spacing w:line="360" w:lineRule="auto"/>
        <w:jc w:val="center"/>
        <w:rPr>
          <w:rFonts w:hint="eastAsia" w:ascii="宋体"/>
          <w:b/>
          <w:bCs/>
          <w:color w:val="auto"/>
          <w:sz w:val="52"/>
          <w:szCs w:val="52"/>
        </w:rPr>
      </w:pPr>
    </w:p>
    <w:p>
      <w:pPr>
        <w:pageBreakBefore w:val="0"/>
        <w:kinsoku/>
        <w:wordWrap/>
        <w:topLinePunct w:val="0"/>
        <w:bidi w:val="0"/>
        <w:spacing w:line="360" w:lineRule="auto"/>
        <w:jc w:val="center"/>
        <w:rPr>
          <w:rFonts w:hint="eastAsia" w:ascii="宋体"/>
          <w:b/>
          <w:bCs/>
          <w:color w:val="auto"/>
          <w:sz w:val="52"/>
          <w:szCs w:val="52"/>
        </w:rPr>
      </w:pPr>
      <w:r>
        <w:rPr>
          <w:rFonts w:hint="eastAsia" w:ascii="宋体"/>
          <w:b/>
          <w:bCs/>
          <w:color w:val="auto"/>
          <w:sz w:val="52"/>
          <w:szCs w:val="52"/>
        </w:rPr>
        <w:t>福建省</w:t>
      </w:r>
      <w:r>
        <w:rPr>
          <w:rFonts w:hint="eastAsia" w:ascii="宋体"/>
          <w:b/>
          <w:bCs/>
          <w:color w:val="auto"/>
          <w:sz w:val="52"/>
          <w:szCs w:val="52"/>
          <w:lang w:eastAsia="zh-CN"/>
        </w:rPr>
        <w:t>莆田</w:t>
      </w:r>
      <w:r>
        <w:rPr>
          <w:rFonts w:hint="eastAsia" w:ascii="宋体"/>
          <w:b/>
          <w:bCs/>
          <w:color w:val="auto"/>
          <w:sz w:val="52"/>
          <w:szCs w:val="52"/>
        </w:rPr>
        <w:t>环境</w:t>
      </w:r>
      <w:r>
        <w:rPr>
          <w:rFonts w:hint="eastAsia" w:ascii="宋体"/>
          <w:b/>
          <w:bCs/>
          <w:color w:val="auto"/>
          <w:sz w:val="52"/>
          <w:szCs w:val="52"/>
          <w:lang w:val="en-US" w:eastAsia="zh-CN"/>
        </w:rPr>
        <w:t>监测中心</w:t>
      </w:r>
      <w:r>
        <w:rPr>
          <w:rFonts w:hint="eastAsia" w:ascii="宋体"/>
          <w:b/>
          <w:bCs/>
          <w:color w:val="auto"/>
          <w:sz w:val="52"/>
          <w:szCs w:val="52"/>
        </w:rPr>
        <w:t>站</w:t>
      </w:r>
    </w:p>
    <w:p>
      <w:pPr>
        <w:pageBreakBefore w:val="0"/>
        <w:kinsoku/>
        <w:wordWrap/>
        <w:topLinePunct w:val="0"/>
        <w:bidi w:val="0"/>
        <w:spacing w:line="360" w:lineRule="auto"/>
        <w:jc w:val="center"/>
        <w:rPr>
          <w:rFonts w:ascii="宋体"/>
          <w:b/>
          <w:bCs/>
          <w:color w:val="auto"/>
          <w:sz w:val="52"/>
          <w:szCs w:val="52"/>
        </w:rPr>
      </w:pPr>
      <w:r>
        <w:rPr>
          <w:rFonts w:hint="eastAsia" w:ascii="宋体"/>
          <w:b/>
          <w:bCs/>
          <w:color w:val="auto"/>
          <w:sz w:val="52"/>
          <w:szCs w:val="52"/>
          <w:lang w:val="en-US" w:eastAsia="zh-CN"/>
        </w:rPr>
        <w:t>办公家具</w:t>
      </w:r>
      <w:r>
        <w:rPr>
          <w:rFonts w:hint="eastAsia" w:ascii="宋体"/>
          <w:b/>
          <w:bCs/>
          <w:color w:val="auto"/>
          <w:sz w:val="52"/>
          <w:szCs w:val="52"/>
        </w:rPr>
        <w:t>采购项目</w:t>
      </w:r>
    </w:p>
    <w:p>
      <w:pPr>
        <w:pageBreakBefore w:val="0"/>
        <w:kinsoku/>
        <w:wordWrap/>
        <w:topLinePunct w:val="0"/>
        <w:bidi w:val="0"/>
        <w:spacing w:line="360" w:lineRule="auto"/>
        <w:jc w:val="center"/>
        <w:rPr>
          <w:rFonts w:ascii="宋体"/>
          <w:b/>
          <w:color w:val="auto"/>
          <w:sz w:val="52"/>
          <w:szCs w:val="52"/>
        </w:rPr>
      </w:pPr>
    </w:p>
    <w:p>
      <w:pPr>
        <w:keepNext/>
        <w:keepLines/>
        <w:pageBreakBefore w:val="0"/>
        <w:kinsoku/>
        <w:wordWrap/>
        <w:topLinePunct w:val="0"/>
        <w:bidi w:val="0"/>
        <w:spacing w:before="120" w:after="260" w:line="360" w:lineRule="auto"/>
        <w:jc w:val="center"/>
        <w:outlineLvl w:val="3"/>
        <w:rPr>
          <w:rFonts w:ascii="宋体"/>
          <w:b/>
          <w:color w:val="auto"/>
          <w:sz w:val="72"/>
          <w:szCs w:val="72"/>
        </w:rPr>
      </w:pPr>
      <w:r>
        <w:rPr>
          <w:rFonts w:hint="eastAsia" w:ascii="宋体"/>
          <w:b/>
          <w:color w:val="auto"/>
          <w:sz w:val="72"/>
          <w:szCs w:val="72"/>
          <w:lang w:val="en-US" w:eastAsia="zh-CN"/>
        </w:rPr>
        <w:t>采   购</w:t>
      </w:r>
      <w:r>
        <w:rPr>
          <w:rFonts w:hint="eastAsia" w:ascii="宋体"/>
          <w:b/>
          <w:color w:val="auto"/>
          <w:sz w:val="72"/>
          <w:szCs w:val="72"/>
        </w:rPr>
        <w:t>　文　件</w:t>
      </w:r>
    </w:p>
    <w:p>
      <w:pPr>
        <w:pageBreakBefore w:val="0"/>
        <w:kinsoku/>
        <w:wordWrap/>
        <w:topLinePunct w:val="0"/>
        <w:bidi w:val="0"/>
        <w:spacing w:line="360" w:lineRule="auto"/>
        <w:jc w:val="center"/>
        <w:rPr>
          <w:rFonts w:ascii="方正小标宋简体" w:eastAsia="方正小标宋简体"/>
          <w:bCs/>
          <w:color w:val="auto"/>
          <w:sz w:val="36"/>
          <w:szCs w:val="36"/>
        </w:rPr>
      </w:pPr>
    </w:p>
    <w:p>
      <w:pPr>
        <w:pageBreakBefore w:val="0"/>
        <w:kinsoku/>
        <w:wordWrap/>
        <w:topLinePunct w:val="0"/>
        <w:bidi w:val="0"/>
        <w:spacing w:line="360" w:lineRule="auto"/>
        <w:jc w:val="center"/>
        <w:rPr>
          <w:rFonts w:ascii="方正小标宋简体" w:eastAsia="方正小标宋简体"/>
          <w:bCs/>
          <w:color w:val="auto"/>
          <w:sz w:val="36"/>
          <w:szCs w:val="36"/>
        </w:rPr>
      </w:pPr>
    </w:p>
    <w:p>
      <w:pPr>
        <w:pageBreakBefore w:val="0"/>
        <w:kinsoku/>
        <w:wordWrap/>
        <w:topLinePunct w:val="0"/>
        <w:bidi w:val="0"/>
        <w:spacing w:line="360" w:lineRule="auto"/>
        <w:jc w:val="center"/>
        <w:rPr>
          <w:rFonts w:ascii="方正小标宋简体" w:eastAsia="方正小标宋简体"/>
          <w:bCs/>
          <w:color w:val="auto"/>
          <w:sz w:val="36"/>
          <w:szCs w:val="36"/>
        </w:rPr>
      </w:pPr>
    </w:p>
    <w:p>
      <w:pPr>
        <w:pageBreakBefore w:val="0"/>
        <w:kinsoku/>
        <w:wordWrap/>
        <w:topLinePunct w:val="0"/>
        <w:bidi w:val="0"/>
        <w:spacing w:line="360" w:lineRule="auto"/>
        <w:ind w:firstLine="1943" w:firstLineChars="645"/>
        <w:rPr>
          <w:rFonts w:hint="default" w:ascii="宋体" w:eastAsia="宋体"/>
          <w:b w:val="0"/>
          <w:bCs w:val="0"/>
          <w:color w:val="auto"/>
          <w:sz w:val="30"/>
          <w:szCs w:val="30"/>
          <w:lang w:val="en-US" w:eastAsia="zh-CN"/>
        </w:rPr>
      </w:pPr>
      <w:r>
        <w:rPr>
          <w:rFonts w:hint="eastAsia" w:ascii="宋体"/>
          <w:b/>
          <w:bCs/>
          <w:color w:val="auto"/>
          <w:sz w:val="30"/>
          <w:szCs w:val="30"/>
          <w:lang w:val="en-US" w:eastAsia="zh-CN"/>
        </w:rPr>
        <w:t>项目编号：</w:t>
      </w:r>
      <w:r>
        <w:rPr>
          <w:rFonts w:hint="eastAsia" w:ascii="宋体"/>
          <w:b w:val="0"/>
          <w:bCs w:val="0"/>
          <w:color w:val="auto"/>
          <w:sz w:val="30"/>
          <w:szCs w:val="30"/>
          <w:lang w:val="en-US" w:eastAsia="zh-CN"/>
        </w:rPr>
        <w:t>PTHJJC202302</w:t>
      </w:r>
    </w:p>
    <w:p>
      <w:pPr>
        <w:pageBreakBefore w:val="0"/>
        <w:kinsoku/>
        <w:wordWrap/>
        <w:topLinePunct w:val="0"/>
        <w:bidi w:val="0"/>
        <w:spacing w:line="360" w:lineRule="auto"/>
        <w:ind w:firstLine="1943" w:firstLineChars="645"/>
        <w:rPr>
          <w:rFonts w:ascii="宋体"/>
          <w:color w:val="auto"/>
          <w:sz w:val="30"/>
          <w:szCs w:val="30"/>
        </w:rPr>
      </w:pPr>
      <w:r>
        <w:rPr>
          <w:rFonts w:hint="eastAsia" w:ascii="宋体"/>
          <w:b/>
          <w:color w:val="auto"/>
          <w:sz w:val="30"/>
          <w:szCs w:val="30"/>
        </w:rPr>
        <w:t>项目名称：</w:t>
      </w:r>
      <w:r>
        <w:rPr>
          <w:rFonts w:hint="eastAsia" w:ascii="宋体"/>
          <w:color w:val="auto"/>
          <w:sz w:val="30"/>
          <w:szCs w:val="30"/>
          <w:lang w:val="en-US" w:eastAsia="zh-CN"/>
        </w:rPr>
        <w:t>办公家具</w:t>
      </w:r>
      <w:r>
        <w:rPr>
          <w:rFonts w:hint="eastAsia" w:ascii="宋体"/>
          <w:color w:val="auto"/>
          <w:sz w:val="30"/>
          <w:szCs w:val="30"/>
        </w:rPr>
        <w:t>采购</w:t>
      </w:r>
    </w:p>
    <w:p>
      <w:pPr>
        <w:pageBreakBefore w:val="0"/>
        <w:kinsoku/>
        <w:wordWrap/>
        <w:topLinePunct w:val="0"/>
        <w:bidi w:val="0"/>
        <w:spacing w:line="360" w:lineRule="auto"/>
        <w:ind w:firstLine="1943" w:firstLineChars="645"/>
        <w:rPr>
          <w:rFonts w:hint="eastAsia" w:ascii="宋体" w:eastAsia="宋体"/>
          <w:color w:val="auto"/>
          <w:sz w:val="30"/>
          <w:szCs w:val="30"/>
          <w:lang w:eastAsia="zh-CN"/>
        </w:rPr>
      </w:pPr>
      <w:r>
        <w:rPr>
          <w:rFonts w:hint="eastAsia" w:ascii="宋体"/>
          <w:b/>
          <w:color w:val="auto"/>
          <w:sz w:val="30"/>
          <w:szCs w:val="30"/>
        </w:rPr>
        <w:t>采购单位：</w:t>
      </w:r>
      <w:r>
        <w:rPr>
          <w:rFonts w:hint="eastAsia" w:ascii="宋体"/>
          <w:color w:val="auto"/>
          <w:sz w:val="30"/>
          <w:szCs w:val="30"/>
          <w:lang w:eastAsia="zh-CN"/>
        </w:rPr>
        <w:t>福建省莆田环境监测中心站</w:t>
      </w:r>
    </w:p>
    <w:p>
      <w:pPr>
        <w:pageBreakBefore w:val="0"/>
        <w:kinsoku/>
        <w:wordWrap/>
        <w:topLinePunct w:val="0"/>
        <w:bidi w:val="0"/>
        <w:spacing w:line="360" w:lineRule="auto"/>
        <w:rPr>
          <w:rFonts w:ascii="宋体"/>
          <w:color w:val="auto"/>
          <w:sz w:val="36"/>
          <w:szCs w:val="20"/>
        </w:rPr>
      </w:pPr>
    </w:p>
    <w:p>
      <w:pPr>
        <w:pageBreakBefore w:val="0"/>
        <w:kinsoku/>
        <w:wordWrap/>
        <w:topLinePunct w:val="0"/>
        <w:bidi w:val="0"/>
        <w:spacing w:line="360" w:lineRule="auto"/>
        <w:rPr>
          <w:rFonts w:ascii="宋体"/>
          <w:color w:val="auto"/>
          <w:sz w:val="36"/>
          <w:szCs w:val="20"/>
        </w:rPr>
      </w:pPr>
    </w:p>
    <w:p>
      <w:pPr>
        <w:pageBreakBefore w:val="0"/>
        <w:kinsoku/>
        <w:wordWrap/>
        <w:topLinePunct w:val="0"/>
        <w:bidi w:val="0"/>
        <w:spacing w:line="360" w:lineRule="auto"/>
        <w:rPr>
          <w:rFonts w:ascii="宋体"/>
          <w:color w:val="auto"/>
          <w:sz w:val="36"/>
          <w:szCs w:val="20"/>
        </w:rPr>
      </w:pPr>
    </w:p>
    <w:p>
      <w:pPr>
        <w:pageBreakBefore w:val="0"/>
        <w:kinsoku/>
        <w:wordWrap/>
        <w:topLinePunct w:val="0"/>
        <w:bidi w:val="0"/>
        <w:spacing w:line="360" w:lineRule="auto"/>
        <w:rPr>
          <w:rFonts w:ascii="宋体"/>
          <w:color w:val="auto"/>
          <w:sz w:val="36"/>
          <w:szCs w:val="20"/>
        </w:rPr>
      </w:pPr>
    </w:p>
    <w:p>
      <w:pPr>
        <w:pageBreakBefore w:val="0"/>
        <w:kinsoku/>
        <w:wordWrap/>
        <w:topLinePunct w:val="0"/>
        <w:bidi w:val="0"/>
        <w:spacing w:line="360" w:lineRule="auto"/>
        <w:jc w:val="center"/>
        <w:rPr>
          <w:rFonts w:hint="eastAsia" w:ascii="宋体" w:eastAsia="宋体"/>
          <w:b/>
          <w:color w:val="auto"/>
          <w:sz w:val="32"/>
          <w:szCs w:val="32"/>
          <w:lang w:eastAsia="zh-CN"/>
        </w:rPr>
      </w:pPr>
      <w:r>
        <w:rPr>
          <w:rFonts w:hint="eastAsia" w:ascii="宋体"/>
          <w:b/>
          <w:bCs/>
          <w:color w:val="auto"/>
          <w:sz w:val="32"/>
          <w:szCs w:val="32"/>
          <w:lang w:eastAsia="zh-CN"/>
        </w:rPr>
        <w:t>福建省莆田环境监测中心站</w:t>
      </w:r>
    </w:p>
    <w:p>
      <w:pPr>
        <w:pageBreakBefore w:val="0"/>
        <w:kinsoku/>
        <w:wordWrap/>
        <w:topLinePunct w:val="0"/>
        <w:bidi w:val="0"/>
        <w:spacing w:line="360" w:lineRule="auto"/>
        <w:jc w:val="center"/>
        <w:rPr>
          <w:rFonts w:ascii="宋体"/>
          <w:b/>
          <w:color w:val="auto"/>
          <w:sz w:val="32"/>
          <w:szCs w:val="32"/>
        </w:rPr>
      </w:pPr>
      <w:r>
        <w:rPr>
          <w:rFonts w:hint="eastAsia" w:ascii="宋体"/>
          <w:b/>
          <w:color w:val="auto"/>
          <w:sz w:val="32"/>
          <w:szCs w:val="32"/>
          <w:lang w:val="en-US" w:eastAsia="zh-CN"/>
        </w:rPr>
        <w:t>2023</w:t>
      </w:r>
      <w:r>
        <w:rPr>
          <w:rFonts w:hint="eastAsia" w:ascii="宋体"/>
          <w:b/>
          <w:color w:val="auto"/>
          <w:sz w:val="32"/>
          <w:szCs w:val="32"/>
        </w:rPr>
        <w:t>年</w:t>
      </w:r>
      <w:r>
        <w:rPr>
          <w:rFonts w:hint="eastAsia" w:ascii="宋体"/>
          <w:b/>
          <w:color w:val="auto"/>
          <w:sz w:val="32"/>
          <w:szCs w:val="32"/>
          <w:lang w:val="en-US" w:eastAsia="zh-CN"/>
        </w:rPr>
        <w:t>9</w:t>
      </w:r>
      <w:r>
        <w:rPr>
          <w:rFonts w:hint="eastAsia" w:ascii="宋体"/>
          <w:b/>
          <w:color w:val="auto"/>
          <w:sz w:val="32"/>
          <w:szCs w:val="32"/>
        </w:rPr>
        <w:t>月</w:t>
      </w:r>
    </w:p>
    <w:p>
      <w:pPr>
        <w:pageBreakBefore w:val="0"/>
        <w:kinsoku/>
        <w:wordWrap/>
        <w:topLinePunct w:val="0"/>
        <w:bidi w:val="0"/>
        <w:spacing w:line="360" w:lineRule="auto"/>
        <w:rPr>
          <w:color w:val="auto"/>
          <w:sz w:val="32"/>
          <w:szCs w:val="32"/>
        </w:rPr>
        <w:sectPr>
          <w:footerReference r:id="rId3" w:type="default"/>
          <w:pgSz w:w="11907" w:h="16839"/>
          <w:pgMar w:top="2098" w:right="1474" w:bottom="1984" w:left="1587" w:header="851" w:footer="992" w:gutter="0"/>
          <w:pgNumType w:fmt="numberInDash"/>
          <w:cols w:space="720" w:num="1"/>
          <w:docGrid w:type="lines" w:linePitch="312" w:charSpace="0"/>
        </w:sectPr>
      </w:pPr>
    </w:p>
    <w:p>
      <w:pPr>
        <w:pageBreakBefore w:val="0"/>
        <w:kinsoku/>
        <w:wordWrap/>
        <w:topLinePunct w:val="0"/>
        <w:bidi w:val="0"/>
        <w:spacing w:line="360" w:lineRule="auto"/>
        <w:jc w:val="center"/>
        <w:rPr>
          <w:rFonts w:ascii="黑体" w:eastAsia="黑体"/>
          <w:b/>
          <w:color w:val="auto"/>
          <w:szCs w:val="32"/>
        </w:rPr>
      </w:pPr>
    </w:p>
    <w:p>
      <w:pPr>
        <w:pageBreakBefore w:val="0"/>
        <w:kinsoku/>
        <w:wordWrap/>
        <w:topLinePunct w:val="0"/>
        <w:bidi w:val="0"/>
        <w:spacing w:line="360" w:lineRule="auto"/>
        <w:jc w:val="center"/>
        <w:rPr>
          <w:rFonts w:ascii="黑体" w:eastAsia="黑体"/>
          <w:b/>
          <w:color w:val="auto"/>
          <w:sz w:val="44"/>
          <w:szCs w:val="44"/>
        </w:rPr>
      </w:pPr>
      <w:r>
        <w:rPr>
          <w:rFonts w:hint="eastAsia" w:ascii="黑体" w:eastAsia="黑体"/>
          <w:b/>
          <w:color w:val="auto"/>
          <w:sz w:val="44"/>
          <w:szCs w:val="44"/>
        </w:rPr>
        <w:t>目 录</w:t>
      </w:r>
    </w:p>
    <w:p>
      <w:pPr>
        <w:pageBreakBefore w:val="0"/>
        <w:kinsoku/>
        <w:wordWrap/>
        <w:topLinePunct w:val="0"/>
        <w:bidi w:val="0"/>
        <w:spacing w:line="360" w:lineRule="auto"/>
        <w:jc w:val="center"/>
        <w:rPr>
          <w:color w:val="auto"/>
        </w:rPr>
      </w:pPr>
    </w:p>
    <w:p>
      <w:pPr>
        <w:pStyle w:val="9"/>
        <w:pageBreakBefore w:val="0"/>
        <w:tabs>
          <w:tab w:val="right" w:leader="dot" w:pos="8307"/>
        </w:tabs>
        <w:kinsoku/>
        <w:wordWrap/>
        <w:topLinePunct w:val="0"/>
        <w:bidi w:val="0"/>
        <w:spacing w:line="360" w:lineRule="auto"/>
        <w:rPr>
          <w:rFonts w:hint="eastAsia" w:ascii="宋体" w:hAnsi="宋体" w:eastAsia="宋体" w:cs="宋体"/>
          <w:color w:val="auto"/>
          <w:sz w:val="30"/>
          <w:szCs w:val="30"/>
        </w:rPr>
      </w:pPr>
      <w:r>
        <w:rPr>
          <w:rFonts w:hint="eastAsia" w:ascii="宋体" w:hAnsi="宋体" w:eastAsia="宋体" w:cs="宋体"/>
          <w:color w:val="auto"/>
          <w:sz w:val="30"/>
          <w:szCs w:val="30"/>
        </w:rPr>
        <w:fldChar w:fldCharType="begin"/>
      </w:r>
      <w:r>
        <w:rPr>
          <w:rFonts w:hint="eastAsia" w:ascii="宋体" w:hAnsi="宋体" w:eastAsia="宋体" w:cs="宋体"/>
          <w:color w:val="auto"/>
          <w:sz w:val="30"/>
          <w:szCs w:val="30"/>
        </w:rPr>
        <w:instrText xml:space="preserve">TOC \o "1-3" \f \h \u </w:instrText>
      </w:r>
      <w:r>
        <w:rPr>
          <w:rFonts w:hint="eastAsia" w:ascii="宋体" w:hAnsi="宋体" w:eastAsia="宋体" w:cs="宋体"/>
          <w:color w:val="auto"/>
          <w:sz w:val="30"/>
          <w:szCs w:val="30"/>
        </w:rPr>
        <w:fldChar w:fldCharType="separate"/>
      </w:r>
      <w:r>
        <w:rPr>
          <w:rFonts w:hint="eastAsia" w:ascii="宋体" w:hAnsi="宋体" w:eastAsia="宋体" w:cs="宋体"/>
          <w:color w:val="auto"/>
          <w:sz w:val="30"/>
          <w:szCs w:val="30"/>
        </w:rPr>
        <w:fldChar w:fldCharType="begin"/>
      </w:r>
      <w:r>
        <w:rPr>
          <w:rFonts w:hint="eastAsia" w:ascii="宋体" w:hAnsi="宋体" w:eastAsia="宋体" w:cs="宋体"/>
          <w:color w:val="auto"/>
          <w:sz w:val="30"/>
          <w:szCs w:val="30"/>
        </w:rPr>
        <w:instrText xml:space="preserve"> HYPERLINK \l _Toc2096 </w:instrText>
      </w:r>
      <w:r>
        <w:rPr>
          <w:rFonts w:hint="eastAsia" w:ascii="宋体" w:hAnsi="宋体" w:eastAsia="宋体" w:cs="宋体"/>
          <w:color w:val="auto"/>
          <w:sz w:val="30"/>
          <w:szCs w:val="30"/>
        </w:rPr>
        <w:fldChar w:fldCharType="separate"/>
      </w:r>
      <w:r>
        <w:rPr>
          <w:rFonts w:hint="eastAsia" w:ascii="宋体" w:hAnsi="宋体" w:eastAsia="宋体" w:cs="宋体"/>
          <w:bCs/>
          <w:color w:val="auto"/>
          <w:sz w:val="30"/>
          <w:szCs w:val="30"/>
          <w:lang w:val="en-US" w:eastAsia="zh-CN"/>
        </w:rPr>
        <w:t>一、</w:t>
      </w:r>
      <w:r>
        <w:rPr>
          <w:rFonts w:hint="eastAsia" w:ascii="宋体" w:hAnsi="宋体" w:eastAsia="宋体" w:cs="宋体"/>
          <w:bCs/>
          <w:color w:val="auto"/>
          <w:sz w:val="30"/>
          <w:szCs w:val="30"/>
        </w:rPr>
        <w:t>邀请函</w:t>
      </w:r>
      <w:r>
        <w:rPr>
          <w:rFonts w:hint="eastAsia" w:ascii="宋体" w:hAnsi="宋体" w:eastAsia="宋体" w:cs="宋体"/>
          <w:color w:val="auto"/>
          <w:sz w:val="30"/>
          <w:szCs w:val="30"/>
        </w:rPr>
        <w:tab/>
      </w:r>
      <w:r>
        <w:rPr>
          <w:rFonts w:hint="eastAsia" w:ascii="宋体" w:hAnsi="宋体" w:eastAsia="宋体" w:cs="宋体"/>
          <w:color w:val="auto"/>
          <w:sz w:val="30"/>
          <w:szCs w:val="30"/>
        </w:rPr>
        <w:fldChar w:fldCharType="begin"/>
      </w:r>
      <w:r>
        <w:rPr>
          <w:rFonts w:hint="eastAsia" w:ascii="宋体" w:hAnsi="宋体" w:eastAsia="宋体" w:cs="宋体"/>
          <w:color w:val="auto"/>
          <w:sz w:val="30"/>
          <w:szCs w:val="30"/>
        </w:rPr>
        <w:instrText xml:space="preserve"> PAGEREF _Toc2096 \h </w:instrText>
      </w:r>
      <w:r>
        <w:rPr>
          <w:rFonts w:hint="eastAsia" w:ascii="宋体" w:hAnsi="宋体" w:eastAsia="宋体" w:cs="宋体"/>
          <w:color w:val="auto"/>
          <w:sz w:val="30"/>
          <w:szCs w:val="30"/>
        </w:rPr>
        <w:fldChar w:fldCharType="separate"/>
      </w:r>
      <w:r>
        <w:rPr>
          <w:rFonts w:hint="eastAsia" w:ascii="宋体" w:hAnsi="宋体" w:eastAsia="宋体" w:cs="宋体"/>
          <w:color w:val="auto"/>
          <w:sz w:val="30"/>
          <w:szCs w:val="30"/>
        </w:rPr>
        <w:t>- 3 -</w:t>
      </w:r>
      <w:r>
        <w:rPr>
          <w:rFonts w:hint="eastAsia" w:ascii="宋体" w:hAnsi="宋体" w:eastAsia="宋体" w:cs="宋体"/>
          <w:color w:val="auto"/>
          <w:sz w:val="30"/>
          <w:szCs w:val="30"/>
        </w:rPr>
        <w:fldChar w:fldCharType="end"/>
      </w:r>
      <w:r>
        <w:rPr>
          <w:rFonts w:hint="eastAsia" w:ascii="宋体" w:hAnsi="宋体" w:eastAsia="宋体" w:cs="宋体"/>
          <w:color w:val="auto"/>
          <w:sz w:val="30"/>
          <w:szCs w:val="30"/>
        </w:rPr>
        <w:fldChar w:fldCharType="end"/>
      </w:r>
    </w:p>
    <w:p>
      <w:pPr>
        <w:pStyle w:val="9"/>
        <w:pageBreakBefore w:val="0"/>
        <w:tabs>
          <w:tab w:val="right" w:leader="dot" w:pos="8307"/>
        </w:tabs>
        <w:kinsoku/>
        <w:wordWrap/>
        <w:topLinePunct w:val="0"/>
        <w:bidi w:val="0"/>
        <w:spacing w:line="360" w:lineRule="auto"/>
        <w:rPr>
          <w:rFonts w:hint="eastAsia" w:ascii="宋体" w:hAnsi="宋体" w:eastAsia="宋体" w:cs="宋体"/>
          <w:color w:val="auto"/>
          <w:sz w:val="30"/>
          <w:szCs w:val="30"/>
        </w:rPr>
      </w:pPr>
      <w:r>
        <w:rPr>
          <w:rFonts w:hint="eastAsia" w:ascii="宋体" w:hAnsi="宋体" w:eastAsia="宋体" w:cs="宋体"/>
          <w:color w:val="auto"/>
          <w:sz w:val="30"/>
          <w:szCs w:val="30"/>
        </w:rPr>
        <w:fldChar w:fldCharType="begin"/>
      </w:r>
      <w:r>
        <w:rPr>
          <w:rFonts w:hint="eastAsia" w:ascii="宋体" w:hAnsi="宋体" w:eastAsia="宋体" w:cs="宋体"/>
          <w:color w:val="auto"/>
          <w:sz w:val="30"/>
          <w:szCs w:val="30"/>
        </w:rPr>
        <w:instrText xml:space="preserve"> HYPERLINK \l _Toc367 </w:instrText>
      </w:r>
      <w:r>
        <w:rPr>
          <w:rFonts w:hint="eastAsia" w:ascii="宋体" w:hAnsi="宋体" w:eastAsia="宋体" w:cs="宋体"/>
          <w:color w:val="auto"/>
          <w:sz w:val="30"/>
          <w:szCs w:val="30"/>
        </w:rPr>
        <w:fldChar w:fldCharType="separate"/>
      </w:r>
      <w:r>
        <w:rPr>
          <w:rFonts w:hint="eastAsia" w:ascii="宋体" w:hAnsi="宋体" w:eastAsia="宋体" w:cs="宋体"/>
          <w:color w:val="auto"/>
          <w:sz w:val="30"/>
          <w:szCs w:val="30"/>
          <w:lang w:eastAsia="zh-CN"/>
        </w:rPr>
        <w:t>二、</w:t>
      </w:r>
      <w:r>
        <w:rPr>
          <w:rFonts w:hint="eastAsia" w:ascii="宋体" w:hAnsi="宋体" w:eastAsia="宋体" w:cs="宋体"/>
          <w:color w:val="auto"/>
          <w:sz w:val="30"/>
          <w:szCs w:val="30"/>
        </w:rPr>
        <w:t>报价须知</w:t>
      </w:r>
      <w:r>
        <w:rPr>
          <w:rFonts w:hint="eastAsia" w:ascii="宋体" w:hAnsi="宋体" w:eastAsia="宋体" w:cs="宋体"/>
          <w:color w:val="auto"/>
          <w:sz w:val="30"/>
          <w:szCs w:val="30"/>
        </w:rPr>
        <w:tab/>
      </w:r>
      <w:r>
        <w:rPr>
          <w:rFonts w:hint="eastAsia" w:ascii="宋体" w:hAnsi="宋体" w:eastAsia="宋体" w:cs="宋体"/>
          <w:color w:val="auto"/>
          <w:sz w:val="30"/>
          <w:szCs w:val="30"/>
        </w:rPr>
        <w:fldChar w:fldCharType="begin"/>
      </w:r>
      <w:r>
        <w:rPr>
          <w:rFonts w:hint="eastAsia" w:ascii="宋体" w:hAnsi="宋体" w:eastAsia="宋体" w:cs="宋体"/>
          <w:color w:val="auto"/>
          <w:sz w:val="30"/>
          <w:szCs w:val="30"/>
        </w:rPr>
        <w:instrText xml:space="preserve"> PAGEREF _Toc367 \h </w:instrText>
      </w:r>
      <w:r>
        <w:rPr>
          <w:rFonts w:hint="eastAsia" w:ascii="宋体" w:hAnsi="宋体" w:eastAsia="宋体" w:cs="宋体"/>
          <w:color w:val="auto"/>
          <w:sz w:val="30"/>
          <w:szCs w:val="30"/>
        </w:rPr>
        <w:fldChar w:fldCharType="separate"/>
      </w:r>
      <w:r>
        <w:rPr>
          <w:rFonts w:hint="eastAsia" w:ascii="宋体" w:hAnsi="宋体" w:eastAsia="宋体" w:cs="宋体"/>
          <w:color w:val="auto"/>
          <w:sz w:val="30"/>
          <w:szCs w:val="30"/>
        </w:rPr>
        <w:t>- 4 -</w:t>
      </w:r>
      <w:r>
        <w:rPr>
          <w:rFonts w:hint="eastAsia" w:ascii="宋体" w:hAnsi="宋体" w:eastAsia="宋体" w:cs="宋体"/>
          <w:color w:val="auto"/>
          <w:sz w:val="30"/>
          <w:szCs w:val="30"/>
        </w:rPr>
        <w:fldChar w:fldCharType="end"/>
      </w:r>
      <w:r>
        <w:rPr>
          <w:rFonts w:hint="eastAsia" w:ascii="宋体" w:hAnsi="宋体" w:eastAsia="宋体" w:cs="宋体"/>
          <w:color w:val="auto"/>
          <w:sz w:val="30"/>
          <w:szCs w:val="30"/>
        </w:rPr>
        <w:fldChar w:fldCharType="end"/>
      </w:r>
    </w:p>
    <w:p>
      <w:pPr>
        <w:pStyle w:val="9"/>
        <w:pageBreakBefore w:val="0"/>
        <w:tabs>
          <w:tab w:val="right" w:leader="dot" w:pos="8307"/>
        </w:tabs>
        <w:kinsoku/>
        <w:wordWrap/>
        <w:topLinePunct w:val="0"/>
        <w:bidi w:val="0"/>
        <w:spacing w:line="360" w:lineRule="auto"/>
        <w:rPr>
          <w:rFonts w:hint="eastAsia" w:ascii="宋体" w:hAnsi="宋体" w:eastAsia="宋体" w:cs="宋体"/>
          <w:color w:val="auto"/>
          <w:sz w:val="30"/>
          <w:szCs w:val="30"/>
        </w:rPr>
      </w:pPr>
      <w:r>
        <w:rPr>
          <w:rFonts w:hint="eastAsia" w:ascii="宋体" w:hAnsi="宋体" w:eastAsia="宋体" w:cs="宋体"/>
          <w:color w:val="auto"/>
          <w:sz w:val="30"/>
          <w:szCs w:val="30"/>
        </w:rPr>
        <w:fldChar w:fldCharType="begin"/>
      </w:r>
      <w:r>
        <w:rPr>
          <w:rFonts w:hint="eastAsia" w:ascii="宋体" w:hAnsi="宋体" w:eastAsia="宋体" w:cs="宋体"/>
          <w:color w:val="auto"/>
          <w:sz w:val="30"/>
          <w:szCs w:val="30"/>
        </w:rPr>
        <w:instrText xml:space="preserve"> HYPERLINK \l _Toc29577 </w:instrText>
      </w:r>
      <w:r>
        <w:rPr>
          <w:rFonts w:hint="eastAsia" w:ascii="宋体" w:hAnsi="宋体" w:eastAsia="宋体" w:cs="宋体"/>
          <w:color w:val="auto"/>
          <w:sz w:val="30"/>
          <w:szCs w:val="30"/>
        </w:rPr>
        <w:fldChar w:fldCharType="separate"/>
      </w:r>
      <w:r>
        <w:rPr>
          <w:rFonts w:hint="eastAsia" w:ascii="宋体" w:hAnsi="宋体" w:eastAsia="宋体" w:cs="宋体"/>
          <w:color w:val="auto"/>
          <w:sz w:val="30"/>
          <w:szCs w:val="30"/>
          <w:lang w:eastAsia="zh-CN"/>
        </w:rPr>
        <w:t>三、</w:t>
      </w:r>
      <w:r>
        <w:rPr>
          <w:rFonts w:hint="eastAsia" w:ascii="宋体" w:hAnsi="宋体" w:eastAsia="宋体" w:cs="宋体"/>
          <w:color w:val="auto"/>
          <w:sz w:val="30"/>
          <w:szCs w:val="30"/>
        </w:rPr>
        <w:t>采购项目及要求</w:t>
      </w:r>
      <w:r>
        <w:rPr>
          <w:rFonts w:hint="eastAsia" w:ascii="宋体" w:hAnsi="宋体" w:eastAsia="宋体" w:cs="宋体"/>
          <w:color w:val="auto"/>
          <w:sz w:val="30"/>
          <w:szCs w:val="30"/>
        </w:rPr>
        <w:tab/>
      </w:r>
      <w:r>
        <w:rPr>
          <w:rFonts w:hint="eastAsia" w:ascii="宋体" w:hAnsi="宋体" w:eastAsia="宋体" w:cs="宋体"/>
          <w:color w:val="auto"/>
          <w:sz w:val="30"/>
          <w:szCs w:val="30"/>
        </w:rPr>
        <w:fldChar w:fldCharType="begin"/>
      </w:r>
      <w:r>
        <w:rPr>
          <w:rFonts w:hint="eastAsia" w:ascii="宋体" w:hAnsi="宋体" w:eastAsia="宋体" w:cs="宋体"/>
          <w:color w:val="auto"/>
          <w:sz w:val="30"/>
          <w:szCs w:val="30"/>
        </w:rPr>
        <w:instrText xml:space="preserve"> PAGEREF _Toc29577 \h </w:instrText>
      </w:r>
      <w:r>
        <w:rPr>
          <w:rFonts w:hint="eastAsia" w:ascii="宋体" w:hAnsi="宋体" w:eastAsia="宋体" w:cs="宋体"/>
          <w:color w:val="auto"/>
          <w:sz w:val="30"/>
          <w:szCs w:val="30"/>
        </w:rPr>
        <w:fldChar w:fldCharType="separate"/>
      </w:r>
      <w:r>
        <w:rPr>
          <w:rFonts w:hint="eastAsia" w:ascii="宋体" w:hAnsi="宋体" w:eastAsia="宋体" w:cs="宋体"/>
          <w:color w:val="auto"/>
          <w:sz w:val="30"/>
          <w:szCs w:val="30"/>
        </w:rPr>
        <w:t>- 8 -</w:t>
      </w:r>
      <w:r>
        <w:rPr>
          <w:rFonts w:hint="eastAsia" w:ascii="宋体" w:hAnsi="宋体" w:eastAsia="宋体" w:cs="宋体"/>
          <w:color w:val="auto"/>
          <w:sz w:val="30"/>
          <w:szCs w:val="30"/>
        </w:rPr>
        <w:fldChar w:fldCharType="end"/>
      </w:r>
      <w:r>
        <w:rPr>
          <w:rFonts w:hint="eastAsia" w:ascii="宋体" w:hAnsi="宋体" w:eastAsia="宋体" w:cs="宋体"/>
          <w:color w:val="auto"/>
          <w:sz w:val="30"/>
          <w:szCs w:val="30"/>
        </w:rPr>
        <w:fldChar w:fldCharType="end"/>
      </w:r>
    </w:p>
    <w:p>
      <w:pPr>
        <w:pStyle w:val="9"/>
        <w:pageBreakBefore w:val="0"/>
        <w:tabs>
          <w:tab w:val="right" w:leader="dot" w:pos="8307"/>
        </w:tabs>
        <w:kinsoku/>
        <w:wordWrap/>
        <w:topLinePunct w:val="0"/>
        <w:bidi w:val="0"/>
        <w:spacing w:line="360" w:lineRule="auto"/>
        <w:rPr>
          <w:rFonts w:hint="eastAsia" w:ascii="宋体" w:hAnsi="宋体" w:eastAsia="宋体" w:cs="宋体"/>
          <w:color w:val="auto"/>
          <w:sz w:val="30"/>
          <w:szCs w:val="30"/>
        </w:rPr>
      </w:pPr>
      <w:r>
        <w:rPr>
          <w:rFonts w:hint="eastAsia" w:ascii="宋体" w:hAnsi="宋体" w:eastAsia="宋体" w:cs="宋体"/>
          <w:color w:val="auto"/>
          <w:sz w:val="30"/>
          <w:szCs w:val="30"/>
        </w:rPr>
        <w:fldChar w:fldCharType="begin"/>
      </w:r>
      <w:r>
        <w:rPr>
          <w:rFonts w:hint="eastAsia" w:ascii="宋体" w:hAnsi="宋体" w:eastAsia="宋体" w:cs="宋体"/>
          <w:color w:val="auto"/>
          <w:sz w:val="30"/>
          <w:szCs w:val="30"/>
        </w:rPr>
        <w:instrText xml:space="preserve"> HYPERLINK \l _Toc4776 </w:instrText>
      </w:r>
      <w:r>
        <w:rPr>
          <w:rFonts w:hint="eastAsia" w:ascii="宋体" w:hAnsi="宋体" w:eastAsia="宋体" w:cs="宋体"/>
          <w:color w:val="auto"/>
          <w:sz w:val="30"/>
          <w:szCs w:val="30"/>
        </w:rPr>
        <w:fldChar w:fldCharType="separate"/>
      </w:r>
      <w:r>
        <w:rPr>
          <w:rFonts w:hint="eastAsia" w:ascii="宋体" w:hAnsi="宋体" w:eastAsia="宋体" w:cs="宋体"/>
          <w:color w:val="auto"/>
          <w:sz w:val="30"/>
          <w:szCs w:val="30"/>
          <w:lang w:eastAsia="zh-CN"/>
        </w:rPr>
        <w:t>四、</w:t>
      </w:r>
      <w:r>
        <w:rPr>
          <w:rFonts w:hint="eastAsia" w:ascii="宋体" w:hAnsi="宋体" w:eastAsia="宋体" w:cs="宋体"/>
          <w:color w:val="auto"/>
          <w:sz w:val="30"/>
          <w:szCs w:val="30"/>
        </w:rPr>
        <w:t>报价文件</w:t>
      </w:r>
      <w:r>
        <w:rPr>
          <w:rFonts w:hint="eastAsia" w:ascii="宋体" w:hAnsi="宋体" w:eastAsia="宋体" w:cs="宋体"/>
          <w:color w:val="auto"/>
          <w:sz w:val="30"/>
          <w:szCs w:val="30"/>
        </w:rPr>
        <w:tab/>
      </w:r>
      <w:r>
        <w:rPr>
          <w:rFonts w:hint="eastAsia" w:ascii="宋体" w:hAnsi="宋体" w:eastAsia="宋体" w:cs="宋体"/>
          <w:color w:val="auto"/>
          <w:sz w:val="30"/>
          <w:szCs w:val="30"/>
        </w:rPr>
        <w:fldChar w:fldCharType="begin"/>
      </w:r>
      <w:r>
        <w:rPr>
          <w:rFonts w:hint="eastAsia" w:ascii="宋体" w:hAnsi="宋体" w:eastAsia="宋体" w:cs="宋体"/>
          <w:color w:val="auto"/>
          <w:sz w:val="30"/>
          <w:szCs w:val="30"/>
        </w:rPr>
        <w:instrText xml:space="preserve"> PAGEREF _Toc4776 \h </w:instrText>
      </w:r>
      <w:r>
        <w:rPr>
          <w:rFonts w:hint="eastAsia" w:ascii="宋体" w:hAnsi="宋体" w:eastAsia="宋体" w:cs="宋体"/>
          <w:color w:val="auto"/>
          <w:sz w:val="30"/>
          <w:szCs w:val="30"/>
        </w:rPr>
        <w:fldChar w:fldCharType="separate"/>
      </w:r>
      <w:r>
        <w:rPr>
          <w:rFonts w:hint="eastAsia" w:ascii="宋体" w:hAnsi="宋体" w:eastAsia="宋体" w:cs="宋体"/>
          <w:color w:val="auto"/>
          <w:sz w:val="30"/>
          <w:szCs w:val="30"/>
        </w:rPr>
        <w:t>- 17 -</w:t>
      </w:r>
      <w:r>
        <w:rPr>
          <w:rFonts w:hint="eastAsia" w:ascii="宋体" w:hAnsi="宋体" w:eastAsia="宋体" w:cs="宋体"/>
          <w:color w:val="auto"/>
          <w:sz w:val="30"/>
          <w:szCs w:val="30"/>
        </w:rPr>
        <w:fldChar w:fldCharType="end"/>
      </w:r>
      <w:r>
        <w:rPr>
          <w:rFonts w:hint="eastAsia" w:ascii="宋体" w:hAnsi="宋体" w:eastAsia="宋体" w:cs="宋体"/>
          <w:color w:val="auto"/>
          <w:sz w:val="30"/>
          <w:szCs w:val="30"/>
        </w:rPr>
        <w:fldChar w:fldCharType="end"/>
      </w:r>
    </w:p>
    <w:p>
      <w:pPr>
        <w:pageBreakBefore w:val="0"/>
        <w:kinsoku/>
        <w:wordWrap/>
        <w:topLinePunct w:val="0"/>
        <w:bidi w:val="0"/>
        <w:spacing w:line="360" w:lineRule="auto"/>
        <w:rPr>
          <w:color w:val="auto"/>
        </w:rPr>
        <w:sectPr>
          <w:pgSz w:w="11907" w:h="16839"/>
          <w:pgMar w:top="1440" w:right="1800" w:bottom="1440" w:left="1800" w:header="851" w:footer="992" w:gutter="0"/>
          <w:pgNumType w:fmt="numberInDash"/>
          <w:cols w:space="720" w:num="1"/>
          <w:docGrid w:type="lines" w:linePitch="312" w:charSpace="0"/>
        </w:sectPr>
      </w:pPr>
      <w:r>
        <w:rPr>
          <w:rFonts w:hint="eastAsia" w:ascii="宋体" w:hAnsi="宋体" w:eastAsia="宋体" w:cs="宋体"/>
          <w:color w:val="auto"/>
          <w:sz w:val="30"/>
          <w:szCs w:val="30"/>
        </w:rPr>
        <w:fldChar w:fldCharType="end"/>
      </w:r>
    </w:p>
    <w:p>
      <w:pPr>
        <w:pStyle w:val="3"/>
        <w:pageBreakBefore w:val="0"/>
        <w:kinsoku/>
        <w:wordWrap/>
        <w:topLinePunct w:val="0"/>
        <w:bidi w:val="0"/>
        <w:spacing w:line="360" w:lineRule="auto"/>
        <w:jc w:val="center"/>
        <w:rPr>
          <w:rFonts w:hint="eastAsia" w:ascii="黑体" w:hAnsi="黑体" w:eastAsia="黑体" w:cs="黑体"/>
          <w:b w:val="0"/>
          <w:bCs/>
          <w:color w:val="auto"/>
        </w:rPr>
      </w:pPr>
      <w:bookmarkStart w:id="0" w:name="_Toc64885129"/>
      <w:bookmarkStart w:id="1" w:name="_Toc2096"/>
      <w:bookmarkStart w:id="2" w:name="_Toc17829"/>
      <w:r>
        <w:rPr>
          <w:rFonts w:hint="eastAsia" w:ascii="黑体" w:hAnsi="黑体" w:eastAsia="黑体" w:cs="黑体"/>
          <w:b w:val="0"/>
          <w:bCs/>
          <w:color w:val="auto"/>
          <w:lang w:val="en-US" w:eastAsia="zh-CN"/>
        </w:rPr>
        <w:t>一、</w:t>
      </w:r>
      <w:r>
        <w:rPr>
          <w:rFonts w:hint="eastAsia" w:ascii="黑体" w:hAnsi="黑体" w:eastAsia="黑体" w:cs="黑体"/>
          <w:b w:val="0"/>
          <w:bCs/>
          <w:color w:val="auto"/>
        </w:rPr>
        <w:t>邀请函</w:t>
      </w:r>
      <w:bookmarkEnd w:id="0"/>
      <w:bookmarkEnd w:id="1"/>
      <w:bookmarkEnd w:id="2"/>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color w:val="auto"/>
          <w:sz w:val="24"/>
        </w:rPr>
      </w:pPr>
      <w:r>
        <w:rPr>
          <w:rFonts w:hint="eastAsia" w:ascii="宋体"/>
          <w:color w:val="auto"/>
          <w:sz w:val="24"/>
        </w:rPr>
        <w:t>根据工作需要，拟对</w:t>
      </w:r>
      <w:r>
        <w:rPr>
          <w:rFonts w:hint="eastAsia" w:ascii="宋体"/>
          <w:color w:val="auto"/>
          <w:sz w:val="24"/>
          <w:lang w:eastAsia="zh-CN"/>
        </w:rPr>
        <w:t>福建省莆田环境监测中心站</w:t>
      </w:r>
      <w:r>
        <w:rPr>
          <w:rFonts w:hint="eastAsia" w:ascii="宋体"/>
          <w:color w:val="auto"/>
          <w:sz w:val="24"/>
          <w:u w:val="single"/>
        </w:rPr>
        <w:t xml:space="preserve"> </w:t>
      </w:r>
      <w:r>
        <w:rPr>
          <w:rFonts w:hint="eastAsia" w:ascii="宋体"/>
          <w:color w:val="auto"/>
          <w:sz w:val="24"/>
          <w:u w:val="single"/>
          <w:lang w:val="en-US" w:eastAsia="zh-CN"/>
        </w:rPr>
        <w:t>办公家具</w:t>
      </w:r>
      <w:r>
        <w:rPr>
          <w:rFonts w:hint="eastAsia" w:ascii="宋体"/>
          <w:color w:val="auto"/>
          <w:sz w:val="24"/>
          <w:u w:val="single"/>
        </w:rPr>
        <w:t xml:space="preserve">采购  </w:t>
      </w:r>
      <w:r>
        <w:rPr>
          <w:rFonts w:hint="eastAsia" w:ascii="宋体"/>
          <w:color w:val="auto"/>
          <w:sz w:val="24"/>
        </w:rPr>
        <w:t>项目进行询价，现欢迎有意向的公司参加报价。</w:t>
      </w:r>
    </w:p>
    <w:p>
      <w:pPr>
        <w:pStyle w:val="6"/>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eastAsia="宋体"/>
          <w:color w:val="auto"/>
          <w:sz w:val="24"/>
          <w:lang w:val="en-US" w:eastAsia="zh-CN"/>
        </w:rPr>
      </w:pPr>
      <w:r>
        <w:rPr>
          <w:color w:val="auto"/>
          <w:sz w:val="24"/>
        </w:rPr>
        <w:t xml:space="preserve">    1、</w:t>
      </w:r>
      <w:r>
        <w:rPr>
          <w:rFonts w:hint="eastAsia" w:ascii="宋体"/>
          <w:color w:val="auto"/>
          <w:sz w:val="24"/>
        </w:rPr>
        <w:t>采购项目内容：见</w:t>
      </w:r>
      <w:r>
        <w:rPr>
          <w:rFonts w:hint="eastAsia" w:ascii="宋体"/>
          <w:color w:val="auto"/>
          <w:sz w:val="24"/>
          <w:szCs w:val="20"/>
        </w:rPr>
        <w:t>采购货物一览表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color w:val="auto"/>
          <w:sz w:val="24"/>
        </w:rPr>
      </w:pPr>
      <w:r>
        <w:rPr>
          <w:rFonts w:hint="eastAsia" w:ascii="宋体"/>
          <w:color w:val="auto"/>
          <w:sz w:val="24"/>
        </w:rPr>
        <w:t>2、</w:t>
      </w:r>
      <w:r>
        <w:rPr>
          <w:rFonts w:hint="eastAsia" w:ascii="宋体" w:cs="宋体"/>
          <w:color w:val="auto"/>
          <w:sz w:val="24"/>
        </w:rPr>
        <w:t>采购单位：</w:t>
      </w:r>
      <w:r>
        <w:rPr>
          <w:rFonts w:hint="eastAsia" w:ascii="宋体" w:cs="宋体"/>
          <w:color w:val="auto"/>
          <w:sz w:val="24"/>
          <w:lang w:eastAsia="zh-CN"/>
        </w:rPr>
        <w:t>福建省莆田环境监测中心站</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宋体" w:eastAsia="宋体" w:cs="宋体"/>
          <w:color w:val="auto"/>
          <w:sz w:val="24"/>
          <w:lang w:val="en-US" w:eastAsia="zh-CN"/>
        </w:rPr>
      </w:pPr>
      <w:r>
        <w:rPr>
          <w:rFonts w:hint="eastAsia" w:ascii="宋体" w:cs="宋体"/>
          <w:color w:val="auto"/>
          <w:sz w:val="24"/>
        </w:rPr>
        <w:t>3、</w:t>
      </w:r>
      <w:r>
        <w:rPr>
          <w:rFonts w:hint="eastAsia" w:ascii="宋体" w:cs="宋体"/>
          <w:sz w:val="24"/>
        </w:rPr>
        <w:t>联系人：</w:t>
      </w:r>
      <w:r>
        <w:rPr>
          <w:rFonts w:ascii="宋体" w:cs="宋体"/>
          <w:sz w:val="24"/>
        </w:rPr>
        <w:t xml:space="preserve"> </w:t>
      </w:r>
      <w:r>
        <w:rPr>
          <w:rFonts w:hint="eastAsia" w:ascii="宋体" w:cs="宋体"/>
          <w:sz w:val="24"/>
          <w:lang w:val="en-US" w:eastAsia="zh-CN"/>
        </w:rPr>
        <w:t xml:space="preserve">陈工   </w:t>
      </w:r>
      <w:r>
        <w:rPr>
          <w:rFonts w:hint="eastAsia" w:ascii="宋体" w:cs="宋体"/>
          <w:sz w:val="24"/>
        </w:rPr>
        <w:t>联系电话：</w:t>
      </w:r>
      <w:r>
        <w:rPr>
          <w:rFonts w:hint="eastAsia" w:ascii="宋体" w:cs="宋体"/>
          <w:sz w:val="24"/>
          <w:lang w:val="en-US" w:eastAsia="zh-CN"/>
        </w:rPr>
        <w:t>13850266745</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color w:val="auto"/>
          <w:sz w:val="24"/>
        </w:rPr>
      </w:pPr>
      <w:r>
        <w:rPr>
          <w:rFonts w:hint="eastAsia" w:ascii="宋体" w:cs="宋体"/>
          <w:color w:val="auto"/>
          <w:sz w:val="24"/>
        </w:rPr>
        <w:t xml:space="preserve">    4、</w:t>
      </w:r>
      <w:r>
        <w:rPr>
          <w:rFonts w:hint="eastAsia" w:ascii="宋体"/>
          <w:b/>
          <w:color w:val="auto"/>
          <w:sz w:val="24"/>
        </w:rPr>
        <w:t>报价文件递交地点及截止时间：</w:t>
      </w:r>
      <w:r>
        <w:rPr>
          <w:rFonts w:hint="eastAsia" w:ascii="宋体"/>
          <w:b w:val="0"/>
          <w:bCs w:val="0"/>
          <w:color w:val="auto"/>
          <w:sz w:val="24"/>
        </w:rPr>
        <w:t>报价文件应于</w:t>
      </w:r>
      <w:r>
        <w:rPr>
          <w:rFonts w:hint="eastAsia" w:ascii="宋体"/>
          <w:b w:val="0"/>
          <w:bCs w:val="0"/>
          <w:color w:val="auto"/>
          <w:sz w:val="24"/>
          <w:u w:val="single"/>
        </w:rPr>
        <w:t>202</w:t>
      </w:r>
      <w:r>
        <w:rPr>
          <w:rFonts w:hint="eastAsia" w:ascii="宋体"/>
          <w:b w:val="0"/>
          <w:bCs w:val="0"/>
          <w:color w:val="auto"/>
          <w:sz w:val="24"/>
          <w:u w:val="single"/>
          <w:lang w:val="en-US" w:eastAsia="zh-CN"/>
        </w:rPr>
        <w:t>3</w:t>
      </w:r>
      <w:r>
        <w:rPr>
          <w:rFonts w:hint="eastAsia" w:ascii="宋体"/>
          <w:b w:val="0"/>
          <w:bCs w:val="0"/>
          <w:color w:val="auto"/>
          <w:sz w:val="24"/>
          <w:u w:val="single"/>
        </w:rPr>
        <w:t>年</w:t>
      </w:r>
      <w:r>
        <w:rPr>
          <w:rFonts w:hint="eastAsia" w:ascii="宋体"/>
          <w:b w:val="0"/>
          <w:bCs w:val="0"/>
          <w:color w:val="auto"/>
          <w:sz w:val="24"/>
          <w:u w:val="single"/>
          <w:lang w:val="en-US" w:eastAsia="zh-CN"/>
        </w:rPr>
        <w:t>10</w:t>
      </w:r>
      <w:r>
        <w:rPr>
          <w:rFonts w:hint="eastAsia" w:ascii="宋体"/>
          <w:b w:val="0"/>
          <w:bCs w:val="0"/>
          <w:color w:val="auto"/>
          <w:sz w:val="24"/>
          <w:u w:val="single"/>
        </w:rPr>
        <w:t>月</w:t>
      </w:r>
      <w:r>
        <w:rPr>
          <w:rFonts w:hint="eastAsia" w:ascii="宋体"/>
          <w:b w:val="0"/>
          <w:bCs w:val="0"/>
          <w:color w:val="auto"/>
          <w:sz w:val="24"/>
          <w:u w:val="single"/>
          <w:lang w:val="en-US" w:eastAsia="zh-CN"/>
        </w:rPr>
        <w:t>8</w:t>
      </w:r>
      <w:r>
        <w:rPr>
          <w:rFonts w:hint="eastAsia" w:ascii="宋体"/>
          <w:b w:val="0"/>
          <w:bCs w:val="0"/>
          <w:color w:val="auto"/>
          <w:sz w:val="24"/>
          <w:u w:val="single"/>
        </w:rPr>
        <w:t>日</w:t>
      </w:r>
      <w:r>
        <w:rPr>
          <w:rFonts w:hint="eastAsia" w:ascii="宋体"/>
          <w:b w:val="0"/>
          <w:bCs w:val="0"/>
          <w:color w:val="auto"/>
          <w:sz w:val="24"/>
          <w:u w:val="single"/>
          <w:lang w:val="en-US" w:eastAsia="zh-CN"/>
        </w:rPr>
        <w:t>12</w:t>
      </w:r>
      <w:r>
        <w:rPr>
          <w:rFonts w:hint="eastAsia" w:ascii="宋体"/>
          <w:b w:val="0"/>
          <w:bCs w:val="0"/>
          <w:color w:val="auto"/>
          <w:sz w:val="24"/>
          <w:u w:val="single"/>
        </w:rPr>
        <w:t>时</w:t>
      </w:r>
      <w:r>
        <w:rPr>
          <w:rFonts w:hint="eastAsia" w:ascii="宋体"/>
          <w:b w:val="0"/>
          <w:bCs w:val="0"/>
          <w:color w:val="auto"/>
          <w:sz w:val="24"/>
          <w:u w:val="single"/>
        </w:rPr>
        <w:t>（北京时间）</w:t>
      </w:r>
      <w:r>
        <w:rPr>
          <w:rFonts w:hint="eastAsia" w:ascii="宋体"/>
          <w:b w:val="0"/>
          <w:bCs w:val="0"/>
          <w:color w:val="auto"/>
          <w:sz w:val="24"/>
        </w:rPr>
        <w:t>之前将密封盖章的</w:t>
      </w:r>
      <w:r>
        <w:rPr>
          <w:rFonts w:hint="eastAsia" w:ascii="宋体"/>
          <w:b w:val="0"/>
          <w:bCs w:val="0"/>
          <w:color w:val="auto"/>
          <w:sz w:val="24"/>
          <w:lang w:val="en-US" w:eastAsia="zh-CN"/>
        </w:rPr>
        <w:t>报价</w:t>
      </w:r>
      <w:r>
        <w:rPr>
          <w:rFonts w:hint="eastAsia" w:ascii="宋体"/>
          <w:b w:val="0"/>
          <w:bCs w:val="0"/>
          <w:color w:val="auto"/>
          <w:sz w:val="24"/>
        </w:rPr>
        <w:t>文件邮寄或送达</w:t>
      </w:r>
      <w:r>
        <w:rPr>
          <w:rFonts w:hint="eastAsia" w:ascii="宋体"/>
          <w:b w:val="0"/>
          <w:bCs w:val="0"/>
          <w:color w:val="auto"/>
          <w:sz w:val="24"/>
          <w:u w:val="single"/>
        </w:rPr>
        <w:t>福建省</w:t>
      </w:r>
      <w:r>
        <w:rPr>
          <w:rFonts w:hint="eastAsia" w:ascii="宋体"/>
          <w:b w:val="0"/>
          <w:bCs w:val="0"/>
          <w:color w:val="auto"/>
          <w:sz w:val="24"/>
          <w:u w:val="single"/>
          <w:lang w:eastAsia="zh-CN"/>
        </w:rPr>
        <w:t>莆田市城厢区荔城北大道</w:t>
      </w:r>
      <w:r>
        <w:rPr>
          <w:rFonts w:hint="eastAsia" w:ascii="宋体"/>
          <w:b w:val="0"/>
          <w:bCs w:val="0"/>
          <w:color w:val="auto"/>
          <w:sz w:val="24"/>
          <w:u w:val="single"/>
        </w:rPr>
        <w:t>1</w:t>
      </w:r>
      <w:r>
        <w:rPr>
          <w:rFonts w:hint="eastAsia" w:ascii="宋体"/>
          <w:b w:val="0"/>
          <w:bCs w:val="0"/>
          <w:color w:val="auto"/>
          <w:sz w:val="24"/>
          <w:u w:val="single"/>
          <w:lang w:val="en-US" w:eastAsia="zh-CN"/>
        </w:rPr>
        <w:t>055</w:t>
      </w:r>
      <w:r>
        <w:rPr>
          <w:rFonts w:hint="eastAsia" w:ascii="宋体"/>
          <w:b w:val="0"/>
          <w:bCs w:val="0"/>
          <w:color w:val="auto"/>
          <w:sz w:val="24"/>
          <w:u w:val="single"/>
        </w:rPr>
        <w:t>号</w:t>
      </w:r>
      <w:r>
        <w:rPr>
          <w:rFonts w:hint="eastAsia" w:ascii="宋体"/>
          <w:b w:val="0"/>
          <w:bCs w:val="0"/>
          <w:color w:val="auto"/>
          <w:sz w:val="24"/>
          <w:u w:val="single"/>
          <w:lang w:eastAsia="zh-CN"/>
        </w:rPr>
        <w:t>海西公馆</w:t>
      </w:r>
      <w:r>
        <w:rPr>
          <w:rFonts w:hint="eastAsia" w:ascii="宋体"/>
          <w:b w:val="0"/>
          <w:bCs w:val="0"/>
          <w:color w:val="auto"/>
          <w:sz w:val="24"/>
          <w:u w:val="single"/>
          <w:lang w:val="en-US" w:eastAsia="zh-CN"/>
        </w:rPr>
        <w:t>14</w:t>
      </w:r>
      <w:r>
        <w:rPr>
          <w:rFonts w:hint="eastAsia" w:ascii="宋体"/>
          <w:b w:val="0"/>
          <w:bCs w:val="0"/>
          <w:color w:val="auto"/>
          <w:sz w:val="24"/>
          <w:u w:val="single"/>
          <w:lang w:val="en-US" w:eastAsia="zh-CN"/>
        </w:rPr>
        <w:t>层</w:t>
      </w:r>
      <w:r>
        <w:rPr>
          <w:rFonts w:hint="eastAsia" w:ascii="宋体"/>
          <w:b w:val="0"/>
          <w:bCs w:val="0"/>
          <w:color w:val="auto"/>
          <w:sz w:val="24"/>
          <w:lang w:eastAsia="zh-CN"/>
        </w:rPr>
        <w:t>（</w:t>
      </w:r>
      <w:r>
        <w:rPr>
          <w:rFonts w:hint="eastAsia" w:ascii="宋体"/>
          <w:b w:val="0"/>
          <w:bCs w:val="0"/>
          <w:color w:val="auto"/>
          <w:sz w:val="24"/>
          <w:lang w:val="en-US" w:eastAsia="zh-CN"/>
        </w:rPr>
        <w:t>邮寄的以收件人签收时间为准</w:t>
      </w:r>
      <w:r>
        <w:rPr>
          <w:rFonts w:hint="eastAsia" w:ascii="宋体"/>
          <w:b w:val="0"/>
          <w:bCs w:val="0"/>
          <w:color w:val="auto"/>
          <w:sz w:val="24"/>
          <w:lang w:eastAsia="zh-CN"/>
        </w:rPr>
        <w:t>）</w:t>
      </w:r>
      <w:r>
        <w:rPr>
          <w:rFonts w:hint="eastAsia" w:ascii="宋体"/>
          <w:b w:val="0"/>
          <w:bCs w:val="0"/>
          <w:color w:val="auto"/>
          <w:sz w:val="24"/>
        </w:rPr>
        <w:t>，逾</w:t>
      </w:r>
      <w:r>
        <w:rPr>
          <w:rFonts w:hint="eastAsia" w:ascii="宋体"/>
          <w:color w:val="auto"/>
          <w:sz w:val="24"/>
        </w:rPr>
        <w:t>期送</w:t>
      </w:r>
      <w:r>
        <w:rPr>
          <w:rFonts w:hint="eastAsia" w:ascii="宋体"/>
          <w:color w:val="auto"/>
          <w:sz w:val="24"/>
          <w:lang w:eastAsia="zh-CN"/>
        </w:rPr>
        <w:t>（</w:t>
      </w:r>
      <w:r>
        <w:rPr>
          <w:rFonts w:hint="eastAsia" w:ascii="宋体"/>
          <w:color w:val="auto"/>
          <w:sz w:val="24"/>
          <w:lang w:val="en-US" w:eastAsia="zh-CN"/>
        </w:rPr>
        <w:t>寄）</w:t>
      </w:r>
      <w:r>
        <w:rPr>
          <w:rFonts w:hint="eastAsia" w:ascii="宋体"/>
          <w:color w:val="auto"/>
          <w:sz w:val="24"/>
        </w:rPr>
        <w:t>达的或不符合规定的</w:t>
      </w:r>
      <w:r>
        <w:rPr>
          <w:rFonts w:hint="eastAsia" w:ascii="宋体"/>
          <w:color w:val="auto"/>
          <w:sz w:val="24"/>
          <w:lang w:val="en-US" w:eastAsia="zh-CN"/>
        </w:rPr>
        <w:t>报价</w:t>
      </w:r>
      <w:r>
        <w:rPr>
          <w:rFonts w:hint="eastAsia" w:ascii="宋体"/>
          <w:color w:val="auto"/>
          <w:sz w:val="24"/>
        </w:rPr>
        <w:t>文件将被拒绝。</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color w:val="auto"/>
          <w:sz w:val="24"/>
          <w:lang w:val="en-US" w:eastAsia="zh-CN"/>
        </w:rPr>
      </w:pPr>
      <w:r>
        <w:rPr>
          <w:rFonts w:hint="eastAsia" w:ascii="宋体"/>
          <w:color w:val="auto"/>
          <w:sz w:val="24"/>
          <w:lang w:val="en-US" w:eastAsia="zh-CN"/>
        </w:rPr>
        <w:t xml:space="preserve">    5、开标时间:</w:t>
      </w:r>
      <w:r>
        <w:rPr>
          <w:rFonts w:hint="eastAsia" w:ascii="宋体"/>
          <w:color w:val="auto"/>
          <w:sz w:val="24"/>
          <w:u w:val="single"/>
          <w:lang w:val="en-US" w:eastAsia="zh-CN"/>
        </w:rPr>
        <w:t>2023年10月8日</w:t>
      </w:r>
      <w:r>
        <w:rPr>
          <w:rFonts w:hint="eastAsia" w:ascii="宋体"/>
          <w:color w:val="auto"/>
          <w:sz w:val="24"/>
          <w:u w:val="single"/>
          <w:lang w:val="en-US" w:eastAsia="zh-CN"/>
        </w:rPr>
        <w:t>15：30（北京时间）</w:t>
      </w:r>
    </w:p>
    <w:p>
      <w:pPr>
        <w:keepNext w:val="0"/>
        <w:keepLines w:val="0"/>
        <w:pageBreakBefore w:val="0"/>
        <w:widowControl w:val="0"/>
        <w:kinsoku/>
        <w:wordWrap/>
        <w:overflowPunct/>
        <w:topLinePunct w:val="0"/>
        <w:autoSpaceDE/>
        <w:autoSpaceDN/>
        <w:bidi w:val="0"/>
        <w:adjustRightInd/>
        <w:snapToGrid/>
        <w:spacing w:line="360" w:lineRule="auto"/>
        <w:ind w:firstLine="960" w:firstLineChars="400"/>
        <w:textAlignment w:val="auto"/>
        <w:rPr>
          <w:rFonts w:ascii="宋体"/>
          <w:color w:val="auto"/>
        </w:rPr>
      </w:pPr>
      <w:r>
        <w:rPr>
          <w:rFonts w:hint="eastAsia" w:ascii="宋体"/>
          <w:color w:val="auto"/>
          <w:sz w:val="24"/>
          <w:lang w:val="en-US" w:eastAsia="zh-CN"/>
        </w:rPr>
        <w:t>开标地点：</w:t>
      </w:r>
      <w:r>
        <w:rPr>
          <w:rFonts w:hint="eastAsia" w:ascii="宋体" w:cs="宋体"/>
          <w:color w:val="auto"/>
          <w:sz w:val="24"/>
          <w:lang w:eastAsia="zh-CN"/>
        </w:rPr>
        <w:t>福建省莆田环境监测中心站</w:t>
      </w:r>
      <w:r>
        <w:rPr>
          <w:rFonts w:hint="eastAsia" w:ascii="宋体" w:cs="宋体"/>
          <w:color w:val="auto"/>
          <w:sz w:val="24"/>
          <w:lang w:val="en-US" w:eastAsia="zh-CN"/>
        </w:rPr>
        <w:t>17层</w:t>
      </w:r>
      <w:r>
        <w:rPr>
          <w:rFonts w:hint="eastAsia" w:ascii="宋体"/>
          <w:color w:val="auto"/>
          <w:sz w:val="24"/>
          <w:lang w:val="en-US" w:eastAsia="zh-CN"/>
        </w:rPr>
        <w:t>会议室</w:t>
      </w:r>
    </w:p>
    <w:p>
      <w:pPr>
        <w:pageBreakBefore w:val="0"/>
        <w:kinsoku/>
        <w:wordWrap/>
        <w:topLinePunct w:val="0"/>
        <w:bidi w:val="0"/>
        <w:spacing w:line="360" w:lineRule="auto"/>
        <w:jc w:val="center"/>
        <w:rPr>
          <w:rFonts w:hint="eastAsia" w:ascii="宋体"/>
          <w:b/>
          <w:color w:val="auto"/>
          <w:sz w:val="24"/>
          <w:lang w:eastAsia="zh-CN"/>
        </w:rPr>
      </w:pPr>
    </w:p>
    <w:p>
      <w:pPr>
        <w:pageBreakBefore w:val="0"/>
        <w:kinsoku/>
        <w:wordWrap/>
        <w:topLinePunct w:val="0"/>
        <w:bidi w:val="0"/>
        <w:spacing w:line="360" w:lineRule="auto"/>
        <w:jc w:val="center"/>
        <w:rPr>
          <w:rFonts w:ascii="宋体"/>
          <w:b/>
          <w:color w:val="auto"/>
          <w:sz w:val="24"/>
        </w:rPr>
      </w:pPr>
      <w:r>
        <w:rPr>
          <w:rFonts w:hint="eastAsia" w:ascii="宋体"/>
          <w:b/>
          <w:color w:val="auto"/>
          <w:sz w:val="24"/>
          <w:lang w:eastAsia="zh-CN"/>
        </w:rPr>
        <w:t>采</w:t>
      </w:r>
      <w:r>
        <w:rPr>
          <w:rFonts w:hint="eastAsia" w:ascii="宋体"/>
          <w:b/>
          <w:color w:val="auto"/>
          <w:sz w:val="24"/>
          <w:lang w:val="en-US" w:eastAsia="zh-CN"/>
        </w:rPr>
        <w:t xml:space="preserve"> </w:t>
      </w:r>
      <w:r>
        <w:rPr>
          <w:rFonts w:hint="eastAsia" w:ascii="宋体"/>
          <w:b/>
          <w:color w:val="auto"/>
          <w:sz w:val="24"/>
          <w:lang w:eastAsia="zh-CN"/>
        </w:rPr>
        <w:t>购</w:t>
      </w:r>
      <w:r>
        <w:rPr>
          <w:rFonts w:hint="eastAsia" w:ascii="宋体"/>
          <w:b/>
          <w:color w:val="auto"/>
          <w:sz w:val="24"/>
          <w:lang w:val="en-US" w:eastAsia="zh-CN"/>
        </w:rPr>
        <w:t xml:space="preserve"> </w:t>
      </w:r>
      <w:r>
        <w:rPr>
          <w:rFonts w:hint="eastAsia" w:ascii="宋体"/>
          <w:b/>
          <w:color w:val="auto"/>
          <w:sz w:val="24"/>
          <w:lang w:eastAsia="zh-CN"/>
        </w:rPr>
        <w:t>货</w:t>
      </w:r>
      <w:r>
        <w:rPr>
          <w:rFonts w:hint="eastAsia" w:ascii="宋体"/>
          <w:b/>
          <w:color w:val="auto"/>
          <w:sz w:val="24"/>
          <w:lang w:val="en-US" w:eastAsia="zh-CN"/>
        </w:rPr>
        <w:t xml:space="preserve"> </w:t>
      </w:r>
      <w:r>
        <w:rPr>
          <w:rFonts w:hint="eastAsia" w:ascii="宋体"/>
          <w:b/>
          <w:color w:val="auto"/>
          <w:sz w:val="24"/>
          <w:lang w:eastAsia="zh-CN"/>
        </w:rPr>
        <w:t>物</w:t>
      </w:r>
      <w:r>
        <w:rPr>
          <w:rFonts w:hint="eastAsia" w:ascii="宋体"/>
          <w:b/>
          <w:color w:val="auto"/>
          <w:sz w:val="24"/>
        </w:rPr>
        <w:t xml:space="preserve"> 一 览 表</w:t>
      </w:r>
    </w:p>
    <w:tbl>
      <w:tblPr>
        <w:tblStyle w:val="13"/>
        <w:tblW w:w="852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905"/>
        <w:gridCol w:w="5172"/>
        <w:gridCol w:w="643"/>
        <w:gridCol w:w="180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line="360" w:lineRule="auto"/>
              <w:ind w:left="-162" w:leftChars="-77" w:right="-73" w:rightChars="-35"/>
              <w:jc w:val="center"/>
              <w:rPr>
                <w:rFonts w:ascii="宋体"/>
                <w:b/>
                <w:color w:val="auto"/>
                <w:sz w:val="24"/>
              </w:rPr>
            </w:pPr>
            <w:r>
              <w:rPr>
                <w:rFonts w:hint="eastAsia" w:ascii="宋体"/>
                <w:b/>
                <w:color w:val="auto"/>
                <w:sz w:val="24"/>
              </w:rPr>
              <w:t>合同包</w:t>
            </w:r>
          </w:p>
        </w:tc>
        <w:tc>
          <w:tcPr>
            <w:tcW w:w="5172"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line="360" w:lineRule="auto"/>
              <w:ind w:left="-162" w:leftChars="-77" w:right="-73" w:rightChars="-35"/>
              <w:jc w:val="center"/>
              <w:rPr>
                <w:rFonts w:ascii="宋体"/>
                <w:b/>
                <w:color w:val="auto"/>
                <w:sz w:val="24"/>
              </w:rPr>
            </w:pPr>
            <w:r>
              <w:rPr>
                <w:rFonts w:hint="eastAsia" w:ascii="宋体"/>
                <w:b/>
                <w:color w:val="auto"/>
                <w:sz w:val="24"/>
              </w:rPr>
              <w:t>项目名称</w:t>
            </w:r>
          </w:p>
        </w:tc>
        <w:tc>
          <w:tcPr>
            <w:tcW w:w="643"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line="360" w:lineRule="auto"/>
              <w:ind w:left="-141" w:leftChars="-67" w:right="-94" w:rightChars="-45"/>
              <w:jc w:val="center"/>
              <w:rPr>
                <w:rFonts w:ascii="宋体"/>
                <w:b/>
                <w:color w:val="auto"/>
                <w:sz w:val="24"/>
              </w:rPr>
            </w:pPr>
            <w:r>
              <w:rPr>
                <w:rFonts w:hint="eastAsia" w:ascii="宋体"/>
                <w:b/>
                <w:color w:val="auto"/>
                <w:sz w:val="24"/>
              </w:rPr>
              <w:t>数量</w:t>
            </w:r>
          </w:p>
        </w:tc>
        <w:tc>
          <w:tcPr>
            <w:tcW w:w="180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line="360" w:lineRule="auto"/>
              <w:ind w:left="-141" w:leftChars="-67" w:right="-94" w:rightChars="-45" w:firstLine="111" w:firstLineChars="46"/>
              <w:jc w:val="center"/>
              <w:rPr>
                <w:rFonts w:ascii="宋体"/>
                <w:b/>
                <w:color w:val="auto"/>
                <w:sz w:val="24"/>
              </w:rPr>
            </w:pPr>
            <w:r>
              <w:rPr>
                <w:rFonts w:hint="eastAsia"/>
                <w:b/>
                <w:color w:val="auto"/>
                <w:sz w:val="24"/>
              </w:rPr>
              <w:t>主要技术规格</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line="360" w:lineRule="auto"/>
              <w:jc w:val="center"/>
              <w:rPr>
                <w:rFonts w:ascii="宋体"/>
                <w:color w:val="auto"/>
                <w:sz w:val="24"/>
              </w:rPr>
            </w:pPr>
            <w:r>
              <w:rPr>
                <w:rFonts w:hint="eastAsia" w:ascii="宋体"/>
                <w:color w:val="auto"/>
                <w:sz w:val="24"/>
              </w:rPr>
              <w:t>1</w:t>
            </w:r>
          </w:p>
        </w:tc>
        <w:tc>
          <w:tcPr>
            <w:tcW w:w="5172" w:type="dxa"/>
            <w:tcBorders>
              <w:top w:val="single" w:color="auto" w:sz="4" w:space="0"/>
              <w:left w:val="single" w:color="auto" w:sz="4" w:space="0"/>
              <w:bottom w:val="single" w:color="auto" w:sz="4" w:space="0"/>
              <w:right w:val="single" w:color="auto" w:sz="4" w:space="0"/>
            </w:tcBorders>
            <w:vAlign w:val="center"/>
          </w:tcPr>
          <w:p>
            <w:pPr>
              <w:pageBreakBefore w:val="0"/>
              <w:widowControl/>
              <w:kinsoku/>
              <w:wordWrap/>
              <w:topLinePunct w:val="0"/>
              <w:bidi w:val="0"/>
              <w:spacing w:line="360" w:lineRule="auto"/>
              <w:jc w:val="center"/>
              <w:rPr>
                <w:rFonts w:hint="default" w:ascii="宋体" w:eastAsia="宋体" w:cs="宋体"/>
                <w:color w:val="auto"/>
                <w:kern w:val="0"/>
                <w:sz w:val="24"/>
                <w:lang w:val="en-US" w:eastAsia="zh-CN"/>
              </w:rPr>
            </w:pPr>
            <w:r>
              <w:rPr>
                <w:rFonts w:hint="eastAsia" w:ascii="宋体" w:cs="宋体"/>
                <w:color w:val="auto"/>
                <w:kern w:val="0"/>
                <w:sz w:val="24"/>
                <w:lang w:val="en-US" w:eastAsia="zh-CN"/>
              </w:rPr>
              <w:t>办公家具采购</w:t>
            </w:r>
          </w:p>
        </w:tc>
        <w:tc>
          <w:tcPr>
            <w:tcW w:w="643" w:type="dxa"/>
            <w:tcBorders>
              <w:top w:val="single" w:color="auto" w:sz="4" w:space="0"/>
              <w:left w:val="single" w:color="auto" w:sz="4" w:space="0"/>
              <w:bottom w:val="single" w:color="auto" w:sz="4" w:space="0"/>
              <w:right w:val="single" w:color="auto" w:sz="4" w:space="0"/>
            </w:tcBorders>
            <w:vAlign w:val="center"/>
          </w:tcPr>
          <w:p>
            <w:pPr>
              <w:pageBreakBefore w:val="0"/>
              <w:widowControl/>
              <w:kinsoku/>
              <w:wordWrap/>
              <w:topLinePunct w:val="0"/>
              <w:bidi w:val="0"/>
              <w:spacing w:line="360" w:lineRule="auto"/>
              <w:jc w:val="center"/>
              <w:rPr>
                <w:rFonts w:hint="eastAsia" w:ascii="宋体" w:eastAsia="宋体" w:cs="宋体"/>
                <w:color w:val="auto"/>
                <w:kern w:val="0"/>
                <w:sz w:val="24"/>
                <w:lang w:eastAsia="zh-CN"/>
              </w:rPr>
            </w:pPr>
            <w:r>
              <w:rPr>
                <w:rFonts w:hint="eastAsia" w:ascii="宋体" w:cs="宋体"/>
                <w:color w:val="auto"/>
                <w:kern w:val="0"/>
                <w:sz w:val="24"/>
                <w:lang w:eastAsia="zh-CN"/>
              </w:rPr>
              <w:t>1批</w:t>
            </w:r>
          </w:p>
        </w:tc>
        <w:tc>
          <w:tcPr>
            <w:tcW w:w="1800" w:type="dxa"/>
            <w:tcBorders>
              <w:top w:val="single" w:color="auto" w:sz="4" w:space="0"/>
              <w:left w:val="single" w:color="auto" w:sz="4" w:space="0"/>
              <w:bottom w:val="single" w:color="auto" w:sz="4" w:space="0"/>
              <w:right w:val="single" w:color="auto" w:sz="4" w:space="0"/>
            </w:tcBorders>
            <w:vAlign w:val="center"/>
          </w:tcPr>
          <w:p>
            <w:pPr>
              <w:pageBreakBefore w:val="0"/>
              <w:widowControl/>
              <w:kinsoku/>
              <w:wordWrap/>
              <w:topLinePunct w:val="0"/>
              <w:bidi w:val="0"/>
              <w:spacing w:line="360" w:lineRule="auto"/>
              <w:jc w:val="center"/>
              <w:rPr>
                <w:rFonts w:hint="eastAsia" w:ascii="宋体" w:eastAsia="宋体" w:cs="宋体"/>
                <w:color w:val="auto"/>
                <w:kern w:val="0"/>
                <w:sz w:val="24"/>
                <w:lang w:val="en-US" w:eastAsia="zh-CN"/>
              </w:rPr>
            </w:pPr>
            <w:r>
              <w:rPr>
                <w:rFonts w:hint="eastAsia"/>
                <w:color w:val="auto"/>
                <w:sz w:val="24"/>
              </w:rPr>
              <w:t>详见第三</w:t>
            </w:r>
            <w:r>
              <w:rPr>
                <w:rFonts w:hint="eastAsia"/>
                <w:color w:val="auto"/>
                <w:sz w:val="24"/>
                <w:lang w:eastAsia="zh-CN"/>
              </w:rPr>
              <w:t>部分</w:t>
            </w:r>
          </w:p>
        </w:tc>
      </w:tr>
    </w:tbl>
    <w:p>
      <w:pPr>
        <w:keepNext w:val="0"/>
        <w:keepLines w:val="0"/>
        <w:pageBreakBefore w:val="0"/>
        <w:widowControl w:val="0"/>
        <w:tabs>
          <w:tab w:val="left" w:pos="8360"/>
        </w:tabs>
        <w:kinsoku/>
        <w:wordWrap/>
        <w:overflowPunct/>
        <w:topLinePunct w:val="0"/>
        <w:autoSpaceDE/>
        <w:autoSpaceDN/>
        <w:bidi w:val="0"/>
        <w:adjustRightInd/>
        <w:snapToGrid/>
        <w:spacing w:line="360" w:lineRule="auto"/>
        <w:ind w:left="30" w:leftChars="-100" w:hanging="240" w:hangingChars="100"/>
        <w:jc w:val="left"/>
        <w:textAlignment w:val="auto"/>
        <w:rPr>
          <w:rFonts w:ascii="宋体"/>
          <w:color w:val="auto"/>
          <w:sz w:val="24"/>
        </w:rPr>
      </w:pPr>
      <w:r>
        <w:rPr>
          <w:rFonts w:hint="eastAsia" w:ascii="宋体"/>
          <w:color w:val="auto"/>
          <w:sz w:val="24"/>
        </w:rPr>
        <w:t>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cs="宋体"/>
          <w:color w:val="auto"/>
          <w:sz w:val="24"/>
        </w:rPr>
      </w:pPr>
      <w:r>
        <w:rPr>
          <w:rFonts w:hint="eastAsia" w:ascii="宋体" w:cs="宋体"/>
          <w:color w:val="auto"/>
          <w:sz w:val="24"/>
        </w:rPr>
        <w:t>1、以上项目内容及具体要求详见第三</w:t>
      </w:r>
      <w:r>
        <w:rPr>
          <w:rFonts w:hint="eastAsia" w:ascii="宋体" w:cs="宋体"/>
          <w:color w:val="auto"/>
          <w:sz w:val="24"/>
          <w:lang w:eastAsia="zh-CN"/>
        </w:rPr>
        <w:t>部分</w:t>
      </w:r>
      <w:r>
        <w:rPr>
          <w:rFonts w:hint="eastAsia" w:ascii="宋体" w:cs="宋体"/>
          <w:color w:val="auto"/>
          <w:sz w:val="24"/>
        </w:rPr>
        <w:t>《采购项目及要求》。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cs="宋体"/>
          <w:color w:val="auto"/>
          <w:sz w:val="24"/>
        </w:rPr>
      </w:pPr>
      <w:r>
        <w:rPr>
          <w:rFonts w:hint="eastAsia" w:ascii="宋体" w:cs="宋体"/>
          <w:color w:val="auto"/>
          <w:sz w:val="24"/>
        </w:rPr>
        <w:t>2、报价人按合同包报价，对合同包内容报价时必须完整。评审与成交以合同包为单位。</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cs="宋体"/>
          <w:color w:val="auto"/>
          <w:sz w:val="24"/>
        </w:rPr>
      </w:pPr>
      <w:r>
        <w:rPr>
          <w:rFonts w:hint="eastAsia" w:ascii="宋体" w:cs="宋体"/>
          <w:color w:val="auto"/>
          <w:sz w:val="24"/>
        </w:rPr>
        <w:t>3、报价人应以包括项目所涉及的所有费用进行报价。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cs="宋体"/>
          <w:color w:val="auto"/>
          <w:sz w:val="24"/>
        </w:rPr>
      </w:pPr>
      <w:r>
        <w:rPr>
          <w:rFonts w:hint="eastAsia" w:ascii="宋体" w:cs="宋体"/>
          <w:color w:val="auto"/>
          <w:sz w:val="24"/>
        </w:rPr>
        <w:t>4、</w:t>
      </w:r>
      <w:r>
        <w:rPr>
          <w:rFonts w:hint="eastAsia" w:ascii="宋体" w:cs="宋体"/>
          <w:color w:val="auto"/>
          <w:sz w:val="24"/>
          <w:lang w:val="en-US" w:eastAsia="zh-CN"/>
        </w:rPr>
        <w:t>所报货物必须是原厂原包装，通过合法渠道获得。</w:t>
      </w:r>
    </w:p>
    <w:p>
      <w:pPr>
        <w:pStyle w:val="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color w:val="auto"/>
          <w:lang w:eastAsia="zh-CN"/>
        </w:rPr>
      </w:pPr>
      <w:r>
        <w:rPr>
          <w:rFonts w:hint="eastAsia" w:ascii="宋体" w:cs="宋体"/>
          <w:color w:val="auto"/>
          <w:sz w:val="24"/>
          <w:lang w:val="en-US" w:eastAsia="zh-CN"/>
        </w:rPr>
        <w:t>5、</w:t>
      </w:r>
      <w:r>
        <w:rPr>
          <w:rFonts w:hint="eastAsia" w:ascii="宋体" w:cs="宋体"/>
          <w:color w:val="auto"/>
          <w:sz w:val="24"/>
        </w:rPr>
        <w:t>成交人不得以任何名义和理由进行分包或转包，如有发现，采购人有权单方中止合同，且成交人须赔偿由此给采购人带来的一切损失。</w:t>
      </w:r>
    </w:p>
    <w:p>
      <w:pPr>
        <w:pStyle w:val="26"/>
        <w:pageBreakBefore w:val="0"/>
        <w:kinsoku/>
        <w:wordWrap/>
        <w:topLinePunct w:val="0"/>
        <w:bidi w:val="0"/>
        <w:spacing w:line="360" w:lineRule="auto"/>
        <w:ind w:firstLine="480" w:firstLineChars="200"/>
        <w:rPr>
          <w:rFonts w:hint="eastAsia" w:ascii="宋体" w:hAnsi="Times New Roman" w:eastAsia="宋体" w:cs="宋体"/>
          <w:color w:val="auto"/>
          <w:kern w:val="2"/>
          <w:sz w:val="24"/>
          <w:szCs w:val="18"/>
          <w:lang w:val="en-US" w:eastAsia="zh-CN" w:bidi="ar-SA"/>
        </w:rPr>
      </w:pPr>
      <w:bookmarkStart w:id="3" w:name="_Toc64885130"/>
      <w:r>
        <w:rPr>
          <w:rFonts w:hint="eastAsia" w:ascii="宋体" w:hAnsi="Times New Roman" w:eastAsia="宋体" w:cs="宋体"/>
          <w:color w:val="auto"/>
          <w:kern w:val="2"/>
          <w:sz w:val="24"/>
          <w:szCs w:val="18"/>
          <w:lang w:val="en-US" w:eastAsia="zh-CN" w:bidi="ar-SA"/>
        </w:rPr>
        <w:t>6、采购单位不负责向落标的报价人解释落标原因，不退还未中标文件。</w:t>
      </w:r>
    </w:p>
    <w:p>
      <w:pPr>
        <w:pStyle w:val="26"/>
        <w:pageBreakBefore w:val="0"/>
        <w:kinsoku/>
        <w:wordWrap/>
        <w:topLinePunct w:val="0"/>
        <w:bidi w:val="0"/>
        <w:spacing w:line="360" w:lineRule="auto"/>
        <w:ind w:firstLine="480" w:firstLineChars="200"/>
        <w:rPr>
          <w:rFonts w:hint="eastAsia" w:ascii="宋体" w:hAnsi="Times New Roman" w:eastAsia="宋体" w:cs="宋体"/>
          <w:color w:val="auto"/>
          <w:kern w:val="2"/>
          <w:sz w:val="24"/>
          <w:szCs w:val="18"/>
          <w:lang w:val="en-US" w:eastAsia="zh-CN" w:bidi="ar-SA"/>
        </w:rPr>
      </w:pPr>
      <w:r>
        <w:rPr>
          <w:rFonts w:hint="eastAsia" w:ascii="宋体" w:hAnsi="Times New Roman" w:eastAsia="宋体" w:cs="宋体"/>
          <w:color w:val="auto"/>
          <w:kern w:val="2"/>
          <w:sz w:val="24"/>
          <w:szCs w:val="18"/>
          <w:lang w:val="en-US" w:eastAsia="zh-CN" w:bidi="ar-SA"/>
        </w:rPr>
        <w:t>7、采购单位不承担报价人在准备文件和递交文件过程中所产生的</w:t>
      </w:r>
      <w:r>
        <w:rPr>
          <w:rFonts w:hint="eastAsia" w:ascii="宋体" w:eastAsia="宋体" w:cs="宋体"/>
          <w:color w:val="auto"/>
          <w:kern w:val="2"/>
          <w:sz w:val="24"/>
          <w:szCs w:val="18"/>
          <w:lang w:val="en-US" w:eastAsia="zh-CN" w:bidi="ar-SA"/>
        </w:rPr>
        <w:t>全部</w:t>
      </w:r>
      <w:r>
        <w:rPr>
          <w:rFonts w:hint="eastAsia" w:ascii="宋体" w:hAnsi="Times New Roman" w:eastAsia="宋体" w:cs="宋体"/>
          <w:color w:val="auto"/>
          <w:kern w:val="2"/>
          <w:sz w:val="24"/>
          <w:szCs w:val="18"/>
          <w:lang w:val="en-US" w:eastAsia="zh-CN" w:bidi="ar-SA"/>
        </w:rPr>
        <w:t>费用。</w:t>
      </w:r>
    </w:p>
    <w:p>
      <w:pPr>
        <w:pStyle w:val="25"/>
        <w:pageBreakBefore w:val="0"/>
        <w:kinsoku/>
        <w:wordWrap/>
        <w:topLinePunct w:val="0"/>
        <w:bidi w:val="0"/>
        <w:spacing w:line="360" w:lineRule="auto"/>
        <w:rPr>
          <w:color w:val="auto"/>
        </w:rPr>
      </w:pPr>
      <w:bookmarkStart w:id="4" w:name="_Toc32575"/>
      <w:bookmarkStart w:id="5" w:name="_Toc367"/>
      <w:r>
        <w:rPr>
          <w:rFonts w:hint="eastAsia"/>
          <w:color w:val="auto"/>
          <w:lang w:eastAsia="zh-CN"/>
        </w:rPr>
        <w:t>二、</w:t>
      </w:r>
      <w:r>
        <w:rPr>
          <w:rFonts w:hint="eastAsia"/>
          <w:color w:val="auto"/>
        </w:rPr>
        <w:t>报价须知</w:t>
      </w:r>
      <w:bookmarkEnd w:id="3"/>
      <w:bookmarkEnd w:id="4"/>
      <w:bookmarkEnd w:id="5"/>
    </w:p>
    <w:tbl>
      <w:tblPr>
        <w:tblStyle w:val="13"/>
        <w:tblW w:w="9180" w:type="dxa"/>
        <w:tblInd w:w="-25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900"/>
        <w:gridCol w:w="1080"/>
        <w:gridCol w:w="720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5" w:hRule="atLeast"/>
        </w:trPr>
        <w:tc>
          <w:tcPr>
            <w:tcW w:w="90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line="360" w:lineRule="auto"/>
              <w:jc w:val="center"/>
              <w:rPr>
                <w:rFonts w:ascii="宋体"/>
                <w:b/>
                <w:color w:val="auto"/>
                <w:sz w:val="24"/>
              </w:rPr>
            </w:pPr>
            <w:r>
              <w:rPr>
                <w:rFonts w:hint="eastAsia" w:ascii="宋体"/>
                <w:b/>
                <w:color w:val="auto"/>
                <w:sz w:val="24"/>
              </w:rPr>
              <w:t>项号</w:t>
            </w:r>
          </w:p>
        </w:tc>
        <w:tc>
          <w:tcPr>
            <w:tcW w:w="108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line="360" w:lineRule="auto"/>
              <w:jc w:val="center"/>
              <w:rPr>
                <w:rFonts w:ascii="宋体"/>
                <w:b/>
                <w:color w:val="auto"/>
                <w:sz w:val="24"/>
              </w:rPr>
            </w:pPr>
            <w:r>
              <w:rPr>
                <w:rFonts w:hint="eastAsia" w:ascii="宋体"/>
                <w:b/>
                <w:color w:val="auto"/>
                <w:sz w:val="24"/>
              </w:rPr>
              <w:t>条款号</w:t>
            </w:r>
          </w:p>
        </w:tc>
        <w:tc>
          <w:tcPr>
            <w:tcW w:w="720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line="360" w:lineRule="auto"/>
              <w:jc w:val="center"/>
              <w:rPr>
                <w:rFonts w:ascii="宋体"/>
                <w:b/>
                <w:color w:val="auto"/>
                <w:sz w:val="24"/>
              </w:rPr>
            </w:pPr>
            <w:r>
              <w:rPr>
                <w:rFonts w:hint="eastAsia" w:ascii="宋体"/>
                <w:b/>
                <w:color w:val="auto"/>
                <w:sz w:val="24"/>
              </w:rPr>
              <w:t>编   列   内    容</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02" w:hRule="atLeast"/>
        </w:trPr>
        <w:tc>
          <w:tcPr>
            <w:tcW w:w="90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1</w:t>
            </w:r>
          </w:p>
        </w:tc>
        <w:tc>
          <w:tcPr>
            <w:tcW w:w="108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1.1</w:t>
            </w:r>
          </w:p>
        </w:tc>
        <w:tc>
          <w:tcPr>
            <w:tcW w:w="72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Times New Roman" w:eastAsia="宋体" w:cs="Times New Roman"/>
                <w:b/>
                <w:color w:val="auto"/>
                <w:sz w:val="24"/>
                <w:lang w:val="en-US" w:eastAsia="zh-CN"/>
              </w:rPr>
            </w:pPr>
            <w:r>
              <w:rPr>
                <w:rFonts w:hint="eastAsia" w:ascii="宋体" w:hAnsi="Times New Roman" w:eastAsia="宋体" w:cs="Times New Roman"/>
                <w:b/>
                <w:color w:val="auto"/>
                <w:sz w:val="24"/>
              </w:rPr>
              <w:t>项目名称：</w:t>
            </w:r>
            <w:r>
              <w:rPr>
                <w:rFonts w:hint="eastAsia" w:ascii="宋体" w:hAnsi="Times New Roman" w:eastAsia="宋体" w:cs="Times New Roman"/>
                <w:b w:val="0"/>
                <w:bCs/>
                <w:color w:val="auto"/>
                <w:sz w:val="24"/>
                <w:lang w:val="en-US" w:eastAsia="zh-CN"/>
              </w:rPr>
              <w:t>办公家具采购</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Times New Roman" w:eastAsia="宋体" w:cs="Times New Roman"/>
                <w:b w:val="0"/>
                <w:bCs/>
                <w:color w:val="auto"/>
                <w:sz w:val="24"/>
                <w:lang w:val="en-US" w:eastAsia="zh-CN"/>
              </w:rPr>
            </w:pPr>
            <w:r>
              <w:rPr>
                <w:rFonts w:hint="eastAsia" w:ascii="宋体" w:hAnsi="Times New Roman" w:eastAsia="宋体" w:cs="Times New Roman"/>
                <w:b/>
                <w:color w:val="auto"/>
                <w:sz w:val="24"/>
                <w:lang w:val="en-US" w:eastAsia="zh-CN"/>
              </w:rPr>
              <w:t>项目编号：</w:t>
            </w:r>
            <w:r>
              <w:rPr>
                <w:rFonts w:hint="eastAsia" w:ascii="宋体" w:hAnsi="Times New Roman" w:eastAsia="宋体" w:cs="Times New Roman"/>
                <w:b w:val="0"/>
                <w:bCs/>
                <w:color w:val="auto"/>
                <w:sz w:val="24"/>
                <w:lang w:val="en-US" w:eastAsia="zh-CN"/>
              </w:rPr>
              <w:t>PTHJJC202302</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eastAsia="宋体"/>
                <w:color w:val="auto"/>
                <w:sz w:val="24"/>
                <w:u w:val="single"/>
                <w:lang w:eastAsia="zh-CN"/>
              </w:rPr>
            </w:pPr>
            <w:r>
              <w:rPr>
                <w:rFonts w:hint="eastAsia" w:ascii="宋体"/>
                <w:b/>
                <w:color w:val="auto"/>
                <w:sz w:val="24"/>
              </w:rPr>
              <w:t>采 购 人：</w:t>
            </w:r>
            <w:r>
              <w:rPr>
                <w:rFonts w:hint="eastAsia" w:ascii="宋体" w:cs="宋体"/>
                <w:color w:val="auto"/>
                <w:sz w:val="24"/>
                <w:lang w:eastAsia="zh-CN"/>
              </w:rPr>
              <w:t>福建省莆田环境监测中心站</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264" w:hRule="atLeast"/>
        </w:trPr>
        <w:tc>
          <w:tcPr>
            <w:tcW w:w="90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2</w:t>
            </w:r>
          </w:p>
        </w:tc>
        <w:tc>
          <w:tcPr>
            <w:tcW w:w="108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2.1</w:t>
            </w:r>
          </w:p>
        </w:tc>
        <w:tc>
          <w:tcPr>
            <w:tcW w:w="72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tabs>
                <w:tab w:val="left" w:pos="420"/>
              </w:tabs>
              <w:kinsoku/>
              <w:wordWrap/>
              <w:overflowPunct/>
              <w:topLinePunct w:val="0"/>
              <w:autoSpaceDE/>
              <w:autoSpaceDN/>
              <w:bidi w:val="0"/>
              <w:adjustRightInd/>
              <w:snapToGrid/>
              <w:spacing w:line="360" w:lineRule="auto"/>
              <w:textAlignment w:val="auto"/>
              <w:rPr>
                <w:color w:val="auto"/>
                <w:sz w:val="24"/>
                <w:szCs w:val="24"/>
              </w:rPr>
            </w:pPr>
            <w:r>
              <w:rPr>
                <w:rFonts w:hint="eastAsia"/>
                <w:color w:val="auto"/>
                <w:sz w:val="24"/>
                <w:szCs w:val="24"/>
              </w:rPr>
              <w:t>资格标准：</w:t>
            </w:r>
          </w:p>
          <w:p>
            <w:pPr>
              <w:keepNext w:val="0"/>
              <w:keepLines w:val="0"/>
              <w:pageBreakBefore w:val="0"/>
              <w:widowControl w:val="0"/>
              <w:tabs>
                <w:tab w:val="left" w:pos="420"/>
              </w:tabs>
              <w:kinsoku/>
              <w:wordWrap/>
              <w:overflowPunct/>
              <w:topLinePunct w:val="0"/>
              <w:autoSpaceDE/>
              <w:autoSpaceDN/>
              <w:bidi w:val="0"/>
              <w:adjustRightInd/>
              <w:snapToGrid/>
              <w:spacing w:line="360" w:lineRule="auto"/>
              <w:textAlignment w:val="auto"/>
              <w:rPr>
                <w:rFonts w:hint="eastAsia"/>
                <w:color w:val="auto"/>
                <w:sz w:val="24"/>
                <w:szCs w:val="24"/>
              </w:rPr>
            </w:pPr>
            <w:r>
              <w:rPr>
                <w:rFonts w:hint="eastAsia"/>
                <w:color w:val="auto"/>
                <w:sz w:val="24"/>
                <w:szCs w:val="24"/>
              </w:rPr>
              <w:t>（1）</w:t>
            </w:r>
            <w:r>
              <w:rPr>
                <w:rFonts w:hint="eastAsia" w:ascii="宋体"/>
                <w:color w:val="auto"/>
                <w:sz w:val="24"/>
              </w:rPr>
              <w:t>有效的企业法人营业执照副本、</w:t>
            </w:r>
            <w:r>
              <w:rPr>
                <w:rFonts w:hint="eastAsia" w:ascii="宋体"/>
                <w:color w:val="auto"/>
                <w:sz w:val="24"/>
                <w:lang w:eastAsia="zh-CN"/>
              </w:rPr>
              <w:t>法定代表人身份证、授权书及被授权人身份证</w:t>
            </w:r>
            <w:r>
              <w:rPr>
                <w:rFonts w:hint="eastAsia"/>
                <w:color w:val="auto"/>
                <w:sz w:val="24"/>
                <w:szCs w:val="24"/>
              </w:rPr>
              <w:t>；</w:t>
            </w:r>
          </w:p>
          <w:p>
            <w:pPr>
              <w:keepNext w:val="0"/>
              <w:keepLines w:val="0"/>
              <w:pageBreakBefore w:val="0"/>
              <w:widowControl w:val="0"/>
              <w:tabs>
                <w:tab w:val="left" w:pos="420"/>
              </w:tabs>
              <w:kinsoku/>
              <w:wordWrap/>
              <w:overflowPunct/>
              <w:topLinePunct w:val="0"/>
              <w:autoSpaceDE/>
              <w:autoSpaceDN/>
              <w:bidi w:val="0"/>
              <w:adjustRightInd/>
              <w:snapToGrid/>
              <w:spacing w:line="360" w:lineRule="auto"/>
              <w:textAlignment w:val="auto"/>
              <w:rPr>
                <w:rFonts w:hint="eastAsia"/>
                <w:color w:val="auto"/>
                <w:sz w:val="24"/>
                <w:szCs w:val="24"/>
              </w:rPr>
            </w:pPr>
            <w:r>
              <w:rPr>
                <w:rFonts w:hint="eastAsia"/>
                <w:color w:val="auto"/>
                <w:sz w:val="24"/>
                <w:szCs w:val="24"/>
              </w:rPr>
              <w:t>（2）具备履行合同</w:t>
            </w:r>
            <w:r>
              <w:rPr>
                <w:rFonts w:hint="eastAsia"/>
                <w:color w:val="auto"/>
                <w:sz w:val="24"/>
                <w:szCs w:val="24"/>
                <w:lang w:eastAsia="zh-CN"/>
              </w:rPr>
              <w:t>能力</w:t>
            </w:r>
            <w:r>
              <w:rPr>
                <w:rFonts w:hint="eastAsia"/>
                <w:color w:val="auto"/>
                <w:sz w:val="24"/>
                <w:szCs w:val="24"/>
              </w:rPr>
              <w:t>的证明材料：</w:t>
            </w:r>
          </w:p>
          <w:p>
            <w:pPr>
              <w:keepNext w:val="0"/>
              <w:keepLines w:val="0"/>
              <w:pageBreakBefore w:val="0"/>
              <w:widowControl w:val="0"/>
              <w:tabs>
                <w:tab w:val="left" w:pos="420"/>
              </w:tabs>
              <w:kinsoku/>
              <w:wordWrap/>
              <w:overflowPunct/>
              <w:topLinePunct w:val="0"/>
              <w:autoSpaceDE/>
              <w:autoSpaceDN/>
              <w:bidi w:val="0"/>
              <w:adjustRightInd/>
              <w:snapToGrid/>
              <w:spacing w:line="360" w:lineRule="auto"/>
              <w:ind w:firstLine="240" w:firstLineChars="100"/>
              <w:textAlignment w:val="auto"/>
              <w:rPr>
                <w:rFonts w:hint="eastAsia"/>
                <w:color w:val="auto"/>
                <w:sz w:val="24"/>
                <w:szCs w:val="24"/>
              </w:rPr>
            </w:pPr>
            <w:r>
              <w:rPr>
                <w:rFonts w:hint="eastAsia"/>
                <w:color w:val="auto"/>
                <w:sz w:val="24"/>
                <w:szCs w:val="24"/>
              </w:rPr>
              <w:t>①具备履行合同所必需的设备：报价人提供办公场所的场地证明材料（属于自有产权的提供产权证复印件；非自有产权的提供场地租赁合同复印件，租赁期限不少于一年）；</w:t>
            </w:r>
          </w:p>
          <w:p>
            <w:pPr>
              <w:pStyle w:val="2"/>
              <w:keepNext w:val="0"/>
              <w:keepLines w:val="0"/>
              <w:pageBreakBefore w:val="0"/>
              <w:widowControl w:val="0"/>
              <w:kinsoku/>
              <w:wordWrap/>
              <w:overflowPunct/>
              <w:topLinePunct w:val="0"/>
              <w:autoSpaceDE/>
              <w:autoSpaceDN/>
              <w:bidi w:val="0"/>
              <w:adjustRightInd/>
              <w:snapToGrid/>
              <w:spacing w:line="360" w:lineRule="auto"/>
              <w:ind w:firstLine="240" w:firstLineChars="100"/>
              <w:textAlignment w:val="auto"/>
              <w:rPr>
                <w:rFonts w:hint="default" w:ascii="Times New Roman" w:hAnsi="Times New Roman" w:eastAsia="宋体" w:cs="Times New Roman"/>
                <w:color w:val="auto"/>
                <w:kern w:val="2"/>
                <w:sz w:val="24"/>
                <w:szCs w:val="24"/>
                <w:shd w:val="clear"/>
                <w:lang w:val="en-US" w:eastAsia="zh-CN" w:bidi="ar-SA"/>
              </w:rPr>
            </w:pPr>
            <w:r>
              <w:rPr>
                <w:rFonts w:hint="eastAsia"/>
                <w:color w:val="auto"/>
                <w:sz w:val="24"/>
                <w:szCs w:val="24"/>
              </w:rPr>
              <w:t>②</w:t>
            </w:r>
            <w:r>
              <w:rPr>
                <w:rFonts w:hint="eastAsia" w:ascii="Times New Roman" w:hAnsi="Times New Roman" w:eastAsia="宋体" w:cs="Times New Roman"/>
                <w:color w:val="auto"/>
                <w:kern w:val="2"/>
                <w:sz w:val="24"/>
                <w:szCs w:val="24"/>
                <w:shd w:val="clear"/>
                <w:lang w:val="en-US" w:eastAsia="zh-CN" w:bidi="ar-SA"/>
              </w:rPr>
              <w:t>报价人依法纳税、缴纳社会保险证明</w:t>
            </w:r>
          </w:p>
          <w:p>
            <w:pPr>
              <w:keepNext w:val="0"/>
              <w:keepLines w:val="0"/>
              <w:pageBreakBefore w:val="0"/>
              <w:widowControl w:val="0"/>
              <w:numPr>
                <w:ilvl w:val="0"/>
                <w:numId w:val="1"/>
              </w:numPr>
              <w:tabs>
                <w:tab w:val="left" w:pos="420"/>
              </w:tabs>
              <w:kinsoku/>
              <w:wordWrap/>
              <w:overflowPunct/>
              <w:topLinePunct w:val="0"/>
              <w:autoSpaceDE/>
              <w:autoSpaceDN/>
              <w:bidi w:val="0"/>
              <w:adjustRightInd/>
              <w:snapToGrid/>
              <w:spacing w:line="360" w:lineRule="auto"/>
              <w:textAlignment w:val="auto"/>
              <w:rPr>
                <w:rFonts w:hint="eastAsia"/>
                <w:color w:val="auto"/>
                <w:sz w:val="24"/>
                <w:szCs w:val="24"/>
                <w:lang w:eastAsia="zh-CN"/>
              </w:rPr>
            </w:pPr>
            <w:r>
              <w:rPr>
                <w:rFonts w:hint="eastAsia"/>
                <w:color w:val="auto"/>
                <w:sz w:val="24"/>
                <w:szCs w:val="24"/>
              </w:rPr>
              <w:t>参加采购活动前3年内在经营活动中没有重大违法记录和无行贿犯罪记录的书面声明</w:t>
            </w:r>
            <w:r>
              <w:rPr>
                <w:rFonts w:hint="eastAsia"/>
                <w:color w:val="auto"/>
                <w:sz w:val="24"/>
                <w:szCs w:val="24"/>
                <w:lang w:eastAsia="zh-CN"/>
              </w:rPr>
              <w:t>；</w:t>
            </w:r>
          </w:p>
          <w:p>
            <w:pPr>
              <w:keepNext w:val="0"/>
              <w:keepLines w:val="0"/>
              <w:pageBreakBefore w:val="0"/>
              <w:widowControl w:val="0"/>
              <w:numPr>
                <w:ilvl w:val="0"/>
                <w:numId w:val="1"/>
              </w:numPr>
              <w:tabs>
                <w:tab w:val="left" w:pos="420"/>
              </w:tabs>
              <w:kinsoku/>
              <w:wordWrap/>
              <w:overflowPunct/>
              <w:topLinePunct w:val="0"/>
              <w:autoSpaceDE/>
              <w:autoSpaceDN/>
              <w:bidi w:val="0"/>
              <w:adjustRightInd/>
              <w:snapToGrid/>
              <w:spacing w:line="360" w:lineRule="auto"/>
              <w:ind w:left="0" w:leftChars="0" w:firstLine="0" w:firstLineChars="0"/>
              <w:textAlignment w:val="auto"/>
              <w:rPr>
                <w:rFonts w:hint="eastAsia"/>
                <w:color w:val="auto"/>
                <w:sz w:val="24"/>
                <w:szCs w:val="24"/>
              </w:rPr>
            </w:pPr>
            <w:r>
              <w:rPr>
                <w:rFonts w:hint="eastAsia"/>
                <w:color w:val="auto"/>
                <w:sz w:val="24"/>
                <w:szCs w:val="24"/>
              </w:rPr>
              <w:t>本项目拒绝联合体参与报价。</w:t>
            </w:r>
          </w:p>
          <w:p>
            <w:pPr>
              <w:pStyle w:val="18"/>
              <w:pageBreakBefore w:val="0"/>
              <w:numPr>
                <w:ilvl w:val="0"/>
                <w:numId w:val="0"/>
              </w:numPr>
              <w:kinsoku/>
              <w:wordWrap/>
              <w:topLinePunct w:val="0"/>
              <w:bidi w:val="0"/>
              <w:spacing w:line="360" w:lineRule="auto"/>
              <w:ind w:leftChars="0"/>
              <w:rPr>
                <w:rFonts w:hint="default"/>
                <w:color w:val="auto"/>
                <w:lang w:val="en-US" w:eastAsia="zh-CN"/>
              </w:rPr>
            </w:pPr>
            <w:r>
              <w:rPr>
                <w:rFonts w:hint="eastAsia" w:ascii="宋体"/>
                <w:color w:val="auto"/>
                <w:sz w:val="24"/>
                <w:lang w:eastAsia="zh-CN"/>
              </w:rPr>
              <w:t>复印件须加盖公章并注明复印件与原件一致。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3</w:t>
            </w:r>
          </w:p>
        </w:tc>
        <w:tc>
          <w:tcPr>
            <w:tcW w:w="108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3.1</w:t>
            </w:r>
          </w:p>
        </w:tc>
        <w:tc>
          <w:tcPr>
            <w:tcW w:w="72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color w:val="auto"/>
                <w:sz w:val="24"/>
              </w:rPr>
            </w:pPr>
            <w:r>
              <w:rPr>
                <w:rFonts w:hint="eastAsia" w:ascii="宋体"/>
                <w:b/>
                <w:color w:val="auto"/>
                <w:sz w:val="24"/>
              </w:rPr>
              <w:t>报价文件递交地址：</w:t>
            </w:r>
            <w:r>
              <w:rPr>
                <w:rFonts w:hint="eastAsia" w:ascii="宋体"/>
                <w:b w:val="0"/>
                <w:bCs w:val="0"/>
                <w:color w:val="auto"/>
                <w:sz w:val="24"/>
                <w:u w:val="single"/>
              </w:rPr>
              <w:t>福建省</w:t>
            </w:r>
            <w:r>
              <w:rPr>
                <w:rFonts w:hint="eastAsia" w:ascii="宋体"/>
                <w:b w:val="0"/>
                <w:bCs w:val="0"/>
                <w:color w:val="auto"/>
                <w:sz w:val="24"/>
                <w:u w:val="single"/>
                <w:lang w:eastAsia="zh-CN"/>
              </w:rPr>
              <w:t>莆田市城厢区荔城北大道</w:t>
            </w:r>
            <w:r>
              <w:rPr>
                <w:rFonts w:hint="eastAsia" w:ascii="宋体"/>
                <w:b w:val="0"/>
                <w:bCs w:val="0"/>
                <w:color w:val="auto"/>
                <w:sz w:val="24"/>
                <w:u w:val="single"/>
              </w:rPr>
              <w:t>1</w:t>
            </w:r>
            <w:r>
              <w:rPr>
                <w:rFonts w:hint="eastAsia" w:ascii="宋体"/>
                <w:b w:val="0"/>
                <w:bCs w:val="0"/>
                <w:color w:val="auto"/>
                <w:sz w:val="24"/>
                <w:u w:val="single"/>
                <w:lang w:val="en-US" w:eastAsia="zh-CN"/>
              </w:rPr>
              <w:t>055</w:t>
            </w:r>
            <w:r>
              <w:rPr>
                <w:rFonts w:hint="eastAsia" w:ascii="宋体"/>
                <w:b w:val="0"/>
                <w:bCs w:val="0"/>
                <w:color w:val="auto"/>
                <w:sz w:val="24"/>
                <w:u w:val="single"/>
              </w:rPr>
              <w:t>号</w:t>
            </w:r>
            <w:r>
              <w:rPr>
                <w:rFonts w:hint="eastAsia" w:ascii="宋体"/>
                <w:b w:val="0"/>
                <w:bCs w:val="0"/>
                <w:color w:val="auto"/>
                <w:sz w:val="24"/>
                <w:u w:val="single"/>
                <w:lang w:eastAsia="zh-CN"/>
              </w:rPr>
              <w:t>海西公馆</w:t>
            </w:r>
            <w:r>
              <w:rPr>
                <w:rFonts w:hint="eastAsia" w:ascii="宋体"/>
                <w:b w:val="0"/>
                <w:bCs w:val="0"/>
                <w:color w:val="auto"/>
                <w:sz w:val="24"/>
                <w:u w:val="single"/>
                <w:lang w:val="en-US" w:eastAsia="zh-CN"/>
              </w:rPr>
              <w:t>14层</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宋体" w:eastAsia="宋体" w:cs="宋体"/>
                <w:color w:val="auto"/>
                <w:sz w:val="24"/>
                <w:u w:val="single"/>
                <w:lang w:val="en-US" w:eastAsia="zh-CN"/>
              </w:rPr>
            </w:pPr>
            <w:r>
              <w:rPr>
                <w:rFonts w:hint="eastAsia" w:ascii="宋体"/>
                <w:b/>
                <w:color w:val="auto"/>
                <w:sz w:val="24"/>
              </w:rPr>
              <w:t>接 收 人：</w:t>
            </w:r>
            <w:r>
              <w:rPr>
                <w:rFonts w:hint="eastAsia" w:ascii="宋体"/>
                <w:color w:val="auto"/>
                <w:sz w:val="24"/>
                <w:u w:val="single"/>
              </w:rPr>
              <w:t xml:space="preserve"> </w:t>
            </w:r>
            <w:r>
              <w:rPr>
                <w:rFonts w:hint="eastAsia" w:ascii="宋体"/>
                <w:b/>
                <w:color w:val="auto"/>
                <w:sz w:val="24"/>
                <w:u w:val="single"/>
                <w:lang w:eastAsia="zh-CN"/>
              </w:rPr>
              <w:t>陈工</w:t>
            </w:r>
            <w:r>
              <w:rPr>
                <w:rFonts w:hint="eastAsia" w:ascii="宋体"/>
                <w:b/>
                <w:color w:val="auto"/>
                <w:sz w:val="24"/>
                <w:u w:val="single"/>
                <w:lang w:val="en-US" w:eastAsia="zh-CN"/>
              </w:rPr>
              <w:t xml:space="preserve">  </w:t>
            </w:r>
            <w:r>
              <w:rPr>
                <w:rFonts w:hint="eastAsia" w:ascii="宋体"/>
                <w:b/>
                <w:color w:val="auto"/>
                <w:sz w:val="24"/>
                <w:u w:val="none"/>
                <w:lang w:val="en-US" w:eastAsia="zh-CN"/>
              </w:rPr>
              <w:t xml:space="preserve">  </w:t>
            </w:r>
            <w:r>
              <w:rPr>
                <w:rFonts w:hint="eastAsia" w:ascii="宋体" w:cs="宋体"/>
                <w:b/>
                <w:bCs/>
                <w:sz w:val="24"/>
                <w:u w:val="none"/>
              </w:rPr>
              <w:t>联系电话：</w:t>
            </w:r>
            <w:r>
              <w:rPr>
                <w:rFonts w:hint="eastAsia" w:ascii="宋体" w:cs="宋体"/>
                <w:sz w:val="24"/>
                <w:u w:val="single"/>
                <w:lang w:val="en-US" w:eastAsia="zh-CN"/>
              </w:rPr>
              <w:t>13850266745</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color w:val="auto"/>
                <w:sz w:val="24"/>
              </w:rPr>
            </w:pPr>
            <w:r>
              <w:rPr>
                <w:rFonts w:hint="eastAsia" w:ascii="宋体"/>
                <w:b/>
                <w:color w:val="auto"/>
                <w:sz w:val="24"/>
              </w:rPr>
              <w:t>报价截止时间：</w:t>
            </w:r>
            <w:r>
              <w:rPr>
                <w:rFonts w:hint="eastAsia" w:ascii="宋体"/>
                <w:b w:val="0"/>
                <w:bCs/>
                <w:color w:val="auto"/>
                <w:sz w:val="24"/>
                <w:u w:val="single"/>
              </w:rPr>
              <w:t>202</w:t>
            </w:r>
            <w:r>
              <w:rPr>
                <w:rFonts w:hint="eastAsia" w:ascii="宋体"/>
                <w:b w:val="0"/>
                <w:bCs/>
                <w:color w:val="auto"/>
                <w:sz w:val="24"/>
                <w:u w:val="single"/>
                <w:lang w:val="en-US" w:eastAsia="zh-CN"/>
              </w:rPr>
              <w:t>3</w:t>
            </w:r>
            <w:r>
              <w:rPr>
                <w:rFonts w:hint="eastAsia" w:ascii="宋体"/>
                <w:b w:val="0"/>
                <w:bCs/>
                <w:color w:val="auto"/>
                <w:sz w:val="24"/>
                <w:u w:val="single"/>
              </w:rPr>
              <w:t>年</w:t>
            </w:r>
            <w:r>
              <w:rPr>
                <w:rFonts w:hint="eastAsia" w:ascii="宋体"/>
                <w:b w:val="0"/>
                <w:bCs/>
                <w:color w:val="auto"/>
                <w:sz w:val="24"/>
                <w:u w:val="single"/>
                <w:lang w:val="en-US" w:eastAsia="zh-CN"/>
              </w:rPr>
              <w:t>10</w:t>
            </w:r>
            <w:r>
              <w:rPr>
                <w:rFonts w:hint="eastAsia" w:ascii="宋体"/>
                <w:b w:val="0"/>
                <w:bCs/>
                <w:color w:val="auto"/>
                <w:sz w:val="24"/>
                <w:u w:val="single"/>
              </w:rPr>
              <w:t>月</w:t>
            </w:r>
            <w:r>
              <w:rPr>
                <w:rFonts w:hint="eastAsia" w:ascii="宋体"/>
                <w:b w:val="0"/>
                <w:bCs/>
                <w:color w:val="auto"/>
                <w:sz w:val="24"/>
                <w:u w:val="single"/>
                <w:lang w:val="en-US" w:eastAsia="zh-CN"/>
              </w:rPr>
              <w:t>8</w:t>
            </w:r>
            <w:r>
              <w:rPr>
                <w:rFonts w:hint="eastAsia" w:ascii="宋体"/>
                <w:b w:val="0"/>
                <w:bCs/>
                <w:color w:val="auto"/>
                <w:sz w:val="24"/>
                <w:u w:val="single"/>
              </w:rPr>
              <w:t>日</w:t>
            </w:r>
            <w:r>
              <w:rPr>
                <w:rFonts w:hint="eastAsia" w:ascii="宋体"/>
                <w:b w:val="0"/>
                <w:bCs/>
                <w:color w:val="auto"/>
                <w:sz w:val="24"/>
                <w:u w:val="single"/>
                <w:lang w:val="en-US" w:eastAsia="zh-CN"/>
              </w:rPr>
              <w:t>12</w:t>
            </w:r>
            <w:r>
              <w:rPr>
                <w:rFonts w:hint="eastAsia" w:ascii="宋体"/>
                <w:b w:val="0"/>
                <w:bCs/>
                <w:color w:val="auto"/>
                <w:sz w:val="24"/>
                <w:u w:val="single"/>
              </w:rPr>
              <w:t>: 00</w:t>
            </w:r>
            <w:r>
              <w:rPr>
                <w:rFonts w:hint="eastAsia" w:ascii="宋体"/>
                <w:b w:val="0"/>
                <w:bCs/>
                <w:color w:val="auto"/>
                <w:sz w:val="24"/>
                <w:u w:val="single"/>
              </w:rPr>
              <w:t>（北京时间）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3.2</w:t>
            </w:r>
          </w:p>
        </w:tc>
        <w:tc>
          <w:tcPr>
            <w:tcW w:w="72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b/>
                <w:color w:val="auto"/>
                <w:sz w:val="24"/>
              </w:rPr>
            </w:pPr>
            <w:r>
              <w:rPr>
                <w:rFonts w:hint="eastAsia" w:ascii="宋体"/>
                <w:b/>
                <w:color w:val="auto"/>
                <w:sz w:val="24"/>
              </w:rPr>
              <w:t>项目预算价：（超过预算价的报价为无效报价）</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b/>
                <w:color w:val="auto"/>
                <w:sz w:val="24"/>
              </w:rPr>
            </w:pPr>
            <w:r>
              <w:rPr>
                <w:rFonts w:hint="eastAsia" w:ascii="宋体"/>
                <w:color w:val="auto"/>
                <w:sz w:val="24"/>
              </w:rPr>
              <w:t>采购预算：人民币</w:t>
            </w:r>
            <w:r>
              <w:rPr>
                <w:rFonts w:hint="eastAsia" w:ascii="宋体"/>
                <w:color w:val="auto"/>
                <w:sz w:val="24"/>
                <w:u w:val="single"/>
              </w:rPr>
              <w:t xml:space="preserve"> </w:t>
            </w:r>
            <w:r>
              <w:rPr>
                <w:rFonts w:hint="eastAsia" w:ascii="宋体"/>
                <w:color w:val="auto"/>
                <w:sz w:val="24"/>
                <w:u w:val="single"/>
                <w:lang w:val="en-US" w:eastAsia="zh-CN"/>
              </w:rPr>
              <w:t>10.8988万</w:t>
            </w:r>
            <w:r>
              <w:rPr>
                <w:rFonts w:hint="eastAsia" w:ascii="宋体"/>
                <w:color w:val="auto"/>
                <w:sz w:val="24"/>
                <w:u w:val="single"/>
              </w:rPr>
              <w:t xml:space="preserve">元 </w:t>
            </w:r>
            <w:r>
              <w:rPr>
                <w:rFonts w:hint="eastAsia" w:ascii="宋体"/>
                <w:color w:val="auto"/>
                <w:sz w:val="24"/>
              </w:rPr>
              <w:t>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4</w:t>
            </w:r>
          </w:p>
        </w:tc>
        <w:tc>
          <w:tcPr>
            <w:tcW w:w="108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4.1</w:t>
            </w:r>
          </w:p>
        </w:tc>
        <w:tc>
          <w:tcPr>
            <w:tcW w:w="72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color w:val="auto"/>
                <w:sz w:val="24"/>
              </w:rPr>
            </w:pPr>
            <w:r>
              <w:rPr>
                <w:rFonts w:hint="eastAsia" w:ascii="宋体"/>
                <w:color w:val="auto"/>
                <w:sz w:val="24"/>
              </w:rPr>
              <w:t>报价文件：</w:t>
            </w:r>
            <w:r>
              <w:rPr>
                <w:rFonts w:hint="eastAsia" w:ascii="宋体"/>
                <w:b/>
                <w:color w:val="auto"/>
                <w:sz w:val="24"/>
              </w:rPr>
              <w:t>正本一份，副本三份。</w:t>
            </w:r>
            <w:r>
              <w:rPr>
                <w:rFonts w:hint="eastAsia" w:ascii="宋体"/>
                <w:color w:val="auto"/>
                <w:sz w:val="24"/>
              </w:rPr>
              <w:t>报价文件用A4幅面纸张打印装订，应编制封面、目录、页码，装订成册，并加盖骑缝章，副本可以用正本的完整复印件，并在封面标明“正本”、“副本”字样。正本与副本如有不一致，则以正本为准。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5</w:t>
            </w:r>
          </w:p>
        </w:tc>
        <w:tc>
          <w:tcPr>
            <w:tcW w:w="108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5.1</w:t>
            </w:r>
          </w:p>
        </w:tc>
        <w:tc>
          <w:tcPr>
            <w:tcW w:w="72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宋体"/>
                <w:b/>
                <w:color w:val="auto"/>
                <w:sz w:val="24"/>
              </w:rPr>
            </w:pPr>
            <w:r>
              <w:rPr>
                <w:rFonts w:hint="eastAsia" w:ascii="宋体"/>
                <w:b/>
                <w:color w:val="auto"/>
                <w:sz w:val="24"/>
              </w:rPr>
              <w:t>评估原则及方法：</w:t>
            </w:r>
            <w:r>
              <w:rPr>
                <w:rFonts w:hint="eastAsia" w:ascii="宋体"/>
                <w:color w:val="auto"/>
                <w:sz w:val="24"/>
                <w:lang w:val="en-US" w:eastAsia="zh-CN"/>
              </w:rPr>
              <w:t>综合</w:t>
            </w:r>
            <w:r>
              <w:rPr>
                <w:rFonts w:hint="eastAsia" w:ascii="宋体"/>
                <w:color w:val="auto"/>
                <w:sz w:val="24"/>
              </w:rPr>
              <w:t>评</w:t>
            </w:r>
            <w:r>
              <w:rPr>
                <w:rFonts w:hint="eastAsia" w:ascii="宋体"/>
                <w:color w:val="auto"/>
                <w:sz w:val="24"/>
                <w:lang w:val="en-US" w:eastAsia="zh-CN"/>
              </w:rPr>
              <w:t>分</w:t>
            </w:r>
            <w:r>
              <w:rPr>
                <w:rFonts w:hint="eastAsia" w:ascii="宋体"/>
                <w:color w:val="auto"/>
                <w:sz w:val="24"/>
              </w:rPr>
              <w:t>法</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宋体"/>
                <w:bCs/>
                <w:color w:val="auto"/>
                <w:sz w:val="24"/>
              </w:rPr>
            </w:pPr>
            <w:r>
              <w:rPr>
                <w:rFonts w:hint="eastAsia" w:ascii="宋体"/>
                <w:bCs/>
                <w:color w:val="auto"/>
                <w:sz w:val="24"/>
              </w:rPr>
              <w:t>1.资格审查：评标小组将逐一对所有报价人进行资格性审查和符合性审查。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bCs/>
                <w:color w:val="auto"/>
                <w:sz w:val="24"/>
              </w:rPr>
            </w:pPr>
            <w:r>
              <w:rPr>
                <w:rFonts w:hint="eastAsia" w:ascii="宋体"/>
                <w:bCs/>
                <w:color w:val="auto"/>
                <w:sz w:val="24"/>
              </w:rPr>
              <w:t>2.确定报价：评标小组将逐一对通过资格性审查和符合性审查的所有</w:t>
            </w:r>
            <w:r>
              <w:rPr>
                <w:rFonts w:hint="eastAsia" w:ascii="宋体"/>
                <w:bCs/>
                <w:color w:val="auto"/>
                <w:sz w:val="24"/>
                <w:lang w:val="en-US" w:eastAsia="zh-CN"/>
              </w:rPr>
              <w:t>投标</w:t>
            </w:r>
            <w:r>
              <w:rPr>
                <w:rFonts w:hint="eastAsia" w:ascii="宋体"/>
                <w:bCs/>
                <w:color w:val="auto"/>
                <w:sz w:val="24"/>
              </w:rPr>
              <w:t>人进行</w:t>
            </w:r>
            <w:r>
              <w:rPr>
                <w:rFonts w:hint="eastAsia" w:ascii="宋体"/>
                <w:bCs/>
                <w:color w:val="auto"/>
                <w:sz w:val="24"/>
                <w:lang w:val="en-US" w:eastAsia="zh-CN"/>
              </w:rPr>
              <w:t>评审打分</w:t>
            </w:r>
            <w:r>
              <w:rPr>
                <w:rFonts w:hint="eastAsia" w:ascii="宋体"/>
                <w:bCs/>
                <w:color w:val="auto"/>
                <w:sz w:val="24"/>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宋体"/>
                <w:color w:val="auto"/>
                <w:sz w:val="24"/>
              </w:rPr>
            </w:pPr>
            <w:r>
              <w:rPr>
                <w:rFonts w:hint="eastAsia" w:ascii="宋体"/>
                <w:bCs/>
                <w:color w:val="auto"/>
                <w:sz w:val="24"/>
              </w:rPr>
              <w:t>3.评估及确定成交供应商：通过资格性审查和符合性审查的报价人，评标小组按</w:t>
            </w:r>
            <w:r>
              <w:rPr>
                <w:rFonts w:hint="eastAsia" w:ascii="宋体"/>
                <w:bCs/>
                <w:color w:val="auto"/>
                <w:sz w:val="24"/>
                <w:lang w:val="en-US" w:eastAsia="zh-CN"/>
              </w:rPr>
              <w:t>综合得分</w:t>
            </w:r>
            <w:r>
              <w:rPr>
                <w:rFonts w:hint="eastAsia" w:ascii="宋体"/>
                <w:bCs/>
                <w:color w:val="auto"/>
                <w:sz w:val="24"/>
              </w:rPr>
              <w:t>由</w:t>
            </w:r>
            <w:r>
              <w:rPr>
                <w:rFonts w:hint="eastAsia" w:ascii="宋体"/>
                <w:bCs/>
                <w:color w:val="auto"/>
                <w:sz w:val="24"/>
                <w:lang w:val="en-US" w:eastAsia="zh-CN"/>
              </w:rPr>
              <w:t>高</w:t>
            </w:r>
            <w:r>
              <w:rPr>
                <w:rFonts w:hint="eastAsia" w:ascii="宋体"/>
                <w:bCs/>
                <w:color w:val="auto"/>
                <w:sz w:val="24"/>
              </w:rPr>
              <w:t>到</w:t>
            </w:r>
            <w:r>
              <w:rPr>
                <w:rFonts w:hint="eastAsia" w:ascii="宋体"/>
                <w:bCs/>
                <w:color w:val="auto"/>
                <w:sz w:val="24"/>
                <w:lang w:val="en-US" w:eastAsia="zh-CN"/>
              </w:rPr>
              <w:t>低</w:t>
            </w:r>
            <w:r>
              <w:rPr>
                <w:rFonts w:hint="eastAsia" w:ascii="宋体"/>
                <w:bCs/>
                <w:color w:val="auto"/>
                <w:sz w:val="24"/>
              </w:rPr>
              <w:t>顺序推荐排序第一的为第一成交候选人，排序第二的为第二成交候选人，排序第三的为第三成交候选人（若</w:t>
            </w:r>
            <w:r>
              <w:rPr>
                <w:rFonts w:hint="eastAsia" w:ascii="宋体"/>
                <w:bCs/>
                <w:color w:val="auto"/>
                <w:sz w:val="24"/>
                <w:lang w:val="en-US" w:eastAsia="zh-CN"/>
              </w:rPr>
              <w:t>综合得分</w:t>
            </w:r>
            <w:r>
              <w:rPr>
                <w:rFonts w:hint="eastAsia" w:ascii="宋体"/>
                <w:bCs/>
                <w:color w:val="auto"/>
                <w:sz w:val="24"/>
              </w:rPr>
              <w:t>相同，则按</w:t>
            </w:r>
            <w:r>
              <w:rPr>
                <w:rFonts w:hint="eastAsia"/>
                <w:color w:val="auto"/>
                <w:sz w:val="24"/>
                <w:szCs w:val="24"/>
                <w:lang w:val="en-US" w:eastAsia="zh-CN"/>
              </w:rPr>
              <w:t>质保期</w:t>
            </w:r>
            <w:r>
              <w:rPr>
                <w:rFonts w:hint="eastAsia" w:ascii="宋体"/>
                <w:bCs/>
                <w:color w:val="auto"/>
                <w:sz w:val="24"/>
              </w:rPr>
              <w:t>从</w:t>
            </w:r>
            <w:r>
              <w:rPr>
                <w:rFonts w:hint="eastAsia" w:ascii="宋体"/>
                <w:bCs/>
                <w:color w:val="auto"/>
                <w:sz w:val="24"/>
                <w:lang w:val="en-US" w:eastAsia="zh-CN"/>
              </w:rPr>
              <w:t>长</w:t>
            </w:r>
            <w:r>
              <w:rPr>
                <w:rFonts w:hint="eastAsia" w:ascii="宋体"/>
                <w:bCs/>
                <w:color w:val="auto"/>
                <w:sz w:val="24"/>
              </w:rPr>
              <w:t>到</w:t>
            </w:r>
            <w:r>
              <w:rPr>
                <w:rFonts w:hint="eastAsia" w:ascii="宋体"/>
                <w:bCs/>
                <w:color w:val="auto"/>
                <w:sz w:val="24"/>
                <w:lang w:val="en-US" w:eastAsia="zh-CN"/>
              </w:rPr>
              <w:t>短</w:t>
            </w:r>
            <w:r>
              <w:rPr>
                <w:rFonts w:hint="eastAsia" w:ascii="宋体"/>
                <w:bCs/>
                <w:color w:val="auto"/>
                <w:sz w:val="24"/>
              </w:rPr>
              <w:t>顺序</w:t>
            </w:r>
            <w:r>
              <w:rPr>
                <w:rFonts w:hint="eastAsia" w:ascii="宋体"/>
                <w:bCs/>
                <w:color w:val="auto"/>
                <w:sz w:val="24"/>
                <w:lang w:eastAsia="zh-CN"/>
              </w:rPr>
              <w:t>、</w:t>
            </w:r>
            <w:r>
              <w:rPr>
                <w:rFonts w:hint="eastAsia" w:ascii="宋体"/>
                <w:bCs/>
                <w:color w:val="auto"/>
                <w:sz w:val="24"/>
                <w:lang w:val="en-US" w:eastAsia="zh-CN"/>
              </w:rPr>
              <w:t>技术指标响应优劣等情况先后</w:t>
            </w:r>
            <w:r>
              <w:rPr>
                <w:rFonts w:hint="eastAsia" w:ascii="宋体"/>
                <w:bCs/>
                <w:color w:val="auto"/>
                <w:sz w:val="24"/>
              </w:rPr>
              <w:t>排列推荐）。</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6</w:t>
            </w:r>
          </w:p>
        </w:tc>
        <w:tc>
          <w:tcPr>
            <w:tcW w:w="108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6.1</w:t>
            </w:r>
          </w:p>
        </w:tc>
        <w:tc>
          <w:tcPr>
            <w:tcW w:w="72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color w:val="auto"/>
                <w:sz w:val="24"/>
              </w:rPr>
            </w:pPr>
            <w:r>
              <w:rPr>
                <w:rFonts w:hint="eastAsia" w:ascii="宋体"/>
                <w:color w:val="auto"/>
                <w:sz w:val="24"/>
              </w:rPr>
              <w:t>1.报价人必须对其报价文件中提供各种资料、说明的真实性负责。在评选过程中，如有发现报价人有为谋取中选而提供虚假资料欺骗采购人和评委的行为，将取消其中选资格，并按相关规定处罚。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color w:val="auto"/>
                <w:sz w:val="24"/>
              </w:rPr>
            </w:pPr>
            <w:r>
              <w:rPr>
                <w:rFonts w:hint="eastAsia" w:ascii="宋体"/>
                <w:color w:val="auto"/>
                <w:sz w:val="24"/>
              </w:rPr>
              <w:t>2.中选后，采购人有可能对成交人报价文件中的承诺内容和证明材料进行核查，成交人应无条件配合采购人的核查工作，不得托词拒绝核查或隐瞒真实情况。若发现成交人虚假响应，则予以无效报价处理，并按相关规定处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b/>
                <w:color w:val="auto"/>
                <w:sz w:val="24"/>
              </w:rPr>
            </w:pPr>
            <w:r>
              <w:rPr>
                <w:rFonts w:hint="eastAsia" w:ascii="宋体"/>
                <w:color w:val="auto"/>
                <w:sz w:val="24"/>
              </w:rPr>
              <w:t>3.若在签订合同时，发现成交人有提供虚假材料谋取中选等违法违规行为，将取消其成交人资格，并按相关规定处罚；给采购人造成损失的，还必须进行赔偿并负相关责任。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pageBreakBefore w:val="0"/>
              <w:kinsoku/>
              <w:wordWrap/>
              <w:topLinePunct w:val="0"/>
              <w:bidi w:val="0"/>
              <w:spacing w:before="156" w:beforeLines="50" w:line="360" w:lineRule="auto"/>
              <w:rPr>
                <w:rFonts w:ascii="宋体"/>
                <w:color w:val="auto"/>
                <w:sz w:val="24"/>
              </w:rPr>
            </w:pPr>
            <w:r>
              <w:rPr>
                <w:rFonts w:hint="eastAsia" w:ascii="宋体"/>
                <w:color w:val="auto"/>
                <w:sz w:val="24"/>
              </w:rPr>
              <w:t>6.2</w:t>
            </w:r>
          </w:p>
        </w:tc>
        <w:tc>
          <w:tcPr>
            <w:tcW w:w="72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color w:val="auto"/>
                <w:sz w:val="24"/>
              </w:rPr>
            </w:pPr>
            <w:r>
              <w:rPr>
                <w:rFonts w:hint="eastAsia" w:ascii="宋体"/>
                <w:color w:val="auto"/>
                <w:sz w:val="24"/>
              </w:rPr>
              <w:t>开标、评标程序：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color w:val="auto"/>
                <w:sz w:val="24"/>
              </w:rPr>
            </w:pPr>
            <w:r>
              <w:rPr>
                <w:rFonts w:hint="eastAsia" w:ascii="宋体" w:hAnsi="宋体" w:eastAsia="宋体" w:cs="宋体"/>
                <w:color w:val="auto"/>
                <w:sz w:val="24"/>
                <w:szCs w:val="24"/>
                <w:highlight w:val="none"/>
              </w:rPr>
              <w:t>由</w:t>
            </w:r>
            <w:r>
              <w:rPr>
                <w:rFonts w:hint="eastAsia" w:ascii="宋体" w:hAnsi="宋体" w:eastAsia="宋体" w:cs="宋体"/>
                <w:color w:val="auto"/>
                <w:sz w:val="24"/>
                <w:szCs w:val="24"/>
                <w:highlight w:val="none"/>
                <w:lang w:val="en-US" w:eastAsia="zh-CN"/>
              </w:rPr>
              <w:t>我</w:t>
            </w:r>
            <w:r>
              <w:rPr>
                <w:rFonts w:hint="eastAsia" w:ascii="宋体" w:hAnsi="宋体" w:eastAsia="宋体" w:cs="宋体"/>
                <w:color w:val="auto"/>
                <w:sz w:val="24"/>
                <w:szCs w:val="24"/>
                <w:highlight w:val="none"/>
              </w:rPr>
              <w:t>站</w:t>
            </w:r>
            <w:r>
              <w:rPr>
                <w:rFonts w:hint="eastAsia" w:ascii="宋体" w:hAnsi="宋体" w:eastAsia="宋体" w:cs="宋体"/>
                <w:color w:val="auto"/>
                <w:sz w:val="24"/>
                <w:szCs w:val="24"/>
                <w:highlight w:val="none"/>
                <w:lang w:val="en-US" w:eastAsia="zh-CN"/>
              </w:rPr>
              <w:t>组织</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工作</w:t>
            </w:r>
            <w:r>
              <w:rPr>
                <w:rFonts w:hint="eastAsia" w:ascii="宋体" w:hAnsi="宋体" w:eastAsia="宋体" w:cs="宋体"/>
                <w:color w:val="auto"/>
                <w:sz w:val="24"/>
                <w:szCs w:val="24"/>
                <w:highlight w:val="none"/>
              </w:rPr>
              <w:t>，</w:t>
            </w:r>
            <w:r>
              <w:rPr>
                <w:rFonts w:hint="eastAsia" w:ascii="宋体" w:eastAsia="宋体"/>
                <w:color w:val="auto"/>
                <w:sz w:val="24"/>
              </w:rPr>
              <w:t>站支部纪检委员全程监督</w:t>
            </w:r>
            <w:r>
              <w:rPr>
                <w:rFonts w:hint="eastAsia" w:ascii="宋体" w:hAnsi="宋体" w:eastAsia="宋体" w:cs="宋体"/>
                <w:color w:val="auto"/>
                <w:sz w:val="24"/>
                <w:szCs w:val="24"/>
              </w:rPr>
              <w:t>，开启《报价文件》</w:t>
            </w:r>
            <w:r>
              <w:rPr>
                <w:rFonts w:hint="eastAsia" w:ascii="宋体" w:hAnsi="宋体" w:cs="宋体"/>
                <w:color w:val="auto"/>
                <w:sz w:val="24"/>
                <w:szCs w:val="24"/>
                <w:lang w:eastAsia="zh-CN"/>
              </w:rPr>
              <w:t>，</w:t>
            </w:r>
            <w:r>
              <w:rPr>
                <w:rFonts w:hint="eastAsia" w:ascii="宋体" w:hAnsi="宋体" w:eastAsia="宋体" w:cs="宋体"/>
                <w:color w:val="auto"/>
                <w:sz w:val="24"/>
                <w:szCs w:val="24"/>
              </w:rPr>
              <w:t>具备资格的供应商有</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家及以上参与且符合条件情况下，可以组织评审。按照</w:t>
            </w:r>
            <w:r>
              <w:rPr>
                <w:rFonts w:hint="eastAsia" w:ascii="宋体" w:hAnsi="宋体" w:cs="宋体"/>
                <w:color w:val="auto"/>
                <w:sz w:val="24"/>
                <w:szCs w:val="24"/>
                <w:lang w:val="en-US" w:eastAsia="zh-CN"/>
              </w:rPr>
              <w:t>综合</w:t>
            </w:r>
            <w:r>
              <w:rPr>
                <w:rFonts w:hint="eastAsia" w:ascii="宋体" w:hAnsi="宋体" w:eastAsia="宋体" w:cs="宋体"/>
                <w:color w:val="auto"/>
                <w:sz w:val="24"/>
                <w:szCs w:val="24"/>
              </w:rPr>
              <w:t>评分法开展评标，确定协议供应商。资格符合条件且</w:t>
            </w:r>
            <w:r>
              <w:rPr>
                <w:rFonts w:hint="eastAsia" w:ascii="宋体" w:hAnsi="宋体" w:cs="宋体"/>
                <w:color w:val="auto"/>
                <w:sz w:val="24"/>
                <w:szCs w:val="24"/>
                <w:lang w:val="en-US" w:eastAsia="zh-CN"/>
              </w:rPr>
              <w:t>综合得分</w:t>
            </w:r>
            <w:r>
              <w:rPr>
                <w:rFonts w:hint="eastAsia" w:ascii="宋体" w:hAnsi="宋体" w:eastAsia="宋体" w:cs="宋体"/>
                <w:color w:val="auto"/>
                <w:sz w:val="24"/>
                <w:szCs w:val="24"/>
              </w:rPr>
              <w:t>最</w:t>
            </w:r>
            <w:r>
              <w:rPr>
                <w:rFonts w:hint="eastAsia" w:ascii="宋体" w:hAnsi="宋体" w:cs="宋体"/>
                <w:color w:val="auto"/>
                <w:sz w:val="24"/>
                <w:szCs w:val="24"/>
                <w:lang w:val="en-US" w:eastAsia="zh-CN"/>
              </w:rPr>
              <w:t>高</w:t>
            </w:r>
            <w:r>
              <w:rPr>
                <w:rFonts w:hint="eastAsia" w:ascii="宋体" w:hAnsi="宋体" w:eastAsia="宋体" w:cs="宋体"/>
                <w:color w:val="auto"/>
                <w:sz w:val="24"/>
                <w:szCs w:val="24"/>
              </w:rPr>
              <w:t>者中标。</w:t>
            </w:r>
          </w:p>
        </w:tc>
      </w:tr>
    </w:tbl>
    <w:p>
      <w:pPr>
        <w:pStyle w:val="2"/>
        <w:pageBreakBefore w:val="0"/>
        <w:kinsoku/>
        <w:wordWrap/>
        <w:topLinePunct w:val="0"/>
        <w:bidi w:val="0"/>
        <w:spacing w:line="360" w:lineRule="auto"/>
        <w:rPr>
          <w:rFonts w:hint="eastAsia"/>
          <w:color w:val="auto"/>
          <w:lang w:eastAsia="zh-CN"/>
        </w:rPr>
      </w:pPr>
    </w:p>
    <w:p>
      <w:pPr>
        <w:pageBreakBefore w:val="0"/>
        <w:kinsoku/>
        <w:wordWrap/>
        <w:topLinePunct w:val="0"/>
        <w:bidi w:val="0"/>
        <w:spacing w:line="360" w:lineRule="auto"/>
        <w:rPr>
          <w:rFonts w:hint="eastAsia"/>
          <w:color w:val="auto"/>
          <w:lang w:eastAsia="zh-CN"/>
        </w:rPr>
      </w:pPr>
    </w:p>
    <w:p>
      <w:pPr>
        <w:pStyle w:val="2"/>
        <w:pageBreakBefore w:val="0"/>
        <w:kinsoku/>
        <w:wordWrap/>
        <w:topLinePunct w:val="0"/>
        <w:bidi w:val="0"/>
        <w:spacing w:line="360" w:lineRule="auto"/>
        <w:rPr>
          <w:rFonts w:hint="eastAsia"/>
          <w:color w:val="auto"/>
          <w:lang w:eastAsia="zh-CN"/>
        </w:rPr>
      </w:pPr>
    </w:p>
    <w:tbl>
      <w:tblPr>
        <w:tblStyle w:val="13"/>
        <w:tblW w:w="9339" w:type="dxa"/>
        <w:tblInd w:w="-2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334"/>
        <w:gridCol w:w="720"/>
        <w:gridCol w:w="65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9339" w:type="dxa"/>
            <w:gridSpan w:val="4"/>
            <w:noWrap w:val="0"/>
            <w:vAlign w:val="center"/>
          </w:tcPr>
          <w:p>
            <w:pPr>
              <w:pageBreakBefore w:val="0"/>
              <w:kinsoku/>
              <w:wordWrap/>
              <w:topLinePunct w:val="0"/>
              <w:bidi w:val="0"/>
              <w:spacing w:line="360" w:lineRule="auto"/>
              <w:jc w:val="center"/>
              <w:rPr>
                <w:rFonts w:hint="eastAsia" w:ascii="宋体" w:hAnsi="宋体" w:eastAsia="宋体"/>
                <w:b/>
                <w:color w:val="auto"/>
                <w:sz w:val="24"/>
                <w:szCs w:val="24"/>
                <w:lang w:eastAsia="zh-CN"/>
              </w:rPr>
            </w:pPr>
            <w:r>
              <w:rPr>
                <w:rFonts w:hint="eastAsia" w:ascii="黑体" w:hAnsi="黑体" w:eastAsia="黑体" w:cs="黑体"/>
                <w:b w:val="0"/>
                <w:bCs/>
                <w:color w:val="auto"/>
                <w:sz w:val="28"/>
                <w:szCs w:val="28"/>
                <w:lang w:eastAsia="zh-CN"/>
              </w:rPr>
              <w:t>评标标准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2038" w:type="dxa"/>
            <w:gridSpan w:val="2"/>
            <w:noWrap w:val="0"/>
            <w:vAlign w:val="center"/>
          </w:tcPr>
          <w:p>
            <w:pPr>
              <w:pageBreakBefore w:val="0"/>
              <w:kinsoku/>
              <w:wordWrap/>
              <w:topLinePunct w:val="0"/>
              <w:bidi w:val="0"/>
              <w:spacing w:line="360" w:lineRule="auto"/>
              <w:jc w:val="center"/>
              <w:rPr>
                <w:rFonts w:ascii="宋体" w:hAnsi="宋体"/>
                <w:b/>
                <w:color w:val="auto"/>
                <w:sz w:val="24"/>
                <w:szCs w:val="24"/>
              </w:rPr>
            </w:pPr>
            <w:r>
              <w:rPr>
                <w:rFonts w:hint="eastAsia" w:ascii="宋体" w:hAnsi="宋体"/>
                <w:b/>
                <w:color w:val="auto"/>
                <w:sz w:val="24"/>
                <w:szCs w:val="24"/>
              </w:rPr>
              <w:t>评审因素</w:t>
            </w:r>
          </w:p>
        </w:tc>
        <w:tc>
          <w:tcPr>
            <w:tcW w:w="720" w:type="dxa"/>
            <w:noWrap w:val="0"/>
            <w:vAlign w:val="center"/>
          </w:tcPr>
          <w:p>
            <w:pPr>
              <w:pageBreakBefore w:val="0"/>
              <w:kinsoku/>
              <w:wordWrap/>
              <w:topLinePunct w:val="0"/>
              <w:bidi w:val="0"/>
              <w:spacing w:line="360" w:lineRule="auto"/>
              <w:jc w:val="center"/>
              <w:rPr>
                <w:rFonts w:ascii="宋体" w:hAnsi="宋体"/>
                <w:b/>
                <w:color w:val="auto"/>
                <w:sz w:val="24"/>
                <w:szCs w:val="24"/>
              </w:rPr>
            </w:pPr>
            <w:r>
              <w:rPr>
                <w:rFonts w:hint="eastAsia" w:ascii="宋体" w:hAnsi="宋体"/>
                <w:b/>
                <w:color w:val="auto"/>
                <w:sz w:val="24"/>
                <w:szCs w:val="24"/>
              </w:rPr>
              <w:t>分值</w:t>
            </w:r>
          </w:p>
        </w:tc>
        <w:tc>
          <w:tcPr>
            <w:tcW w:w="6581" w:type="dxa"/>
            <w:noWrap w:val="0"/>
            <w:vAlign w:val="center"/>
          </w:tcPr>
          <w:p>
            <w:pPr>
              <w:pageBreakBefore w:val="0"/>
              <w:kinsoku/>
              <w:wordWrap/>
              <w:topLinePunct w:val="0"/>
              <w:bidi w:val="0"/>
              <w:spacing w:line="360" w:lineRule="auto"/>
              <w:jc w:val="center"/>
              <w:rPr>
                <w:rFonts w:ascii="宋体" w:hAnsi="宋体"/>
                <w:b/>
                <w:color w:val="auto"/>
                <w:sz w:val="24"/>
                <w:szCs w:val="24"/>
              </w:rPr>
            </w:pPr>
            <w:r>
              <w:rPr>
                <w:rFonts w:hint="eastAsia" w:ascii="宋体" w:hAnsi="宋体"/>
                <w:b/>
                <w:color w:val="auto"/>
                <w:sz w:val="24"/>
                <w:szCs w:val="24"/>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2038" w:type="dxa"/>
            <w:gridSpan w:val="2"/>
            <w:noWrap w:val="0"/>
            <w:vAlign w:val="center"/>
          </w:tcPr>
          <w:p>
            <w:pPr>
              <w:pageBreakBefore w:val="0"/>
              <w:kinsoku/>
              <w:wordWrap/>
              <w:topLinePunct w:val="0"/>
              <w:bidi w:val="0"/>
              <w:spacing w:line="360" w:lineRule="auto"/>
              <w:jc w:val="center"/>
              <w:rPr>
                <w:rFonts w:ascii="宋体" w:hAnsi="宋体"/>
                <w:b w:val="0"/>
                <w:bCs/>
                <w:color w:val="auto"/>
                <w:sz w:val="24"/>
                <w:szCs w:val="24"/>
              </w:rPr>
            </w:pPr>
            <w:r>
              <w:rPr>
                <w:rFonts w:hint="eastAsia" w:ascii="宋体" w:hAnsi="宋体"/>
                <w:b w:val="0"/>
                <w:bCs/>
                <w:color w:val="auto"/>
                <w:sz w:val="24"/>
                <w:szCs w:val="24"/>
              </w:rPr>
              <w:t>价格部分</w:t>
            </w:r>
          </w:p>
        </w:tc>
        <w:tc>
          <w:tcPr>
            <w:tcW w:w="720" w:type="dxa"/>
            <w:noWrap w:val="0"/>
            <w:vAlign w:val="center"/>
          </w:tcPr>
          <w:p>
            <w:pPr>
              <w:pageBreakBefore w:val="0"/>
              <w:kinsoku/>
              <w:wordWrap/>
              <w:topLinePunct w:val="0"/>
              <w:bidi w:val="0"/>
              <w:spacing w:line="360" w:lineRule="auto"/>
              <w:jc w:val="center"/>
              <w:rPr>
                <w:rFonts w:ascii="宋体" w:hAnsi="宋体"/>
                <w:b w:val="0"/>
                <w:bCs/>
                <w:color w:val="auto"/>
                <w:sz w:val="24"/>
                <w:szCs w:val="24"/>
              </w:rPr>
            </w:pPr>
            <w:r>
              <w:rPr>
                <w:rFonts w:hint="eastAsia" w:ascii="宋体" w:hAnsi="宋体"/>
                <w:b w:val="0"/>
                <w:bCs/>
                <w:color w:val="auto"/>
                <w:spacing w:val="-6"/>
                <w:sz w:val="24"/>
                <w:szCs w:val="24"/>
                <w:lang w:val="en-US" w:eastAsia="zh-CN"/>
              </w:rPr>
              <w:t>35</w:t>
            </w:r>
            <w:r>
              <w:rPr>
                <w:rFonts w:hint="eastAsia" w:ascii="宋体" w:hAnsi="宋体"/>
                <w:b w:val="0"/>
                <w:bCs/>
                <w:color w:val="auto"/>
                <w:spacing w:val="-6"/>
                <w:sz w:val="24"/>
                <w:szCs w:val="24"/>
              </w:rPr>
              <w:t>分</w:t>
            </w:r>
          </w:p>
        </w:tc>
        <w:tc>
          <w:tcPr>
            <w:tcW w:w="6581" w:type="dxa"/>
            <w:noWrap w:val="0"/>
            <w:vAlign w:val="center"/>
          </w:tcPr>
          <w:p>
            <w:pPr>
              <w:keepNext w:val="0"/>
              <w:keepLines w:val="0"/>
              <w:pageBreakBefore w:val="0"/>
              <w:kinsoku/>
              <w:wordWrap/>
              <w:overflowPunct/>
              <w:topLinePunct w:val="0"/>
              <w:autoSpaceDE/>
              <w:autoSpaceDN/>
              <w:bidi w:val="0"/>
              <w:adjustRightInd/>
              <w:snapToGrid/>
              <w:spacing w:line="360" w:lineRule="auto"/>
              <w:jc w:val="left"/>
              <w:textAlignment w:val="auto"/>
              <w:rPr>
                <w:rFonts w:ascii="宋体" w:hAnsi="宋体"/>
                <w:b w:val="0"/>
                <w:bCs/>
                <w:color w:val="auto"/>
                <w:sz w:val="24"/>
                <w:szCs w:val="24"/>
              </w:rPr>
            </w:pPr>
            <w:r>
              <w:rPr>
                <w:rFonts w:hint="eastAsia" w:ascii="宋体" w:hAnsi="宋体"/>
                <w:b w:val="0"/>
                <w:bCs/>
                <w:color w:val="auto"/>
                <w:sz w:val="24"/>
                <w:szCs w:val="24"/>
              </w:rPr>
              <w:t>1.满足</w:t>
            </w:r>
            <w:r>
              <w:rPr>
                <w:rFonts w:hint="eastAsia" w:ascii="宋体" w:hAnsi="宋体"/>
                <w:b w:val="0"/>
                <w:bCs/>
                <w:color w:val="auto"/>
                <w:sz w:val="24"/>
                <w:szCs w:val="24"/>
                <w:lang w:eastAsia="zh-CN"/>
              </w:rPr>
              <w:t>询价</w:t>
            </w:r>
            <w:r>
              <w:rPr>
                <w:rFonts w:hint="eastAsia" w:ascii="宋体" w:hAnsi="宋体"/>
                <w:b w:val="0"/>
                <w:bCs/>
                <w:color w:val="auto"/>
                <w:sz w:val="24"/>
                <w:szCs w:val="24"/>
              </w:rPr>
              <w:t>文件要求且投标价格（或者最终价格）最低的投标报价为评标基准价，其价格分为满分。</w:t>
            </w:r>
          </w:p>
          <w:p>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b w:val="0"/>
                <w:bCs/>
                <w:color w:val="auto"/>
                <w:sz w:val="24"/>
                <w:szCs w:val="24"/>
              </w:rPr>
            </w:pPr>
            <w:r>
              <w:rPr>
                <w:rFonts w:hint="eastAsia" w:ascii="宋体" w:hAnsi="宋体"/>
                <w:b w:val="0"/>
                <w:bCs/>
                <w:color w:val="auto"/>
                <w:sz w:val="24"/>
                <w:szCs w:val="24"/>
              </w:rPr>
              <w:t>2.投标报价得分=(评标基准价／投标报价)×价格权值×100（精确到小数点后二位）</w:t>
            </w:r>
          </w:p>
          <w:p>
            <w:pPr>
              <w:keepNext w:val="0"/>
              <w:keepLines w:val="0"/>
              <w:pageBreakBefore w:val="0"/>
              <w:kinsoku/>
              <w:wordWrap/>
              <w:overflowPunct/>
              <w:topLinePunct w:val="0"/>
              <w:autoSpaceDE/>
              <w:autoSpaceDN/>
              <w:bidi w:val="0"/>
              <w:adjustRightInd/>
              <w:snapToGrid/>
              <w:spacing w:line="360" w:lineRule="auto"/>
              <w:jc w:val="left"/>
              <w:textAlignment w:val="auto"/>
              <w:rPr>
                <w:rFonts w:ascii="宋体" w:hAnsi="宋体"/>
                <w:b w:val="0"/>
                <w:bCs/>
                <w:color w:val="auto"/>
                <w:sz w:val="24"/>
                <w:szCs w:val="24"/>
              </w:rPr>
            </w:pPr>
            <w:r>
              <w:rPr>
                <w:rFonts w:hint="eastAsia" w:ascii="宋体" w:hAnsi="宋体"/>
                <w:b w:val="0"/>
                <w:bCs/>
                <w:color w:val="auto"/>
                <w:sz w:val="24"/>
                <w:szCs w:val="24"/>
              </w:rPr>
              <w:t>3.投标报价</w:t>
            </w:r>
            <w:r>
              <w:rPr>
                <w:rFonts w:hint="eastAsia" w:ascii="宋体" w:hAnsi="宋体"/>
                <w:b w:val="0"/>
                <w:bCs/>
                <w:color w:val="auto"/>
                <w:sz w:val="24"/>
                <w:szCs w:val="24"/>
                <w:lang w:eastAsia="zh-CN"/>
              </w:rPr>
              <w:t>（单价、总价）</w:t>
            </w:r>
            <w:r>
              <w:rPr>
                <w:rFonts w:hint="eastAsia" w:ascii="宋体" w:hAnsi="宋体"/>
                <w:b w:val="0"/>
                <w:bCs/>
                <w:color w:val="auto"/>
                <w:sz w:val="24"/>
                <w:szCs w:val="24"/>
              </w:rPr>
              <w:t>超出</w:t>
            </w:r>
            <w:r>
              <w:rPr>
                <w:rFonts w:hint="eastAsia" w:ascii="宋体" w:hAnsi="宋体"/>
                <w:b w:val="0"/>
                <w:bCs/>
                <w:color w:val="auto"/>
                <w:sz w:val="24"/>
                <w:szCs w:val="24"/>
                <w:lang w:eastAsia="zh-CN"/>
              </w:rPr>
              <w:t>限</w:t>
            </w:r>
            <w:r>
              <w:rPr>
                <w:rFonts w:hint="eastAsia" w:ascii="宋体" w:hAnsi="宋体"/>
                <w:b w:val="0"/>
                <w:bCs/>
                <w:color w:val="auto"/>
                <w:sz w:val="24"/>
                <w:szCs w:val="24"/>
              </w:rPr>
              <w:t>价的投标无效。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2038" w:type="dxa"/>
            <w:gridSpan w:val="2"/>
            <w:noWrap w:val="0"/>
            <w:vAlign w:val="center"/>
          </w:tcPr>
          <w:p>
            <w:pPr>
              <w:pageBreakBefore w:val="0"/>
              <w:kinsoku/>
              <w:wordWrap/>
              <w:topLinePunct w:val="0"/>
              <w:bidi w:val="0"/>
              <w:spacing w:line="360" w:lineRule="auto"/>
              <w:jc w:val="center"/>
              <w:rPr>
                <w:rFonts w:ascii="宋体" w:hAnsi="宋体"/>
                <w:b w:val="0"/>
                <w:bCs/>
                <w:color w:val="auto"/>
                <w:sz w:val="24"/>
                <w:szCs w:val="24"/>
              </w:rPr>
            </w:pPr>
            <w:r>
              <w:rPr>
                <w:rFonts w:hint="eastAsia" w:ascii="宋体" w:hAnsi="宋体"/>
                <w:b w:val="0"/>
                <w:bCs/>
                <w:color w:val="auto"/>
                <w:sz w:val="24"/>
                <w:szCs w:val="24"/>
              </w:rPr>
              <w:t>技术</w:t>
            </w:r>
            <w:r>
              <w:rPr>
                <w:rFonts w:hint="eastAsia" w:ascii="宋体" w:hAnsi="宋体"/>
                <w:b w:val="0"/>
                <w:bCs/>
                <w:color w:val="auto"/>
                <w:sz w:val="24"/>
                <w:szCs w:val="24"/>
                <w:lang w:eastAsia="zh-CN"/>
              </w:rPr>
              <w:t>要求</w:t>
            </w:r>
            <w:r>
              <w:rPr>
                <w:rFonts w:hint="eastAsia" w:ascii="宋体" w:hAnsi="宋体"/>
                <w:b w:val="0"/>
                <w:bCs/>
                <w:color w:val="auto"/>
                <w:sz w:val="24"/>
                <w:szCs w:val="24"/>
              </w:rPr>
              <w:t>部分</w:t>
            </w:r>
          </w:p>
          <w:p>
            <w:pPr>
              <w:pageBreakBefore w:val="0"/>
              <w:kinsoku/>
              <w:wordWrap/>
              <w:topLinePunct w:val="0"/>
              <w:bidi w:val="0"/>
              <w:spacing w:line="360" w:lineRule="auto"/>
              <w:jc w:val="center"/>
              <w:rPr>
                <w:rFonts w:hint="eastAsia" w:ascii="宋体" w:hAnsi="宋体"/>
                <w:b w:val="0"/>
                <w:bCs/>
                <w:color w:val="auto"/>
                <w:sz w:val="24"/>
                <w:szCs w:val="24"/>
              </w:rPr>
            </w:pPr>
            <w:r>
              <w:rPr>
                <w:rFonts w:hint="eastAsia" w:ascii="宋体" w:hAnsi="宋体"/>
                <w:b w:val="0"/>
                <w:bCs/>
                <w:color w:val="auto"/>
                <w:sz w:val="24"/>
                <w:szCs w:val="24"/>
              </w:rPr>
              <w:t>（技术参数）</w:t>
            </w:r>
          </w:p>
        </w:tc>
        <w:tc>
          <w:tcPr>
            <w:tcW w:w="720" w:type="dxa"/>
            <w:noWrap w:val="0"/>
            <w:vAlign w:val="center"/>
          </w:tcPr>
          <w:p>
            <w:pPr>
              <w:pageBreakBefore w:val="0"/>
              <w:kinsoku/>
              <w:wordWrap/>
              <w:topLinePunct w:val="0"/>
              <w:bidi w:val="0"/>
              <w:spacing w:line="360" w:lineRule="auto"/>
              <w:jc w:val="center"/>
              <w:rPr>
                <w:rFonts w:hint="eastAsia" w:ascii="宋体" w:hAnsi="宋体"/>
                <w:b w:val="0"/>
                <w:bCs/>
                <w:color w:val="auto"/>
                <w:kern w:val="2"/>
                <w:sz w:val="24"/>
                <w:szCs w:val="24"/>
                <w:lang w:val="en-US" w:eastAsia="zh-CN" w:bidi="ar-SA"/>
              </w:rPr>
            </w:pPr>
            <w:r>
              <w:rPr>
                <w:rFonts w:hint="eastAsia" w:ascii="宋体" w:hAnsi="宋体"/>
                <w:b w:val="0"/>
                <w:bCs/>
                <w:color w:val="auto"/>
                <w:spacing w:val="-6"/>
                <w:sz w:val="24"/>
                <w:szCs w:val="24"/>
                <w:lang w:val="en-US" w:eastAsia="zh-CN"/>
              </w:rPr>
              <w:t>55</w:t>
            </w:r>
            <w:r>
              <w:rPr>
                <w:rFonts w:hint="eastAsia" w:ascii="宋体" w:hAnsi="宋体"/>
                <w:b w:val="0"/>
                <w:bCs/>
                <w:color w:val="auto"/>
                <w:spacing w:val="-6"/>
                <w:sz w:val="24"/>
                <w:szCs w:val="24"/>
              </w:rPr>
              <w:t>分</w:t>
            </w:r>
          </w:p>
        </w:tc>
        <w:tc>
          <w:tcPr>
            <w:tcW w:w="6581" w:type="dxa"/>
            <w:noWrap w:val="0"/>
            <w:vAlign w:val="center"/>
          </w:tcPr>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b w:val="0"/>
                <w:bCs/>
                <w:color w:val="auto"/>
                <w:sz w:val="24"/>
                <w:szCs w:val="24"/>
                <w:highlight w:val="none"/>
                <w:lang w:eastAsia="zh-CN"/>
              </w:rPr>
            </w:pPr>
            <w:r>
              <w:rPr>
                <w:rFonts w:hint="eastAsia" w:ascii="宋体" w:hAnsi="宋体"/>
                <w:b w:val="0"/>
                <w:bCs/>
                <w:color w:val="auto"/>
                <w:sz w:val="24"/>
                <w:szCs w:val="24"/>
                <w:highlight w:val="none"/>
              </w:rPr>
              <w:t>根据产品技术和性能响应情况评审（</w:t>
            </w:r>
            <w:r>
              <w:rPr>
                <w:rFonts w:hint="eastAsia" w:ascii="宋体" w:hAnsi="宋体"/>
                <w:b w:val="0"/>
                <w:bCs/>
                <w:color w:val="auto"/>
                <w:sz w:val="24"/>
                <w:szCs w:val="24"/>
                <w:highlight w:val="none"/>
                <w:lang w:val="en-US" w:eastAsia="zh-CN"/>
              </w:rPr>
              <w:t>成品及原材料应提供</w:t>
            </w:r>
            <w:r>
              <w:rPr>
                <w:rFonts w:hint="eastAsia" w:ascii="宋体" w:hAnsi="宋体"/>
                <w:b w:val="0"/>
                <w:bCs/>
                <w:color w:val="auto"/>
                <w:sz w:val="24"/>
                <w:szCs w:val="24"/>
                <w:highlight w:val="none"/>
              </w:rPr>
              <w:t>国家认可的质量检验中心出具的原材料抽样检验报告</w:t>
            </w:r>
            <w:r>
              <w:rPr>
                <w:rFonts w:hint="eastAsia" w:ascii="宋体" w:hAnsi="宋体"/>
                <w:b w:val="0"/>
                <w:bCs/>
                <w:color w:val="auto"/>
                <w:sz w:val="24"/>
                <w:szCs w:val="24"/>
                <w:highlight w:val="none"/>
                <w:lang w:eastAsia="zh-CN"/>
              </w:rPr>
              <w:t>复印</w:t>
            </w:r>
            <w:r>
              <w:rPr>
                <w:rFonts w:hint="eastAsia" w:ascii="宋体" w:hAnsi="宋体"/>
                <w:b w:val="0"/>
                <w:bCs/>
                <w:color w:val="auto"/>
                <w:sz w:val="24"/>
                <w:szCs w:val="24"/>
                <w:highlight w:val="none"/>
                <w:lang w:val="en-US" w:eastAsia="zh-CN"/>
              </w:rPr>
              <w:t>件</w:t>
            </w:r>
            <w:r>
              <w:rPr>
                <w:rFonts w:hint="eastAsia" w:ascii="宋体" w:hAnsi="宋体"/>
                <w:b w:val="0"/>
                <w:bCs/>
                <w:color w:val="auto"/>
                <w:sz w:val="24"/>
                <w:szCs w:val="24"/>
                <w:highlight w:val="none"/>
                <w:lang w:eastAsia="zh-CN"/>
              </w:rPr>
              <w:t>，</w:t>
            </w:r>
            <w:r>
              <w:rPr>
                <w:rFonts w:hint="eastAsia" w:ascii="宋体" w:hAnsi="宋体"/>
                <w:b w:val="0"/>
                <w:bCs/>
                <w:color w:val="auto"/>
                <w:sz w:val="24"/>
                <w:szCs w:val="24"/>
                <w:highlight w:val="none"/>
                <w:lang w:val="en-US" w:eastAsia="zh-CN"/>
              </w:rPr>
              <w:t>其中会议桌、条桌、会议椅、办公椅、办公桌、文件柜成品的检验报告需在2022年1月1日之后检验合格，之前检验的视为负偏离</w:t>
            </w:r>
            <w:r>
              <w:rPr>
                <w:rFonts w:hint="eastAsia" w:ascii="宋体" w:hAnsi="宋体"/>
                <w:b w:val="0"/>
                <w:bCs/>
                <w:color w:val="auto"/>
                <w:sz w:val="24"/>
                <w:szCs w:val="24"/>
                <w:highlight w:val="none"/>
              </w:rPr>
              <w:t>）</w:t>
            </w:r>
            <w:r>
              <w:rPr>
                <w:rFonts w:hint="eastAsia" w:ascii="宋体" w:hAnsi="宋体"/>
                <w:b w:val="0"/>
                <w:bCs/>
                <w:color w:val="auto"/>
                <w:sz w:val="24"/>
                <w:szCs w:val="24"/>
                <w:highlight w:val="none"/>
                <w:lang w:eastAsia="zh-CN"/>
              </w:rPr>
              <w:t>。</w:t>
            </w:r>
          </w:p>
          <w:p>
            <w:pPr>
              <w:keepNext w:val="0"/>
              <w:keepLines w:val="0"/>
              <w:pageBreakBefore w:val="0"/>
              <w:kinsoku/>
              <w:wordWrap/>
              <w:overflowPunct/>
              <w:topLinePunct w:val="0"/>
              <w:autoSpaceDE/>
              <w:autoSpaceDN/>
              <w:bidi w:val="0"/>
              <w:adjustRightInd/>
              <w:snapToGrid/>
              <w:spacing w:line="360" w:lineRule="auto"/>
              <w:textAlignment w:val="auto"/>
              <w:rPr>
                <w:rFonts w:hint="default" w:ascii="宋体" w:hAnsi="宋体" w:eastAsia="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1、</w:t>
            </w:r>
            <w:r>
              <w:rPr>
                <w:rFonts w:hint="eastAsia" w:ascii="宋体" w:hAnsi="宋体"/>
                <w:b w:val="0"/>
                <w:bCs/>
                <w:color w:val="auto"/>
                <w:sz w:val="24"/>
                <w:szCs w:val="24"/>
                <w:highlight w:val="none"/>
              </w:rPr>
              <w:t>每一</w:t>
            </w:r>
            <w:r>
              <w:rPr>
                <w:rFonts w:hint="eastAsia" w:ascii="宋体" w:hAnsi="宋体" w:eastAsia="宋体" w:cs="Times New Roman"/>
                <w:b w:val="0"/>
                <w:bCs/>
                <w:color w:val="auto"/>
                <w:sz w:val="24"/>
                <w:szCs w:val="24"/>
                <w:highlight w:val="none"/>
              </w:rPr>
              <w:t>项带</w:t>
            </w:r>
            <w:r>
              <w:rPr>
                <w:rFonts w:hint="eastAsia" w:ascii="宋体" w:hAnsi="宋体" w:eastAsia="宋体" w:cs="宋体"/>
                <w:b/>
                <w:bCs/>
                <w:color w:val="auto"/>
                <w:sz w:val="24"/>
                <w:szCs w:val="24"/>
                <w:highlight w:val="none"/>
                <w:lang w:val="en-US" w:eastAsia="zh-CN"/>
              </w:rPr>
              <w:t>★</w:t>
            </w:r>
            <w:r>
              <w:rPr>
                <w:rFonts w:hint="eastAsia" w:ascii="宋体" w:hAnsi="宋体" w:eastAsia="宋体" w:cs="Times New Roman"/>
                <w:b w:val="0"/>
                <w:bCs/>
                <w:color w:val="auto"/>
                <w:sz w:val="24"/>
                <w:szCs w:val="24"/>
                <w:highlight w:val="none"/>
                <w:lang w:val="en-US" w:eastAsia="zh-CN"/>
              </w:rPr>
              <w:t>（共计3项）</w:t>
            </w:r>
            <w:r>
              <w:rPr>
                <w:rFonts w:hint="eastAsia" w:ascii="宋体" w:hAnsi="宋体" w:eastAsia="宋体" w:cs="宋体"/>
                <w:b w:val="0"/>
                <w:bCs w:val="0"/>
                <w:color w:val="auto"/>
                <w:sz w:val="24"/>
                <w:szCs w:val="24"/>
                <w:highlight w:val="none"/>
                <w:lang w:val="en-US" w:eastAsia="zh-CN"/>
              </w:rPr>
              <w:t>必须完全满足，不能满足视为无效投标</w:t>
            </w:r>
            <w:r>
              <w:rPr>
                <w:rFonts w:hint="eastAsia" w:ascii="宋体" w:hAnsi="宋体"/>
                <w:b w:val="0"/>
                <w:bCs/>
                <w:color w:val="auto"/>
                <w:sz w:val="24"/>
                <w:szCs w:val="24"/>
                <w:highlight w:val="none"/>
              </w:rPr>
              <w:t>；</w:t>
            </w:r>
          </w:p>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b w:val="0"/>
                <w:bCs/>
                <w:color w:val="auto"/>
                <w:sz w:val="24"/>
                <w:szCs w:val="24"/>
                <w:highlight w:val="none"/>
              </w:rPr>
            </w:pPr>
            <w:r>
              <w:rPr>
                <w:rFonts w:hint="eastAsia" w:ascii="宋体" w:hAnsi="宋体"/>
                <w:b w:val="0"/>
                <w:bCs/>
                <w:color w:val="auto"/>
                <w:sz w:val="24"/>
                <w:szCs w:val="24"/>
                <w:highlight w:val="none"/>
                <w:lang w:val="en-US" w:eastAsia="zh-CN"/>
              </w:rPr>
              <w:t>2</w:t>
            </w:r>
            <w:r>
              <w:rPr>
                <w:rFonts w:hint="eastAsia" w:ascii="宋体" w:hAnsi="宋体"/>
                <w:b w:val="0"/>
                <w:bCs/>
                <w:color w:val="auto"/>
                <w:sz w:val="24"/>
                <w:szCs w:val="24"/>
                <w:highlight w:val="none"/>
              </w:rPr>
              <w:t>、完全满足采购技术要求的，得</w:t>
            </w:r>
            <w:r>
              <w:rPr>
                <w:rFonts w:hint="eastAsia" w:ascii="宋体" w:hAnsi="宋体"/>
                <w:b w:val="0"/>
                <w:bCs/>
                <w:color w:val="auto"/>
                <w:sz w:val="24"/>
                <w:szCs w:val="24"/>
                <w:highlight w:val="none"/>
                <w:lang w:val="en-US" w:eastAsia="zh-CN"/>
              </w:rPr>
              <w:t>5</w:t>
            </w:r>
            <w:r>
              <w:rPr>
                <w:rFonts w:hint="eastAsia" w:ascii="宋体" w:hAnsi="宋体"/>
                <w:b w:val="0"/>
                <w:bCs/>
                <w:color w:val="auto"/>
                <w:sz w:val="24"/>
                <w:szCs w:val="24"/>
                <w:highlight w:val="none"/>
              </w:rPr>
              <w:t>5分；</w:t>
            </w:r>
          </w:p>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Times New Roman"/>
                <w:b w:val="0"/>
                <w:bCs/>
                <w:color w:val="auto"/>
                <w:sz w:val="24"/>
                <w:szCs w:val="24"/>
                <w:highlight w:val="none"/>
              </w:rPr>
            </w:pPr>
            <w:r>
              <w:rPr>
                <w:rFonts w:hint="eastAsia" w:ascii="宋体" w:hAnsi="宋体"/>
                <w:b w:val="0"/>
                <w:bCs/>
                <w:color w:val="auto"/>
                <w:sz w:val="24"/>
                <w:szCs w:val="24"/>
                <w:highlight w:val="none"/>
                <w:lang w:val="en-US" w:eastAsia="zh-CN"/>
              </w:rPr>
              <w:t>3</w:t>
            </w:r>
            <w:r>
              <w:rPr>
                <w:rFonts w:hint="eastAsia" w:ascii="宋体" w:hAnsi="宋体"/>
                <w:b w:val="0"/>
                <w:bCs/>
                <w:color w:val="auto"/>
                <w:sz w:val="24"/>
                <w:szCs w:val="24"/>
                <w:highlight w:val="none"/>
              </w:rPr>
              <w:t>、每一</w:t>
            </w:r>
            <w:r>
              <w:rPr>
                <w:rFonts w:hint="eastAsia" w:ascii="宋体" w:hAnsi="宋体" w:eastAsia="宋体" w:cs="Times New Roman"/>
                <w:b w:val="0"/>
                <w:bCs/>
                <w:color w:val="auto"/>
                <w:sz w:val="24"/>
                <w:szCs w:val="24"/>
                <w:highlight w:val="none"/>
              </w:rPr>
              <w:t>项带 “▲”条款</w:t>
            </w:r>
            <w:r>
              <w:rPr>
                <w:rFonts w:hint="eastAsia" w:ascii="宋体" w:hAnsi="宋体" w:cs="Times New Roman"/>
                <w:b w:val="0"/>
                <w:bCs/>
                <w:color w:val="auto"/>
                <w:sz w:val="24"/>
                <w:szCs w:val="24"/>
                <w:highlight w:val="none"/>
                <w:lang w:val="en-US" w:eastAsia="zh-CN"/>
              </w:rPr>
              <w:t>(共计11项)</w:t>
            </w:r>
            <w:r>
              <w:rPr>
                <w:rFonts w:hint="eastAsia" w:ascii="宋体" w:hAnsi="宋体" w:eastAsia="宋体" w:cs="Times New Roman"/>
                <w:b w:val="0"/>
                <w:bCs/>
                <w:color w:val="auto"/>
                <w:sz w:val="24"/>
                <w:szCs w:val="24"/>
                <w:highlight w:val="none"/>
              </w:rPr>
              <w:t>每负偏离一项扣</w:t>
            </w:r>
            <w:r>
              <w:rPr>
                <w:rFonts w:hint="eastAsia" w:ascii="宋体" w:hAnsi="宋体" w:cs="Times New Roman"/>
                <w:b w:val="0"/>
                <w:bCs/>
                <w:color w:val="auto"/>
                <w:sz w:val="24"/>
                <w:szCs w:val="24"/>
                <w:highlight w:val="none"/>
                <w:lang w:val="en-US" w:eastAsia="zh-CN"/>
              </w:rPr>
              <w:t>4</w:t>
            </w:r>
            <w:r>
              <w:rPr>
                <w:rFonts w:hint="eastAsia" w:ascii="宋体" w:hAnsi="宋体" w:eastAsia="宋体" w:cs="Times New Roman"/>
                <w:b w:val="0"/>
                <w:bCs/>
                <w:color w:val="auto"/>
                <w:sz w:val="24"/>
                <w:szCs w:val="24"/>
                <w:highlight w:val="none"/>
              </w:rPr>
              <w:t>分；非“▲”条款</w:t>
            </w:r>
            <w:r>
              <w:rPr>
                <w:rFonts w:hint="eastAsia" w:ascii="宋体" w:hAnsi="宋体" w:cs="Times New Roman"/>
                <w:b w:val="0"/>
                <w:bCs/>
                <w:color w:val="auto"/>
                <w:sz w:val="24"/>
                <w:szCs w:val="24"/>
                <w:highlight w:val="none"/>
                <w:lang w:val="en-US" w:eastAsia="zh-CN"/>
              </w:rPr>
              <w:t>(共计11项)</w:t>
            </w:r>
            <w:r>
              <w:rPr>
                <w:rFonts w:hint="eastAsia" w:ascii="宋体" w:hAnsi="宋体" w:eastAsia="宋体" w:cs="Times New Roman"/>
                <w:b w:val="0"/>
                <w:bCs/>
                <w:color w:val="auto"/>
                <w:sz w:val="24"/>
                <w:szCs w:val="24"/>
                <w:highlight w:val="none"/>
              </w:rPr>
              <w:t>每负偏离一项扣</w:t>
            </w:r>
            <w:r>
              <w:rPr>
                <w:rFonts w:hint="eastAsia" w:ascii="宋体" w:hAnsi="宋体" w:eastAsia="宋体" w:cs="Times New Roman"/>
                <w:b w:val="0"/>
                <w:bCs/>
                <w:color w:val="auto"/>
                <w:sz w:val="24"/>
                <w:szCs w:val="24"/>
                <w:highlight w:val="none"/>
                <w:lang w:val="en-US" w:eastAsia="zh-CN"/>
              </w:rPr>
              <w:t>1</w:t>
            </w:r>
            <w:r>
              <w:rPr>
                <w:rFonts w:hint="eastAsia" w:ascii="宋体" w:hAnsi="宋体" w:eastAsia="宋体" w:cs="Times New Roman"/>
                <w:b w:val="0"/>
                <w:bCs/>
                <w:color w:val="auto"/>
                <w:sz w:val="24"/>
                <w:szCs w:val="24"/>
                <w:highlight w:val="none"/>
              </w:rPr>
              <w:t>分；</w:t>
            </w:r>
          </w:p>
          <w:p>
            <w:pPr>
              <w:pStyle w:val="2"/>
              <w:keepNext w:val="0"/>
              <w:keepLines w:val="0"/>
              <w:pageBreakBefore w:val="0"/>
              <w:kinsoku/>
              <w:wordWrap/>
              <w:overflowPunct/>
              <w:topLinePunct w:val="0"/>
              <w:autoSpaceDE/>
              <w:autoSpaceDN/>
              <w:bidi w:val="0"/>
              <w:adjustRightInd/>
              <w:snapToGrid/>
              <w:spacing w:line="360" w:lineRule="auto"/>
              <w:textAlignment w:val="auto"/>
              <w:rPr>
                <w:rFonts w:hint="eastAsia" w:eastAsia="宋体"/>
                <w:b w:val="0"/>
                <w:bCs/>
                <w:color w:val="auto"/>
                <w:sz w:val="24"/>
                <w:szCs w:val="24"/>
                <w:highlight w:val="none"/>
                <w:lang w:val="en-US" w:eastAsia="zh-CN"/>
              </w:rPr>
            </w:pPr>
            <w:r>
              <w:rPr>
                <w:rFonts w:hint="eastAsia" w:ascii="宋体" w:hAnsi="宋体" w:eastAsia="宋体" w:cs="Times New Roman"/>
                <w:b w:val="0"/>
                <w:bCs/>
                <w:color w:val="auto"/>
                <w:sz w:val="24"/>
                <w:szCs w:val="24"/>
                <w:highlight w:val="none"/>
                <w:shd w:val="clear" w:color="auto" w:fill="auto"/>
                <w:lang w:val="en-US" w:eastAsia="zh-CN"/>
              </w:rPr>
              <w:t>4、</w:t>
            </w:r>
            <w:r>
              <w:rPr>
                <w:rFonts w:hint="eastAsia" w:ascii="宋体" w:hAnsi="宋体" w:eastAsia="宋体" w:cs="Times New Roman"/>
                <w:b w:val="0"/>
                <w:bCs/>
                <w:color w:val="auto"/>
                <w:kern w:val="2"/>
                <w:sz w:val="24"/>
                <w:szCs w:val="24"/>
                <w:highlight w:val="none"/>
                <w:shd w:val="clear" w:color="auto" w:fill="auto"/>
                <w:lang w:val="en-US" w:eastAsia="zh-CN" w:bidi="ar-SA"/>
              </w:rPr>
              <w:t>需提供响应情况偏离表，对每条参数进行响应，并对其真实性负责。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704" w:type="dxa"/>
            <w:vMerge w:val="restart"/>
            <w:noWrap w:val="0"/>
            <w:vAlign w:val="center"/>
          </w:tcPr>
          <w:p>
            <w:pPr>
              <w:pageBreakBefore w:val="0"/>
              <w:kinsoku/>
              <w:wordWrap/>
              <w:topLinePunct w:val="0"/>
              <w:bidi w:val="0"/>
              <w:spacing w:line="360" w:lineRule="auto"/>
              <w:jc w:val="center"/>
              <w:rPr>
                <w:rFonts w:ascii="宋体" w:hAnsi="宋体"/>
                <w:b w:val="0"/>
                <w:bCs/>
                <w:color w:val="auto"/>
                <w:sz w:val="24"/>
                <w:szCs w:val="24"/>
              </w:rPr>
            </w:pPr>
            <w:r>
              <w:rPr>
                <w:rFonts w:hint="eastAsia" w:ascii="宋体" w:hAnsi="宋体"/>
                <w:b w:val="0"/>
                <w:bCs/>
                <w:color w:val="auto"/>
                <w:sz w:val="24"/>
                <w:szCs w:val="24"/>
              </w:rPr>
              <w:t>商务部分（</w:t>
            </w:r>
            <w:r>
              <w:rPr>
                <w:rFonts w:hint="eastAsia" w:ascii="宋体" w:hAnsi="宋体"/>
                <w:b w:val="0"/>
                <w:bCs/>
                <w:color w:val="auto"/>
                <w:sz w:val="24"/>
                <w:szCs w:val="24"/>
                <w:lang w:val="en-US" w:eastAsia="zh-CN"/>
              </w:rPr>
              <w:t>10</w:t>
            </w:r>
            <w:r>
              <w:rPr>
                <w:rFonts w:hint="eastAsia" w:ascii="宋体" w:hAnsi="宋体"/>
                <w:b w:val="0"/>
                <w:bCs/>
                <w:color w:val="auto"/>
                <w:sz w:val="24"/>
                <w:szCs w:val="24"/>
              </w:rPr>
              <w:t>分）</w:t>
            </w:r>
          </w:p>
        </w:tc>
        <w:tc>
          <w:tcPr>
            <w:tcW w:w="1334" w:type="dxa"/>
            <w:noWrap w:val="0"/>
            <w:vAlign w:val="center"/>
          </w:tcPr>
          <w:p>
            <w:pPr>
              <w:pageBreakBefore w:val="0"/>
              <w:kinsoku/>
              <w:wordWrap/>
              <w:topLinePunct w:val="0"/>
              <w:bidi w:val="0"/>
              <w:spacing w:line="360" w:lineRule="auto"/>
              <w:jc w:val="center"/>
              <w:rPr>
                <w:rFonts w:ascii="宋体" w:hAnsi="宋体"/>
                <w:b w:val="0"/>
                <w:bCs/>
                <w:color w:val="auto"/>
                <w:sz w:val="24"/>
                <w:szCs w:val="24"/>
              </w:rPr>
            </w:pPr>
            <w:r>
              <w:rPr>
                <w:rFonts w:hint="eastAsia" w:ascii="宋体" w:hAnsi="宋体"/>
                <w:b w:val="0"/>
                <w:bCs/>
                <w:color w:val="auto"/>
                <w:spacing w:val="-6"/>
                <w:sz w:val="24"/>
                <w:szCs w:val="24"/>
              </w:rPr>
              <w:t>类似业绩</w:t>
            </w:r>
          </w:p>
        </w:tc>
        <w:tc>
          <w:tcPr>
            <w:tcW w:w="720" w:type="dxa"/>
            <w:noWrap w:val="0"/>
            <w:vAlign w:val="center"/>
          </w:tcPr>
          <w:p>
            <w:pPr>
              <w:pageBreakBefore w:val="0"/>
              <w:kinsoku/>
              <w:wordWrap/>
              <w:topLinePunct w:val="0"/>
              <w:bidi w:val="0"/>
              <w:spacing w:line="360" w:lineRule="auto"/>
              <w:jc w:val="center"/>
              <w:rPr>
                <w:rFonts w:ascii="宋体" w:hAnsi="宋体"/>
                <w:b w:val="0"/>
                <w:bCs/>
                <w:color w:val="auto"/>
                <w:sz w:val="24"/>
                <w:szCs w:val="24"/>
              </w:rPr>
            </w:pPr>
            <w:r>
              <w:rPr>
                <w:rFonts w:hint="eastAsia" w:ascii="宋体" w:hAnsi="宋体"/>
                <w:b w:val="0"/>
                <w:bCs/>
                <w:color w:val="auto"/>
                <w:spacing w:val="-6"/>
                <w:sz w:val="24"/>
                <w:szCs w:val="24"/>
                <w:lang w:val="en-US" w:eastAsia="zh-CN"/>
              </w:rPr>
              <w:t>2</w:t>
            </w:r>
            <w:r>
              <w:rPr>
                <w:rFonts w:hint="eastAsia" w:ascii="宋体" w:hAnsi="宋体"/>
                <w:b w:val="0"/>
                <w:bCs/>
                <w:color w:val="auto"/>
                <w:spacing w:val="-6"/>
                <w:sz w:val="24"/>
                <w:szCs w:val="24"/>
              </w:rPr>
              <w:t>分</w:t>
            </w:r>
          </w:p>
        </w:tc>
        <w:tc>
          <w:tcPr>
            <w:tcW w:w="6581" w:type="dxa"/>
            <w:noWrap w:val="0"/>
            <w:vAlign w:val="center"/>
          </w:tcPr>
          <w:p>
            <w:pPr>
              <w:keepNext w:val="0"/>
              <w:keepLines w:val="0"/>
              <w:pageBreakBefore w:val="0"/>
              <w:kinsoku/>
              <w:wordWrap/>
              <w:overflowPunct/>
              <w:topLinePunct w:val="0"/>
              <w:autoSpaceDE/>
              <w:autoSpaceDN/>
              <w:bidi w:val="0"/>
              <w:adjustRightInd/>
              <w:snapToGrid/>
              <w:spacing w:line="360" w:lineRule="auto"/>
              <w:textAlignment w:val="auto"/>
              <w:rPr>
                <w:rFonts w:ascii="宋体" w:hAnsi="宋体"/>
                <w:b w:val="0"/>
                <w:bCs/>
                <w:color w:val="auto"/>
                <w:sz w:val="24"/>
                <w:szCs w:val="24"/>
              </w:rPr>
            </w:pPr>
            <w:r>
              <w:rPr>
                <w:rFonts w:hint="eastAsia" w:ascii="宋体" w:hAnsi="宋体"/>
                <w:b w:val="0"/>
                <w:bCs/>
                <w:color w:val="auto"/>
                <w:sz w:val="24"/>
                <w:szCs w:val="24"/>
                <w:highlight w:val="none"/>
              </w:rPr>
              <w:t>近三年（2020年</w:t>
            </w:r>
            <w:r>
              <w:rPr>
                <w:rFonts w:hint="eastAsia" w:ascii="宋体" w:hAnsi="宋体"/>
                <w:b w:val="0"/>
                <w:bCs/>
                <w:color w:val="auto"/>
                <w:sz w:val="24"/>
                <w:szCs w:val="24"/>
                <w:highlight w:val="none"/>
                <w:lang w:val="en-US" w:eastAsia="zh-CN"/>
              </w:rPr>
              <w:t>9</w:t>
            </w:r>
            <w:r>
              <w:rPr>
                <w:rFonts w:hint="eastAsia" w:ascii="宋体" w:hAnsi="宋体"/>
                <w:b w:val="0"/>
                <w:bCs/>
                <w:color w:val="auto"/>
                <w:sz w:val="24"/>
                <w:szCs w:val="24"/>
                <w:highlight w:val="none"/>
              </w:rPr>
              <w:t>月至今，以合同签订时间为准）</w:t>
            </w:r>
            <w:r>
              <w:rPr>
                <w:rFonts w:hint="eastAsia" w:ascii="宋体" w:hAnsi="宋体"/>
                <w:b w:val="0"/>
                <w:bCs/>
                <w:color w:val="auto"/>
                <w:sz w:val="24"/>
                <w:szCs w:val="24"/>
                <w:highlight w:val="none"/>
                <w:lang w:eastAsia="zh-CN"/>
              </w:rPr>
              <w:t>报价人</w:t>
            </w:r>
            <w:r>
              <w:rPr>
                <w:rFonts w:hint="eastAsia" w:ascii="宋体" w:hAnsi="宋体"/>
                <w:b w:val="0"/>
                <w:bCs/>
                <w:color w:val="auto"/>
                <w:sz w:val="24"/>
                <w:szCs w:val="24"/>
                <w:highlight w:val="none"/>
              </w:rPr>
              <w:t>承</w:t>
            </w:r>
            <w:r>
              <w:rPr>
                <w:rFonts w:hint="eastAsia" w:ascii="宋体" w:hAnsi="宋体"/>
                <w:b w:val="0"/>
                <w:bCs/>
                <w:color w:val="auto"/>
                <w:sz w:val="24"/>
                <w:szCs w:val="24"/>
                <w:highlight w:val="none"/>
                <w:lang w:val="en-US" w:eastAsia="zh-CN"/>
              </w:rPr>
              <w:t>接</w:t>
            </w:r>
            <w:r>
              <w:rPr>
                <w:rFonts w:hint="eastAsia" w:ascii="宋体" w:hAnsi="宋体"/>
                <w:b w:val="0"/>
                <w:bCs/>
                <w:color w:val="auto"/>
                <w:sz w:val="24"/>
                <w:szCs w:val="24"/>
                <w:highlight w:val="none"/>
              </w:rPr>
              <w:t>过类似家具项目供货业绩的，须提供合同及</w:t>
            </w:r>
            <w:r>
              <w:rPr>
                <w:rFonts w:hint="eastAsia" w:ascii="宋体" w:hAnsi="宋体"/>
                <w:b w:val="0"/>
                <w:bCs/>
                <w:color w:val="auto"/>
                <w:sz w:val="24"/>
                <w:szCs w:val="24"/>
                <w:highlight w:val="none"/>
                <w:lang w:val="en-US" w:eastAsia="zh-CN"/>
              </w:rPr>
              <w:t>验收报告复印件</w:t>
            </w:r>
            <w:r>
              <w:rPr>
                <w:rFonts w:hint="eastAsia" w:ascii="宋体" w:hAnsi="宋体"/>
                <w:b w:val="0"/>
                <w:bCs/>
                <w:color w:val="auto"/>
                <w:sz w:val="24"/>
                <w:szCs w:val="24"/>
                <w:highlight w:val="none"/>
              </w:rPr>
              <w:t>作为证明材料，每满足一个得1分，最高得</w:t>
            </w:r>
            <w:r>
              <w:rPr>
                <w:rFonts w:hint="eastAsia" w:ascii="宋体" w:hAnsi="宋体"/>
                <w:b w:val="0"/>
                <w:bCs/>
                <w:color w:val="auto"/>
                <w:sz w:val="24"/>
                <w:szCs w:val="24"/>
                <w:highlight w:val="none"/>
                <w:lang w:val="en-US" w:eastAsia="zh-CN"/>
              </w:rPr>
              <w:t>2</w:t>
            </w:r>
            <w:r>
              <w:rPr>
                <w:rFonts w:hint="eastAsia" w:ascii="宋体" w:hAnsi="宋体"/>
                <w:b w:val="0"/>
                <w:bCs/>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704" w:type="dxa"/>
            <w:vMerge w:val="continue"/>
            <w:noWrap w:val="0"/>
            <w:vAlign w:val="center"/>
          </w:tcPr>
          <w:p>
            <w:pPr>
              <w:pageBreakBefore w:val="0"/>
              <w:widowControl/>
              <w:kinsoku/>
              <w:wordWrap/>
              <w:topLinePunct w:val="0"/>
              <w:bidi w:val="0"/>
              <w:spacing w:line="360" w:lineRule="auto"/>
              <w:jc w:val="left"/>
              <w:rPr>
                <w:rFonts w:ascii="宋体" w:hAnsi="宋体"/>
                <w:b w:val="0"/>
                <w:bCs/>
                <w:color w:val="auto"/>
                <w:sz w:val="24"/>
                <w:szCs w:val="24"/>
              </w:rPr>
            </w:pPr>
          </w:p>
        </w:tc>
        <w:tc>
          <w:tcPr>
            <w:tcW w:w="1334" w:type="dxa"/>
            <w:noWrap w:val="0"/>
            <w:vAlign w:val="center"/>
          </w:tcPr>
          <w:p>
            <w:pPr>
              <w:pageBreakBefore w:val="0"/>
              <w:kinsoku/>
              <w:wordWrap/>
              <w:topLinePunct w:val="0"/>
              <w:bidi w:val="0"/>
              <w:spacing w:line="360" w:lineRule="auto"/>
              <w:jc w:val="center"/>
              <w:rPr>
                <w:rFonts w:ascii="宋体" w:hAnsi="宋体"/>
                <w:b w:val="0"/>
                <w:bCs/>
                <w:color w:val="auto"/>
                <w:spacing w:val="-6"/>
                <w:sz w:val="24"/>
                <w:szCs w:val="24"/>
              </w:rPr>
            </w:pPr>
            <w:r>
              <w:rPr>
                <w:rFonts w:hint="eastAsia" w:ascii="宋体" w:hAnsi="宋体"/>
                <w:b w:val="0"/>
                <w:bCs/>
                <w:color w:val="auto"/>
                <w:spacing w:val="-6"/>
                <w:sz w:val="24"/>
                <w:szCs w:val="24"/>
              </w:rPr>
              <w:t>综合实力</w:t>
            </w:r>
          </w:p>
        </w:tc>
        <w:tc>
          <w:tcPr>
            <w:tcW w:w="720" w:type="dxa"/>
            <w:noWrap w:val="0"/>
            <w:vAlign w:val="center"/>
          </w:tcPr>
          <w:p>
            <w:pPr>
              <w:pageBreakBefore w:val="0"/>
              <w:kinsoku/>
              <w:wordWrap/>
              <w:topLinePunct w:val="0"/>
              <w:bidi w:val="0"/>
              <w:spacing w:line="360" w:lineRule="auto"/>
              <w:jc w:val="center"/>
              <w:rPr>
                <w:rFonts w:ascii="宋体" w:hAnsi="宋体"/>
                <w:b w:val="0"/>
                <w:bCs/>
                <w:color w:val="auto"/>
                <w:spacing w:val="-6"/>
                <w:sz w:val="24"/>
                <w:szCs w:val="24"/>
              </w:rPr>
            </w:pPr>
            <w:r>
              <w:rPr>
                <w:rFonts w:hint="eastAsia" w:ascii="宋体" w:hAnsi="宋体"/>
                <w:b w:val="0"/>
                <w:bCs/>
                <w:color w:val="auto"/>
                <w:spacing w:val="-6"/>
                <w:sz w:val="24"/>
                <w:szCs w:val="24"/>
                <w:lang w:val="en-US" w:eastAsia="zh-CN"/>
              </w:rPr>
              <w:t>6</w:t>
            </w:r>
            <w:r>
              <w:rPr>
                <w:rFonts w:hint="eastAsia" w:ascii="宋体" w:hAnsi="宋体"/>
                <w:b w:val="0"/>
                <w:bCs/>
                <w:color w:val="auto"/>
                <w:spacing w:val="-6"/>
                <w:sz w:val="24"/>
                <w:szCs w:val="24"/>
              </w:rPr>
              <w:t>分</w:t>
            </w:r>
          </w:p>
        </w:tc>
        <w:tc>
          <w:tcPr>
            <w:tcW w:w="6581" w:type="dxa"/>
            <w:noWrap w:val="0"/>
            <w:vAlign w:val="center"/>
          </w:tcPr>
          <w:p>
            <w:pPr>
              <w:keepNext w:val="0"/>
              <w:keepLines w:val="0"/>
              <w:pageBreakBefore w:val="0"/>
              <w:kinsoku/>
              <w:wordWrap/>
              <w:overflowPunct/>
              <w:topLinePunct w:val="0"/>
              <w:autoSpaceDE/>
              <w:autoSpaceDN/>
              <w:bidi w:val="0"/>
              <w:adjustRightInd/>
              <w:snapToGrid/>
              <w:spacing w:line="360" w:lineRule="auto"/>
              <w:textAlignment w:val="auto"/>
              <w:rPr>
                <w:rFonts w:ascii="宋体" w:hAnsi="宋体"/>
                <w:b w:val="0"/>
                <w:bCs/>
                <w:color w:val="auto"/>
                <w:kern w:val="0"/>
                <w:sz w:val="24"/>
                <w:szCs w:val="24"/>
              </w:rPr>
            </w:pPr>
            <w:r>
              <w:rPr>
                <w:rFonts w:hint="eastAsia" w:ascii="宋体" w:hAnsi="宋体"/>
                <w:b w:val="0"/>
                <w:bCs/>
                <w:color w:val="auto"/>
                <w:kern w:val="0"/>
                <w:sz w:val="24"/>
                <w:szCs w:val="24"/>
              </w:rPr>
              <w:t>供应商或产品制造商获得：</w:t>
            </w:r>
          </w:p>
          <w:p>
            <w:pPr>
              <w:keepNext w:val="0"/>
              <w:keepLines w:val="0"/>
              <w:pageBreakBefore w:val="0"/>
              <w:kinsoku/>
              <w:wordWrap/>
              <w:overflowPunct/>
              <w:topLinePunct w:val="0"/>
              <w:autoSpaceDE/>
              <w:autoSpaceDN/>
              <w:bidi w:val="0"/>
              <w:adjustRightInd/>
              <w:snapToGrid/>
              <w:spacing w:line="360" w:lineRule="auto"/>
              <w:textAlignment w:val="auto"/>
              <w:rPr>
                <w:rFonts w:ascii="宋体" w:hAnsi="宋体"/>
                <w:b w:val="0"/>
                <w:bCs/>
                <w:color w:val="auto"/>
                <w:sz w:val="24"/>
                <w:szCs w:val="24"/>
              </w:rPr>
            </w:pPr>
            <w:r>
              <w:rPr>
                <w:rFonts w:hint="eastAsia" w:ascii="宋体" w:hAnsi="宋体"/>
                <w:b w:val="0"/>
                <w:bCs/>
                <w:color w:val="auto"/>
                <w:sz w:val="24"/>
                <w:szCs w:val="24"/>
                <w:highlight w:val="none"/>
              </w:rPr>
              <w:t>1、投标人或所投产品制造商具有符合</w:t>
            </w:r>
            <w:r>
              <w:rPr>
                <w:rFonts w:hint="eastAsia" w:ascii="宋体" w:hAnsi="宋体"/>
                <w:b w:val="0"/>
                <w:bCs/>
                <w:color w:val="auto"/>
                <w:sz w:val="24"/>
                <w:szCs w:val="24"/>
                <w:highlight w:val="none"/>
                <w:lang w:val="en-US" w:eastAsia="zh-CN"/>
              </w:rPr>
              <w:t>ISO14024</w:t>
            </w:r>
            <w:r>
              <w:rPr>
                <w:rFonts w:hint="eastAsia" w:ascii="宋体" w:hAnsi="宋体"/>
                <w:b w:val="0"/>
                <w:bCs/>
                <w:color w:val="auto"/>
                <w:sz w:val="24"/>
                <w:szCs w:val="24"/>
                <w:highlight w:val="none"/>
              </w:rPr>
              <w:t>标准和</w:t>
            </w:r>
            <w:r>
              <w:rPr>
                <w:rFonts w:hint="eastAsia" w:ascii="宋体" w:hAnsi="宋体"/>
                <w:b w:val="0"/>
                <w:bCs/>
                <w:color w:val="auto"/>
                <w:sz w:val="24"/>
                <w:szCs w:val="24"/>
                <w:highlight w:val="none"/>
                <w:lang w:val="en-US" w:eastAsia="zh-CN"/>
              </w:rPr>
              <w:t>ECC-1031EL-A/O</w:t>
            </w:r>
            <w:r>
              <w:rPr>
                <w:rFonts w:hint="eastAsia" w:ascii="宋体" w:hAnsi="宋体"/>
                <w:b w:val="0"/>
                <w:bCs/>
                <w:color w:val="auto"/>
                <w:sz w:val="24"/>
                <w:szCs w:val="24"/>
                <w:highlight w:val="none"/>
              </w:rPr>
              <w:t>的</w:t>
            </w:r>
            <w:r>
              <w:rPr>
                <w:rFonts w:hint="eastAsia" w:ascii="宋体" w:hAnsi="宋体"/>
                <w:b w:val="0"/>
                <w:bCs/>
                <w:color w:val="auto"/>
                <w:sz w:val="24"/>
                <w:szCs w:val="24"/>
                <w:highlight w:val="none"/>
                <w:lang w:val="en-US" w:eastAsia="zh-CN"/>
              </w:rPr>
              <w:t>要求，</w:t>
            </w:r>
            <w:r>
              <w:rPr>
                <w:rFonts w:hint="eastAsia" w:ascii="宋体" w:hAnsi="宋体"/>
                <w:b w:val="0"/>
                <w:bCs/>
                <w:color w:val="auto"/>
                <w:sz w:val="24"/>
                <w:szCs w:val="24"/>
                <w:highlight w:val="none"/>
              </w:rPr>
              <w:t>《中国</w:t>
            </w:r>
            <w:r>
              <w:rPr>
                <w:rFonts w:hint="eastAsia" w:ascii="宋体" w:hAnsi="宋体"/>
                <w:b w:val="0"/>
                <w:bCs/>
                <w:color w:val="auto"/>
                <w:sz w:val="24"/>
                <w:szCs w:val="24"/>
                <w:highlight w:val="none"/>
                <w:lang w:val="en-US" w:eastAsia="zh-CN"/>
              </w:rPr>
              <w:t>环境标志</w:t>
            </w:r>
            <w:r>
              <w:rPr>
                <w:rFonts w:hint="eastAsia" w:ascii="宋体" w:hAnsi="宋体"/>
                <w:b w:val="0"/>
                <w:bCs/>
                <w:color w:val="auto"/>
                <w:sz w:val="24"/>
                <w:szCs w:val="24"/>
                <w:highlight w:val="none"/>
              </w:rPr>
              <w:t>产品认证证</w:t>
            </w:r>
            <w:r>
              <w:rPr>
                <w:rFonts w:hint="eastAsia" w:ascii="宋体" w:hAnsi="宋体"/>
                <w:b w:val="0"/>
                <w:bCs/>
                <w:color w:val="auto"/>
                <w:sz w:val="24"/>
                <w:szCs w:val="24"/>
              </w:rPr>
              <w:t>书》，其认证产品名称和系列包含：金属家具</w:t>
            </w:r>
            <w:r>
              <w:rPr>
                <w:rFonts w:hint="eastAsia" w:ascii="宋体" w:hAnsi="宋体"/>
                <w:b w:val="0"/>
                <w:bCs/>
                <w:color w:val="auto"/>
                <w:sz w:val="24"/>
                <w:szCs w:val="24"/>
                <w:lang w:eastAsia="zh-CN"/>
              </w:rPr>
              <w:t>、</w:t>
            </w:r>
            <w:r>
              <w:rPr>
                <w:rFonts w:hint="eastAsia" w:ascii="宋体" w:hAnsi="宋体"/>
                <w:b w:val="0"/>
                <w:bCs/>
                <w:color w:val="auto"/>
                <w:sz w:val="24"/>
                <w:szCs w:val="24"/>
                <w:lang w:val="en-US" w:eastAsia="zh-CN"/>
              </w:rPr>
              <w:t>综合类木家具</w:t>
            </w:r>
            <w:r>
              <w:rPr>
                <w:rFonts w:hint="eastAsia" w:ascii="宋体" w:hAnsi="宋体"/>
                <w:b w:val="0"/>
                <w:bCs/>
                <w:color w:val="auto"/>
                <w:sz w:val="24"/>
                <w:szCs w:val="24"/>
              </w:rPr>
              <w:t>、软体家具</w:t>
            </w:r>
            <w:r>
              <w:rPr>
                <w:rFonts w:hint="eastAsia" w:ascii="宋体" w:hAnsi="宋体"/>
                <w:b w:val="0"/>
                <w:bCs/>
                <w:color w:val="auto"/>
                <w:sz w:val="24"/>
                <w:szCs w:val="24"/>
                <w:lang w:eastAsia="zh-CN"/>
              </w:rPr>
              <w:t>、</w:t>
            </w:r>
            <w:r>
              <w:rPr>
                <w:rFonts w:hint="eastAsia" w:ascii="宋体" w:hAnsi="宋体"/>
                <w:b w:val="0"/>
                <w:bCs/>
                <w:color w:val="auto"/>
                <w:sz w:val="24"/>
                <w:szCs w:val="24"/>
                <w:lang w:val="en-US" w:eastAsia="zh-CN"/>
              </w:rPr>
              <w:t>钢木家具、人造板类家具、实木家具</w:t>
            </w:r>
            <w:r>
              <w:rPr>
                <w:rFonts w:hint="eastAsia" w:ascii="宋体" w:hAnsi="宋体"/>
                <w:b w:val="0"/>
                <w:bCs/>
                <w:color w:val="auto"/>
                <w:sz w:val="24"/>
                <w:szCs w:val="24"/>
              </w:rPr>
              <w:t>；全部满足得</w:t>
            </w:r>
            <w:r>
              <w:rPr>
                <w:rFonts w:hint="eastAsia" w:ascii="宋体" w:hAnsi="宋体"/>
                <w:b w:val="0"/>
                <w:bCs/>
                <w:color w:val="auto"/>
                <w:sz w:val="24"/>
                <w:szCs w:val="24"/>
                <w:lang w:val="en-US" w:eastAsia="zh-CN"/>
              </w:rPr>
              <w:t>2</w:t>
            </w:r>
            <w:r>
              <w:rPr>
                <w:rFonts w:hint="eastAsia" w:ascii="宋体" w:hAnsi="宋体"/>
                <w:b w:val="0"/>
                <w:bCs/>
                <w:color w:val="auto"/>
                <w:sz w:val="24"/>
                <w:szCs w:val="24"/>
              </w:rPr>
              <w:t>分，否则不得分。</w:t>
            </w:r>
          </w:p>
          <w:p>
            <w:pPr>
              <w:pStyle w:val="12"/>
              <w:keepNext w:val="0"/>
              <w:keepLines w:val="0"/>
              <w:pageBreakBefore w:val="0"/>
              <w:kinsoku/>
              <w:wordWrap/>
              <w:overflowPunct/>
              <w:topLinePunct w:val="0"/>
              <w:autoSpaceDE/>
              <w:autoSpaceDN/>
              <w:bidi w:val="0"/>
              <w:adjustRightInd/>
              <w:snapToGrid/>
              <w:spacing w:before="0" w:beforeAutospacing="0" w:after="0" w:afterAutospacing="0" w:line="360" w:lineRule="auto"/>
              <w:ind w:left="0" w:leftChars="0" w:firstLine="0" w:firstLineChars="0"/>
              <w:jc w:val="left"/>
              <w:textAlignment w:val="auto"/>
              <w:rPr>
                <w:rFonts w:ascii="宋体" w:hAnsi="宋体"/>
                <w:b w:val="0"/>
                <w:bCs/>
                <w:color w:val="auto"/>
                <w:sz w:val="24"/>
                <w:szCs w:val="24"/>
              </w:rPr>
            </w:pPr>
            <w:r>
              <w:rPr>
                <w:rFonts w:hint="eastAsia" w:ascii="宋体" w:hAnsi="宋体"/>
                <w:b w:val="0"/>
                <w:bCs/>
                <w:color w:val="auto"/>
                <w:sz w:val="24"/>
                <w:szCs w:val="24"/>
              </w:rPr>
              <w:t xml:space="preserve">2、GB/T19001-2016/ISO9001:2015 质量管理体系认证证书； </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b w:val="0"/>
                <w:bCs/>
                <w:color w:val="auto"/>
                <w:sz w:val="24"/>
                <w:szCs w:val="24"/>
              </w:rPr>
            </w:pPr>
            <w:r>
              <w:rPr>
                <w:rFonts w:hint="eastAsia" w:ascii="宋体" w:hAnsi="宋体"/>
                <w:b w:val="0"/>
                <w:bCs/>
                <w:color w:val="auto"/>
                <w:sz w:val="24"/>
                <w:szCs w:val="24"/>
              </w:rPr>
              <w:t>认证范围： 包括木</w:t>
            </w:r>
            <w:r>
              <w:rPr>
                <w:rFonts w:hint="eastAsia" w:ascii="宋体" w:hAnsi="宋体"/>
                <w:b w:val="0"/>
                <w:bCs/>
                <w:color w:val="auto"/>
                <w:sz w:val="24"/>
                <w:szCs w:val="24"/>
                <w:lang w:val="en-US" w:eastAsia="zh-CN"/>
              </w:rPr>
              <w:t>质</w:t>
            </w:r>
            <w:r>
              <w:rPr>
                <w:rFonts w:hint="eastAsia" w:ascii="宋体" w:hAnsi="宋体"/>
                <w:b w:val="0"/>
                <w:bCs/>
                <w:color w:val="auto"/>
                <w:sz w:val="24"/>
                <w:szCs w:val="24"/>
              </w:rPr>
              <w:t>(</w:t>
            </w:r>
            <w:r>
              <w:rPr>
                <w:rFonts w:hint="eastAsia" w:ascii="宋体" w:hAnsi="宋体"/>
                <w:b w:val="0"/>
                <w:bCs/>
                <w:color w:val="auto"/>
                <w:sz w:val="24"/>
                <w:szCs w:val="24"/>
                <w:lang w:val="en-US" w:eastAsia="zh-CN"/>
              </w:rPr>
              <w:t>实木及人造板</w:t>
            </w:r>
            <w:r>
              <w:rPr>
                <w:rFonts w:hint="eastAsia" w:ascii="宋体" w:hAnsi="宋体"/>
                <w:b w:val="0"/>
                <w:bCs/>
                <w:color w:val="auto"/>
                <w:sz w:val="24"/>
                <w:szCs w:val="24"/>
              </w:rPr>
              <w:t>)家具、金属家具、软体家具、教学家具</w:t>
            </w:r>
            <w:r>
              <w:rPr>
                <w:rFonts w:hint="eastAsia" w:ascii="宋体" w:hAnsi="宋体"/>
                <w:b w:val="0"/>
                <w:bCs/>
                <w:color w:val="auto"/>
                <w:sz w:val="24"/>
                <w:szCs w:val="24"/>
                <w:lang w:eastAsia="zh-CN"/>
              </w:rPr>
              <w:t>、</w:t>
            </w:r>
            <w:r>
              <w:rPr>
                <w:rFonts w:hint="eastAsia" w:ascii="宋体" w:hAnsi="宋体"/>
                <w:b w:val="0"/>
                <w:bCs/>
                <w:color w:val="auto"/>
                <w:sz w:val="24"/>
                <w:szCs w:val="24"/>
                <w:lang w:val="en-US" w:eastAsia="zh-CN"/>
              </w:rPr>
              <w:t>公用家具、实验室家具、钢木家具</w:t>
            </w:r>
            <w:r>
              <w:rPr>
                <w:rFonts w:hint="eastAsia" w:ascii="宋体" w:hAnsi="宋体"/>
                <w:b w:val="0"/>
                <w:bCs/>
                <w:color w:val="auto"/>
                <w:sz w:val="24"/>
                <w:szCs w:val="24"/>
              </w:rPr>
              <w:t>。全部满足得1分，否则不得分。</w:t>
            </w:r>
          </w:p>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b w:val="0"/>
                <w:bCs/>
                <w:color w:val="auto"/>
                <w:sz w:val="24"/>
                <w:szCs w:val="24"/>
              </w:rPr>
            </w:pPr>
            <w:r>
              <w:rPr>
                <w:rFonts w:hint="eastAsia" w:ascii="宋体" w:hAnsi="宋体"/>
                <w:b w:val="0"/>
                <w:bCs/>
                <w:color w:val="auto"/>
                <w:sz w:val="24"/>
                <w:szCs w:val="24"/>
              </w:rPr>
              <w:t>3、GB/T24001-2016/ISO14001:2015 环境管理体系认证证书；</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b w:val="0"/>
                <w:bCs/>
                <w:color w:val="auto"/>
                <w:sz w:val="24"/>
                <w:szCs w:val="24"/>
              </w:rPr>
            </w:pPr>
            <w:r>
              <w:rPr>
                <w:rFonts w:hint="eastAsia" w:ascii="宋体" w:hAnsi="宋体"/>
                <w:b w:val="0"/>
                <w:bCs/>
                <w:color w:val="auto"/>
                <w:sz w:val="24"/>
                <w:szCs w:val="24"/>
              </w:rPr>
              <w:t>认证范围：包括木</w:t>
            </w:r>
            <w:r>
              <w:rPr>
                <w:rFonts w:hint="eastAsia" w:ascii="宋体" w:hAnsi="宋体"/>
                <w:b w:val="0"/>
                <w:bCs/>
                <w:color w:val="auto"/>
                <w:sz w:val="24"/>
                <w:szCs w:val="24"/>
                <w:lang w:val="en-US" w:eastAsia="zh-CN"/>
              </w:rPr>
              <w:t>质</w:t>
            </w:r>
            <w:r>
              <w:rPr>
                <w:rFonts w:hint="eastAsia" w:ascii="宋体" w:hAnsi="宋体"/>
                <w:b w:val="0"/>
                <w:bCs/>
                <w:color w:val="auto"/>
                <w:sz w:val="24"/>
                <w:szCs w:val="24"/>
              </w:rPr>
              <w:t>(</w:t>
            </w:r>
            <w:r>
              <w:rPr>
                <w:rFonts w:hint="eastAsia" w:ascii="宋体" w:hAnsi="宋体"/>
                <w:b w:val="0"/>
                <w:bCs/>
                <w:color w:val="auto"/>
                <w:sz w:val="24"/>
                <w:szCs w:val="24"/>
                <w:lang w:val="en-US" w:eastAsia="zh-CN"/>
              </w:rPr>
              <w:t>实木及人造板</w:t>
            </w:r>
            <w:r>
              <w:rPr>
                <w:rFonts w:hint="eastAsia" w:ascii="宋体" w:hAnsi="宋体"/>
                <w:b w:val="0"/>
                <w:bCs/>
                <w:color w:val="auto"/>
                <w:sz w:val="24"/>
                <w:szCs w:val="24"/>
              </w:rPr>
              <w:t>)家具、金属家具、软体家具、教学家具</w:t>
            </w:r>
            <w:r>
              <w:rPr>
                <w:rFonts w:hint="eastAsia" w:ascii="宋体" w:hAnsi="宋体"/>
                <w:b w:val="0"/>
                <w:bCs/>
                <w:color w:val="auto"/>
                <w:sz w:val="24"/>
                <w:szCs w:val="24"/>
                <w:lang w:eastAsia="zh-CN"/>
              </w:rPr>
              <w:t>、</w:t>
            </w:r>
            <w:r>
              <w:rPr>
                <w:rFonts w:hint="eastAsia" w:ascii="宋体" w:hAnsi="宋体"/>
                <w:b w:val="0"/>
                <w:bCs/>
                <w:color w:val="auto"/>
                <w:sz w:val="24"/>
                <w:szCs w:val="24"/>
                <w:lang w:val="en-US" w:eastAsia="zh-CN"/>
              </w:rPr>
              <w:t>公用家具、实验室家具、钢木家具</w:t>
            </w:r>
            <w:r>
              <w:rPr>
                <w:rFonts w:hint="eastAsia" w:ascii="宋体" w:hAnsi="宋体"/>
                <w:b w:val="0"/>
                <w:bCs/>
                <w:color w:val="auto"/>
                <w:sz w:val="24"/>
                <w:szCs w:val="24"/>
              </w:rPr>
              <w:t>。全部满足得1分，否则不得分。</w:t>
            </w:r>
          </w:p>
          <w:p>
            <w:pPr>
              <w:keepNext w:val="0"/>
              <w:keepLines w:val="0"/>
              <w:pageBreakBefore w:val="0"/>
              <w:numPr>
                <w:ilvl w:val="0"/>
                <w:numId w:val="2"/>
              </w:numPr>
              <w:kinsoku/>
              <w:wordWrap/>
              <w:overflowPunct/>
              <w:topLinePunct w:val="0"/>
              <w:autoSpaceDE/>
              <w:autoSpaceDN/>
              <w:bidi w:val="0"/>
              <w:adjustRightInd/>
              <w:snapToGrid/>
              <w:spacing w:line="360" w:lineRule="auto"/>
              <w:textAlignment w:val="auto"/>
              <w:rPr>
                <w:rFonts w:hint="eastAsia" w:ascii="宋体" w:hAnsi="宋体"/>
                <w:b w:val="0"/>
                <w:bCs/>
                <w:color w:val="auto"/>
                <w:sz w:val="24"/>
                <w:szCs w:val="24"/>
              </w:rPr>
            </w:pPr>
            <w:r>
              <w:rPr>
                <w:rFonts w:hint="eastAsia" w:ascii="宋体" w:hAnsi="宋体"/>
                <w:b w:val="0"/>
                <w:bCs/>
                <w:color w:val="auto"/>
                <w:sz w:val="24"/>
                <w:szCs w:val="24"/>
              </w:rPr>
              <w:t>GB/T45001-2020/ISO45001:2018 职业健康安全管理体系认证书；认证范围：包括木</w:t>
            </w:r>
            <w:r>
              <w:rPr>
                <w:rFonts w:hint="eastAsia" w:ascii="宋体" w:hAnsi="宋体"/>
                <w:b w:val="0"/>
                <w:bCs/>
                <w:color w:val="auto"/>
                <w:sz w:val="24"/>
                <w:szCs w:val="24"/>
                <w:lang w:val="en-US" w:eastAsia="zh-CN"/>
              </w:rPr>
              <w:t>质</w:t>
            </w:r>
            <w:r>
              <w:rPr>
                <w:rFonts w:hint="eastAsia" w:ascii="宋体" w:hAnsi="宋体"/>
                <w:b w:val="0"/>
                <w:bCs/>
                <w:color w:val="auto"/>
                <w:sz w:val="24"/>
                <w:szCs w:val="24"/>
              </w:rPr>
              <w:t>(</w:t>
            </w:r>
            <w:r>
              <w:rPr>
                <w:rFonts w:hint="eastAsia" w:ascii="宋体" w:hAnsi="宋体"/>
                <w:b w:val="0"/>
                <w:bCs/>
                <w:color w:val="auto"/>
                <w:sz w:val="24"/>
                <w:szCs w:val="24"/>
                <w:lang w:val="en-US" w:eastAsia="zh-CN"/>
              </w:rPr>
              <w:t>实木及人造板</w:t>
            </w:r>
            <w:r>
              <w:rPr>
                <w:rFonts w:hint="eastAsia" w:ascii="宋体" w:hAnsi="宋体"/>
                <w:b w:val="0"/>
                <w:bCs/>
                <w:color w:val="auto"/>
                <w:sz w:val="24"/>
                <w:szCs w:val="24"/>
              </w:rPr>
              <w:t>)家具、金属家具、软体家具、教学家具</w:t>
            </w:r>
            <w:r>
              <w:rPr>
                <w:rFonts w:hint="eastAsia" w:ascii="宋体" w:hAnsi="宋体"/>
                <w:b w:val="0"/>
                <w:bCs/>
                <w:color w:val="auto"/>
                <w:sz w:val="24"/>
                <w:szCs w:val="24"/>
                <w:lang w:eastAsia="zh-CN"/>
              </w:rPr>
              <w:t>、</w:t>
            </w:r>
            <w:r>
              <w:rPr>
                <w:rFonts w:hint="eastAsia" w:ascii="宋体" w:hAnsi="宋体"/>
                <w:b w:val="0"/>
                <w:bCs/>
                <w:color w:val="auto"/>
                <w:sz w:val="24"/>
                <w:szCs w:val="24"/>
                <w:lang w:val="en-US" w:eastAsia="zh-CN"/>
              </w:rPr>
              <w:t>公用家具、实验室家具、钢木家具</w:t>
            </w:r>
            <w:r>
              <w:rPr>
                <w:rFonts w:hint="eastAsia" w:ascii="宋体" w:hAnsi="宋体"/>
                <w:b w:val="0"/>
                <w:bCs/>
                <w:color w:val="auto"/>
                <w:sz w:val="24"/>
                <w:szCs w:val="24"/>
              </w:rPr>
              <w:t>。全部满足得1分，否则不得分。</w:t>
            </w:r>
          </w:p>
          <w:p>
            <w:pPr>
              <w:keepNext w:val="0"/>
              <w:keepLines w:val="0"/>
              <w:pageBreakBefore w:val="0"/>
              <w:numPr>
                <w:ilvl w:val="0"/>
                <w:numId w:val="2"/>
              </w:numPr>
              <w:kinsoku/>
              <w:wordWrap/>
              <w:overflowPunct/>
              <w:topLinePunct w:val="0"/>
              <w:autoSpaceDE/>
              <w:autoSpaceDN/>
              <w:bidi w:val="0"/>
              <w:adjustRightInd/>
              <w:snapToGrid/>
              <w:spacing w:line="360" w:lineRule="auto"/>
              <w:textAlignment w:val="auto"/>
              <w:rPr>
                <w:rFonts w:hint="eastAsia" w:ascii="宋体" w:hAnsi="宋体" w:eastAsia="宋体" w:cs="Times New Roman"/>
                <w:b w:val="0"/>
                <w:bCs/>
                <w:color w:val="auto"/>
                <w:sz w:val="24"/>
                <w:szCs w:val="24"/>
              </w:rPr>
            </w:pPr>
            <w:r>
              <w:rPr>
                <w:rFonts w:hint="eastAsia" w:ascii="宋体" w:hAnsi="宋体" w:eastAsia="宋体" w:cs="Times New Roman"/>
                <w:b w:val="0"/>
                <w:bCs/>
                <w:color w:val="auto"/>
                <w:sz w:val="24"/>
                <w:szCs w:val="24"/>
              </w:rPr>
              <w:t>具有</w:t>
            </w:r>
            <w:r>
              <w:rPr>
                <w:rFonts w:hint="eastAsia" w:ascii="宋体" w:hAnsi="宋体" w:eastAsia="宋体" w:cs="Times New Roman"/>
                <w:b w:val="0"/>
                <w:bCs/>
                <w:color w:val="auto"/>
                <w:sz w:val="24"/>
                <w:szCs w:val="24"/>
                <w:lang w:eastAsia="zh-CN"/>
              </w:rPr>
              <w:t>ISO14025环境标志国际标准Ⅲ型环境标志证书，</w:t>
            </w:r>
            <w:r>
              <w:rPr>
                <w:rFonts w:hint="eastAsia" w:ascii="宋体" w:hAnsi="宋体" w:eastAsia="宋体" w:cs="Times New Roman"/>
                <w:b w:val="0"/>
                <w:bCs/>
                <w:color w:val="auto"/>
                <w:sz w:val="24"/>
                <w:szCs w:val="24"/>
              </w:rPr>
              <w:t>认证单元包含：</w:t>
            </w:r>
            <w:r>
              <w:rPr>
                <w:rFonts w:hint="eastAsia" w:ascii="宋体" w:hAnsi="宋体" w:eastAsia="宋体" w:cs="Times New Roman"/>
                <w:b w:val="0"/>
                <w:bCs/>
                <w:color w:val="auto"/>
                <w:sz w:val="24"/>
                <w:szCs w:val="24"/>
                <w:lang w:val="en-US" w:eastAsia="zh-CN"/>
              </w:rPr>
              <w:t>办公家具</w:t>
            </w:r>
            <w:r>
              <w:rPr>
                <w:rFonts w:hint="eastAsia" w:ascii="宋体" w:hAnsi="宋体" w:eastAsia="宋体" w:cs="Times New Roman"/>
                <w:b w:val="0"/>
                <w:bCs/>
                <w:color w:val="auto"/>
                <w:sz w:val="24"/>
                <w:szCs w:val="24"/>
              </w:rPr>
              <w:t>、木家具、金属家具</w:t>
            </w:r>
            <w:r>
              <w:rPr>
                <w:rFonts w:hint="eastAsia" w:ascii="宋体" w:hAnsi="宋体" w:eastAsia="宋体" w:cs="Times New Roman"/>
                <w:b w:val="0"/>
                <w:bCs/>
                <w:color w:val="auto"/>
                <w:sz w:val="24"/>
                <w:szCs w:val="24"/>
                <w:lang w:eastAsia="zh-CN"/>
              </w:rPr>
              <w:t>、</w:t>
            </w:r>
            <w:r>
              <w:rPr>
                <w:rFonts w:hint="eastAsia" w:ascii="宋体" w:hAnsi="宋体" w:eastAsia="宋体" w:cs="Times New Roman"/>
                <w:b w:val="0"/>
                <w:bCs/>
                <w:color w:val="auto"/>
                <w:sz w:val="24"/>
                <w:szCs w:val="24"/>
                <w:lang w:val="en-US" w:eastAsia="zh-CN"/>
              </w:rPr>
              <w:t>钢木家具、</w:t>
            </w:r>
            <w:r>
              <w:rPr>
                <w:rFonts w:hint="eastAsia" w:ascii="宋体" w:hAnsi="宋体" w:eastAsia="宋体" w:cs="Times New Roman"/>
                <w:b w:val="0"/>
                <w:bCs/>
                <w:color w:val="auto"/>
                <w:sz w:val="24"/>
                <w:szCs w:val="24"/>
              </w:rPr>
              <w:t>软体家具</w:t>
            </w:r>
            <w:r>
              <w:rPr>
                <w:rFonts w:hint="eastAsia" w:ascii="宋体" w:hAnsi="宋体" w:eastAsia="宋体" w:cs="Times New Roman"/>
                <w:b w:val="0"/>
                <w:bCs/>
                <w:color w:val="auto"/>
                <w:sz w:val="24"/>
                <w:szCs w:val="24"/>
                <w:lang w:eastAsia="zh-CN"/>
              </w:rPr>
              <w:t>、</w:t>
            </w:r>
            <w:r>
              <w:rPr>
                <w:rFonts w:hint="eastAsia" w:ascii="宋体" w:hAnsi="宋体" w:eastAsia="宋体" w:cs="Times New Roman"/>
                <w:b w:val="0"/>
                <w:bCs/>
                <w:color w:val="auto"/>
                <w:sz w:val="24"/>
                <w:szCs w:val="24"/>
                <w:lang w:val="en-US" w:eastAsia="zh-CN"/>
              </w:rPr>
              <w:t>教学家具</w:t>
            </w:r>
            <w:r>
              <w:rPr>
                <w:rFonts w:hint="eastAsia" w:ascii="宋体" w:hAnsi="宋体" w:eastAsia="宋体" w:cs="Times New Roman"/>
                <w:b w:val="0"/>
                <w:bCs/>
                <w:color w:val="auto"/>
                <w:sz w:val="24"/>
                <w:szCs w:val="24"/>
              </w:rPr>
              <w:t>。全部满足得</w:t>
            </w:r>
            <w:r>
              <w:rPr>
                <w:rFonts w:hint="eastAsia" w:ascii="宋体" w:hAnsi="宋体" w:eastAsia="宋体" w:cs="Times New Roman"/>
                <w:b w:val="0"/>
                <w:bCs/>
                <w:color w:val="auto"/>
                <w:sz w:val="24"/>
                <w:szCs w:val="24"/>
                <w:lang w:val="en-US" w:eastAsia="zh-CN"/>
              </w:rPr>
              <w:t>1</w:t>
            </w:r>
            <w:r>
              <w:rPr>
                <w:rFonts w:hint="eastAsia" w:ascii="宋体" w:hAnsi="宋体" w:eastAsia="宋体" w:cs="Times New Roman"/>
                <w:b w:val="0"/>
                <w:bCs/>
                <w:color w:val="auto"/>
                <w:sz w:val="24"/>
                <w:szCs w:val="24"/>
              </w:rPr>
              <w:t>分，否则不得分。</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b w:val="0"/>
                <w:bCs/>
                <w:color w:val="auto"/>
                <w:sz w:val="24"/>
                <w:szCs w:val="24"/>
              </w:rPr>
            </w:pPr>
            <w:r>
              <w:rPr>
                <w:rFonts w:hint="eastAsia" w:ascii="宋体" w:hAnsi="宋体"/>
                <w:b w:val="0"/>
                <w:bCs/>
                <w:color w:val="auto"/>
                <w:kern w:val="0"/>
                <w:sz w:val="24"/>
                <w:szCs w:val="24"/>
              </w:rPr>
              <w:t>须提供有效的认证证书复印件，还须提供该证书在国家认证认可监督管理委员会网站上证书状态为“有效”的查询结果网页或截图打印件，否则不得分。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704" w:type="dxa"/>
            <w:vMerge w:val="continue"/>
            <w:noWrap w:val="0"/>
            <w:vAlign w:val="center"/>
          </w:tcPr>
          <w:p>
            <w:pPr>
              <w:pageBreakBefore w:val="0"/>
              <w:widowControl/>
              <w:kinsoku/>
              <w:wordWrap/>
              <w:topLinePunct w:val="0"/>
              <w:bidi w:val="0"/>
              <w:spacing w:line="360" w:lineRule="auto"/>
              <w:jc w:val="center"/>
              <w:rPr>
                <w:rFonts w:ascii="宋体" w:hAnsi="宋体"/>
                <w:b w:val="0"/>
                <w:bCs/>
                <w:color w:val="auto"/>
                <w:sz w:val="24"/>
                <w:szCs w:val="24"/>
              </w:rPr>
            </w:pPr>
          </w:p>
        </w:tc>
        <w:tc>
          <w:tcPr>
            <w:tcW w:w="133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b w:val="0"/>
                <w:bCs/>
                <w:color w:val="auto"/>
                <w:spacing w:val="-6"/>
                <w:sz w:val="24"/>
                <w:szCs w:val="24"/>
              </w:rPr>
            </w:pPr>
            <w:r>
              <w:rPr>
                <w:rFonts w:ascii="宋体" w:hAnsi="宋体"/>
                <w:b w:val="0"/>
                <w:bCs/>
                <w:color w:val="auto"/>
                <w:sz w:val="24"/>
                <w:szCs w:val="24"/>
              </w:rPr>
              <w:t>售后服务方案</w:t>
            </w:r>
          </w:p>
        </w:tc>
        <w:tc>
          <w:tcPr>
            <w:tcW w:w="720" w:type="dxa"/>
            <w:noWrap w:val="0"/>
            <w:vAlign w:val="center"/>
          </w:tcPr>
          <w:p>
            <w:pPr>
              <w:pageBreakBefore w:val="0"/>
              <w:kinsoku/>
              <w:wordWrap/>
              <w:topLinePunct w:val="0"/>
              <w:bidi w:val="0"/>
              <w:spacing w:line="360" w:lineRule="auto"/>
              <w:jc w:val="center"/>
              <w:rPr>
                <w:rFonts w:hint="eastAsia" w:ascii="宋体" w:hAnsi="宋体" w:eastAsia="宋体"/>
                <w:b w:val="0"/>
                <w:bCs/>
                <w:color w:val="auto"/>
                <w:spacing w:val="-6"/>
                <w:sz w:val="24"/>
                <w:szCs w:val="24"/>
                <w:lang w:val="en-US" w:eastAsia="zh-CN"/>
              </w:rPr>
            </w:pPr>
            <w:r>
              <w:rPr>
                <w:rFonts w:hint="eastAsia" w:ascii="宋体" w:hAnsi="宋体"/>
                <w:b w:val="0"/>
                <w:bCs/>
                <w:color w:val="auto"/>
                <w:spacing w:val="-6"/>
                <w:sz w:val="24"/>
                <w:szCs w:val="24"/>
                <w:lang w:val="en-US" w:eastAsia="zh-CN"/>
              </w:rPr>
              <w:t>2分</w:t>
            </w:r>
          </w:p>
        </w:tc>
        <w:tc>
          <w:tcPr>
            <w:tcW w:w="6581" w:type="dxa"/>
            <w:noWrap w:val="0"/>
            <w:vAlign w:val="center"/>
          </w:tcPr>
          <w:p>
            <w:pPr>
              <w:keepNext w:val="0"/>
              <w:keepLines w:val="0"/>
              <w:pageBreakBefore w:val="0"/>
              <w:widowControl/>
              <w:shd w:val="clear" w:color="auto" w:fill="FFFFFF"/>
              <w:kinsoku/>
              <w:wordWrap/>
              <w:overflowPunct/>
              <w:topLinePunct w:val="0"/>
              <w:autoSpaceDE/>
              <w:autoSpaceDN/>
              <w:bidi w:val="0"/>
              <w:adjustRightInd/>
              <w:snapToGrid/>
              <w:spacing w:before="100" w:beforeAutospacing="1" w:after="100" w:afterAutospacing="1" w:line="360" w:lineRule="auto"/>
              <w:ind w:firstLine="0"/>
              <w:jc w:val="left"/>
              <w:textAlignment w:val="auto"/>
              <w:rPr>
                <w:rFonts w:hint="eastAsia" w:ascii="宋体" w:hAnsi="宋体"/>
                <w:b w:val="0"/>
                <w:bCs/>
                <w:color w:val="auto"/>
                <w:sz w:val="24"/>
                <w:szCs w:val="24"/>
              </w:rPr>
            </w:pPr>
            <w:r>
              <w:rPr>
                <w:rFonts w:hint="eastAsia" w:ascii="宋体" w:hAnsi="宋体" w:eastAsia="宋体" w:cs="宋体"/>
                <w:b w:val="0"/>
                <w:bCs/>
                <w:color w:val="auto"/>
                <w:kern w:val="2"/>
                <w:sz w:val="24"/>
                <w:szCs w:val="24"/>
                <w:lang w:val="en-US" w:eastAsia="zh-CN" w:bidi="ar-SA"/>
              </w:rPr>
              <w:t>成交供应商须提供免费质量保修期不低于</w:t>
            </w:r>
            <w:r>
              <w:rPr>
                <w:rFonts w:hint="eastAsia" w:ascii="宋体" w:hAnsi="宋体" w:cs="宋体"/>
                <w:b/>
                <w:bCs w:val="0"/>
                <w:color w:val="auto"/>
                <w:kern w:val="2"/>
                <w:sz w:val="24"/>
                <w:szCs w:val="24"/>
                <w:lang w:val="en-US" w:eastAsia="zh-CN" w:bidi="ar-SA"/>
              </w:rPr>
              <w:t>1</w:t>
            </w:r>
            <w:r>
              <w:rPr>
                <w:rFonts w:hint="eastAsia" w:ascii="宋体" w:hAnsi="宋体" w:eastAsia="宋体" w:cs="宋体"/>
                <w:b w:val="0"/>
                <w:bCs/>
                <w:color w:val="auto"/>
                <w:kern w:val="2"/>
                <w:sz w:val="24"/>
                <w:szCs w:val="24"/>
                <w:lang w:val="en-US" w:eastAsia="zh-CN" w:bidi="ar-SA"/>
              </w:rPr>
              <w:t>年（厂家或国家有更长免费质量保修期限规定的从其规定），</w:t>
            </w:r>
            <w:r>
              <w:rPr>
                <w:rFonts w:hint="eastAsia" w:ascii="宋体" w:hAnsi="宋体"/>
                <w:b w:val="0"/>
                <w:bCs/>
                <w:color w:val="auto"/>
                <w:sz w:val="24"/>
                <w:szCs w:val="24"/>
              </w:rPr>
              <w:t>每增加1 年加1 分，本项满分</w:t>
            </w:r>
            <w:r>
              <w:rPr>
                <w:rFonts w:hint="eastAsia" w:ascii="宋体" w:hAnsi="宋体"/>
                <w:b w:val="0"/>
                <w:bCs/>
                <w:color w:val="auto"/>
                <w:sz w:val="24"/>
                <w:szCs w:val="24"/>
                <w:lang w:val="en-US" w:eastAsia="zh-CN"/>
              </w:rPr>
              <w:t>2</w:t>
            </w:r>
            <w:r>
              <w:rPr>
                <w:rFonts w:hint="eastAsia" w:ascii="宋体" w:hAnsi="宋体"/>
                <w:b w:val="0"/>
                <w:bCs/>
                <w:color w:val="auto"/>
                <w:sz w:val="24"/>
                <w:szCs w:val="24"/>
              </w:rPr>
              <w:t>分</w:t>
            </w:r>
          </w:p>
        </w:tc>
      </w:tr>
    </w:tbl>
    <w:p>
      <w:pPr>
        <w:pageBreakBefore w:val="0"/>
        <w:kinsoku/>
        <w:wordWrap/>
        <w:topLinePunct w:val="0"/>
        <w:bidi w:val="0"/>
        <w:spacing w:line="360" w:lineRule="auto"/>
        <w:rPr>
          <w:rFonts w:hint="eastAsia"/>
          <w:color w:val="auto"/>
          <w:lang w:eastAsia="zh-CN"/>
        </w:rPr>
        <w:sectPr>
          <w:pgSz w:w="11907" w:h="16839"/>
          <w:pgMar w:top="1440" w:right="1800" w:bottom="1440" w:left="1800" w:header="851" w:footer="992" w:gutter="0"/>
          <w:pgNumType w:fmt="numberInDash"/>
          <w:cols w:space="720" w:num="1"/>
          <w:docGrid w:type="lines" w:linePitch="312" w:charSpace="0"/>
        </w:sectPr>
      </w:pPr>
    </w:p>
    <w:p>
      <w:pPr>
        <w:pStyle w:val="25"/>
        <w:keepNext/>
        <w:keepLines/>
        <w:pageBreakBefore w:val="0"/>
        <w:widowControl w:val="0"/>
        <w:kinsoku/>
        <w:wordWrap/>
        <w:overflowPunct/>
        <w:topLinePunct w:val="0"/>
        <w:autoSpaceDE/>
        <w:autoSpaceDN/>
        <w:bidi w:val="0"/>
        <w:adjustRightInd/>
        <w:snapToGrid/>
        <w:spacing w:before="0" w:after="0" w:line="360" w:lineRule="auto"/>
        <w:textAlignment w:val="auto"/>
        <w:rPr>
          <w:color w:val="auto"/>
        </w:rPr>
      </w:pPr>
      <w:bookmarkStart w:id="6" w:name="_Toc14015"/>
      <w:bookmarkStart w:id="7" w:name="_Toc64885131"/>
      <w:bookmarkStart w:id="8" w:name="_Toc29577"/>
      <w:r>
        <w:rPr>
          <w:rFonts w:hint="eastAsia"/>
          <w:color w:val="auto"/>
          <w:lang w:eastAsia="zh-CN"/>
        </w:rPr>
        <w:t>三、</w:t>
      </w:r>
      <w:r>
        <w:rPr>
          <w:rFonts w:hint="eastAsia"/>
          <w:color w:val="auto"/>
        </w:rPr>
        <w:t>采购项目及要求</w:t>
      </w:r>
      <w:bookmarkEnd w:id="6"/>
      <w:bookmarkEnd w:id="7"/>
      <w:bookmarkEnd w:id="8"/>
    </w:p>
    <w:p>
      <w:pPr>
        <w:keepNext w:val="0"/>
        <w:keepLines w:val="0"/>
        <w:pageBreakBefore w:val="0"/>
        <w:kinsoku/>
        <w:wordWrap/>
        <w:overflowPunct/>
        <w:topLinePunct w:val="0"/>
        <w:autoSpaceDN/>
        <w:bidi w:val="0"/>
        <w:adjustRightInd/>
        <w:snapToGrid/>
        <w:spacing w:line="360" w:lineRule="auto"/>
        <w:textAlignment w:val="auto"/>
        <w:rPr>
          <w:rFonts w:hint="eastAsia" w:ascii="宋体"/>
          <w:b/>
          <w:color w:val="auto"/>
          <w:sz w:val="24"/>
          <w:szCs w:val="24"/>
        </w:rPr>
      </w:pPr>
      <w:r>
        <w:rPr>
          <w:rFonts w:hint="eastAsia" w:ascii="宋体"/>
          <w:b/>
          <w:color w:val="auto"/>
          <w:sz w:val="24"/>
          <w:szCs w:val="24"/>
          <w:lang w:eastAsia="zh-CN"/>
        </w:rPr>
        <w:t>（</w:t>
      </w:r>
      <w:r>
        <w:rPr>
          <w:rFonts w:hint="eastAsia" w:ascii="宋体"/>
          <w:b/>
          <w:color w:val="auto"/>
          <w:sz w:val="24"/>
          <w:szCs w:val="24"/>
        </w:rPr>
        <w:t>一</w:t>
      </w:r>
      <w:r>
        <w:rPr>
          <w:rFonts w:hint="eastAsia" w:ascii="宋体"/>
          <w:b/>
          <w:color w:val="auto"/>
          <w:sz w:val="24"/>
          <w:szCs w:val="24"/>
          <w:lang w:eastAsia="zh-CN"/>
        </w:rPr>
        <w:t>）</w:t>
      </w:r>
      <w:r>
        <w:rPr>
          <w:rFonts w:hint="eastAsia" w:ascii="宋体"/>
          <w:b/>
          <w:color w:val="auto"/>
          <w:sz w:val="24"/>
          <w:szCs w:val="24"/>
        </w:rPr>
        <w:t>项目概述</w:t>
      </w:r>
    </w:p>
    <w:p>
      <w:pPr>
        <w:pStyle w:val="11"/>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360" w:lineRule="auto"/>
        <w:textAlignment w:val="auto"/>
        <w:rPr>
          <w:color w:val="auto"/>
          <w:sz w:val="24"/>
          <w:szCs w:val="24"/>
        </w:rPr>
      </w:pPr>
      <w:r>
        <w:rPr>
          <w:rFonts w:hint="eastAsia" w:ascii="宋体" w:eastAsia="宋体" w:cs="宋体"/>
          <w:color w:val="auto"/>
          <w:sz w:val="24"/>
          <w:szCs w:val="24"/>
          <w:lang w:bidi="ar-SA"/>
        </w:rPr>
        <w:t>1、</w:t>
      </w:r>
      <w:r>
        <w:rPr>
          <w:rFonts w:hint="eastAsia" w:eastAsia="宋体" w:cs="宋体"/>
          <w:color w:val="auto"/>
          <w:sz w:val="24"/>
          <w:szCs w:val="24"/>
          <w:lang w:eastAsia="zh-CN" w:bidi="ar-SA"/>
        </w:rPr>
        <w:t>本项目为</w:t>
      </w:r>
      <w:r>
        <w:rPr>
          <w:rFonts w:hint="eastAsia" w:eastAsia="宋体" w:cs="宋体"/>
          <w:color w:val="auto"/>
          <w:sz w:val="24"/>
          <w:szCs w:val="24"/>
          <w:lang w:val="en-US" w:eastAsia="zh-CN" w:bidi="ar-SA"/>
        </w:rPr>
        <w:t>办公</w:t>
      </w:r>
      <w:r>
        <w:rPr>
          <w:rFonts w:hint="eastAsia" w:cs="宋体"/>
          <w:color w:val="auto"/>
          <w:sz w:val="24"/>
          <w:szCs w:val="24"/>
          <w:lang w:val="en-US" w:eastAsia="zh-CN" w:bidi="ar-SA"/>
        </w:rPr>
        <w:t>家具</w:t>
      </w:r>
      <w:r>
        <w:rPr>
          <w:rFonts w:hint="eastAsia" w:eastAsia="宋体" w:cs="宋体"/>
          <w:color w:val="auto"/>
          <w:sz w:val="24"/>
          <w:szCs w:val="24"/>
          <w:lang w:val="en-US" w:eastAsia="zh-CN" w:bidi="ar-SA"/>
        </w:rPr>
        <w:t>采购</w:t>
      </w:r>
      <w:r>
        <w:rPr>
          <w:rFonts w:hint="eastAsia" w:eastAsia="宋体" w:cs="宋体"/>
          <w:color w:val="auto"/>
          <w:sz w:val="24"/>
          <w:szCs w:val="24"/>
          <w:lang w:eastAsia="zh-CN" w:bidi="ar-SA"/>
        </w:rPr>
        <w:t>项目，</w:t>
      </w:r>
      <w:r>
        <w:rPr>
          <w:rFonts w:hint="eastAsia" w:eastAsia="宋体" w:cs="宋体"/>
          <w:color w:val="auto"/>
          <w:sz w:val="24"/>
          <w:szCs w:val="24"/>
          <w:lang w:val="en-US" w:eastAsia="zh-CN" w:bidi="ar-SA"/>
        </w:rPr>
        <w:t>成交</w:t>
      </w:r>
      <w:r>
        <w:rPr>
          <w:rFonts w:hint="eastAsia" w:ascii="宋体" w:eastAsia="宋体" w:cs="宋体"/>
          <w:color w:val="auto"/>
          <w:sz w:val="24"/>
          <w:szCs w:val="24"/>
          <w:lang w:bidi="ar-SA"/>
        </w:rPr>
        <w:t>供应商必须根据询价</w:t>
      </w:r>
      <w:r>
        <w:rPr>
          <w:rFonts w:hint="eastAsia" w:eastAsia="宋体" w:cs="宋体"/>
          <w:color w:val="auto"/>
          <w:sz w:val="24"/>
          <w:szCs w:val="24"/>
          <w:lang w:val="en-US" w:eastAsia="zh-CN" w:bidi="ar-SA"/>
        </w:rPr>
        <w:t>文件</w:t>
      </w:r>
      <w:r>
        <w:rPr>
          <w:rFonts w:hint="eastAsia" w:ascii="宋体" w:eastAsia="宋体" w:cs="宋体"/>
          <w:color w:val="auto"/>
          <w:sz w:val="24"/>
          <w:szCs w:val="24"/>
          <w:lang w:bidi="ar-SA"/>
        </w:rPr>
        <w:t>的要求，提供符合采购人需求的货物，并负责货物的安装、调试、和售后服务等工作。</w:t>
      </w:r>
    </w:p>
    <w:p>
      <w:pPr>
        <w:pStyle w:val="11"/>
        <w:keepNext w:val="0"/>
        <w:keepLines w:val="0"/>
        <w:pageBreakBefore w:val="0"/>
        <w:widowControl/>
        <w:kinsoku/>
        <w:wordWrap/>
        <w:overflowPunct/>
        <w:topLinePunct w:val="0"/>
        <w:autoSpaceDN/>
        <w:bidi w:val="0"/>
        <w:adjustRightInd/>
        <w:snapToGrid/>
        <w:spacing w:before="0" w:beforeAutospacing="0" w:after="0" w:afterAutospacing="0" w:line="360" w:lineRule="auto"/>
        <w:ind w:firstLine="0"/>
        <w:textAlignment w:val="auto"/>
        <w:rPr>
          <w:rFonts w:hint="eastAsia" w:ascii="宋体" w:eastAsia="宋体" w:cs="宋体"/>
          <w:color w:val="auto"/>
          <w:sz w:val="24"/>
          <w:szCs w:val="24"/>
          <w:lang w:bidi="ar-SA"/>
        </w:rPr>
      </w:pPr>
      <w:r>
        <w:rPr>
          <w:rFonts w:hint="eastAsia" w:eastAsia="宋体" w:cs="宋体"/>
          <w:color w:val="auto"/>
          <w:sz w:val="24"/>
          <w:szCs w:val="24"/>
          <w:lang w:val="en-US" w:eastAsia="zh-CN" w:bidi="ar-SA"/>
        </w:rPr>
        <w:t>2</w:t>
      </w:r>
      <w:r>
        <w:rPr>
          <w:rFonts w:hint="eastAsia" w:ascii="宋体" w:eastAsia="宋体" w:cs="宋体"/>
          <w:color w:val="auto"/>
          <w:sz w:val="24"/>
          <w:szCs w:val="24"/>
          <w:lang w:bidi="ar-SA"/>
        </w:rPr>
        <w:t>、报价人务必仔细阅读</w:t>
      </w:r>
      <w:r>
        <w:rPr>
          <w:rFonts w:hint="eastAsia" w:eastAsia="宋体" w:cs="宋体"/>
          <w:color w:val="auto"/>
          <w:sz w:val="24"/>
          <w:szCs w:val="24"/>
          <w:lang w:val="en-US" w:eastAsia="zh-CN" w:bidi="ar-SA"/>
        </w:rPr>
        <w:t>本</w:t>
      </w:r>
      <w:r>
        <w:rPr>
          <w:rFonts w:hint="eastAsia" w:ascii="宋体" w:eastAsia="宋体" w:cs="宋体"/>
          <w:color w:val="auto"/>
          <w:sz w:val="24"/>
          <w:szCs w:val="24"/>
          <w:lang w:bidi="ar-SA"/>
        </w:rPr>
        <w:t>询价</w:t>
      </w:r>
      <w:r>
        <w:rPr>
          <w:rFonts w:hint="eastAsia" w:eastAsia="宋体" w:cs="宋体"/>
          <w:color w:val="auto"/>
          <w:sz w:val="24"/>
          <w:szCs w:val="24"/>
          <w:lang w:val="en-US" w:eastAsia="zh-CN" w:bidi="ar-SA"/>
        </w:rPr>
        <w:t>文件</w:t>
      </w:r>
      <w:r>
        <w:rPr>
          <w:rFonts w:hint="eastAsia" w:ascii="宋体" w:eastAsia="宋体" w:cs="宋体"/>
          <w:color w:val="auto"/>
          <w:sz w:val="24"/>
          <w:szCs w:val="24"/>
          <w:lang w:bidi="ar-SA"/>
        </w:rPr>
        <w:t>中所规定的，其中</w:t>
      </w:r>
      <w:bookmarkStart w:id="20" w:name="_GoBack"/>
      <w:bookmarkEnd w:id="20"/>
      <w:r>
        <w:rPr>
          <w:rFonts w:hint="eastAsia" w:ascii="宋体" w:eastAsia="宋体" w:cs="宋体"/>
          <w:color w:val="auto"/>
          <w:sz w:val="24"/>
          <w:szCs w:val="24"/>
          <w:lang w:bidi="ar-SA"/>
        </w:rPr>
        <w:t>包括技术规格在内的所有细则。</w:t>
      </w:r>
    </w:p>
    <w:p>
      <w:pPr>
        <w:pStyle w:val="11"/>
        <w:keepNext w:val="0"/>
        <w:keepLines w:val="0"/>
        <w:pageBreakBefore w:val="0"/>
        <w:widowControl/>
        <w:kinsoku/>
        <w:wordWrap/>
        <w:overflowPunct/>
        <w:topLinePunct w:val="0"/>
        <w:autoSpaceDN/>
        <w:bidi w:val="0"/>
        <w:adjustRightInd/>
        <w:snapToGrid/>
        <w:spacing w:before="0" w:beforeAutospacing="0" w:after="0" w:afterAutospacing="0" w:line="360" w:lineRule="auto"/>
        <w:ind w:firstLine="0"/>
        <w:textAlignment w:val="auto"/>
        <w:rPr>
          <w:rFonts w:hint="eastAsia" w:ascii="宋体" w:eastAsia="宋体" w:cs="宋体"/>
          <w:color w:val="auto"/>
          <w:sz w:val="24"/>
          <w:szCs w:val="24"/>
          <w:lang w:val="en-US" w:eastAsia="zh-CN" w:bidi="ar-SA"/>
        </w:rPr>
      </w:pPr>
      <w:r>
        <w:rPr>
          <w:rFonts w:hint="eastAsia" w:eastAsia="宋体" w:cs="宋体"/>
          <w:color w:val="auto"/>
          <w:sz w:val="24"/>
          <w:szCs w:val="24"/>
          <w:lang w:val="en-US" w:eastAsia="zh-CN" w:bidi="ar-SA"/>
        </w:rPr>
        <w:t>3、本项目总价最高限价为</w:t>
      </w:r>
      <w:r>
        <w:rPr>
          <w:rFonts w:hint="eastAsia" w:cs="宋体"/>
          <w:color w:val="auto"/>
          <w:sz w:val="24"/>
          <w:szCs w:val="24"/>
          <w:lang w:val="en-US" w:eastAsia="zh-CN" w:bidi="ar-SA"/>
        </w:rPr>
        <w:t>108988元。单价限价详见货物清单。</w:t>
      </w:r>
    </w:p>
    <w:p>
      <w:pPr>
        <w:pStyle w:val="11"/>
        <w:keepNext w:val="0"/>
        <w:keepLines w:val="0"/>
        <w:pageBreakBefore w:val="0"/>
        <w:widowControl/>
        <w:suppressLineNumbers w:val="0"/>
        <w:kinsoku/>
        <w:wordWrap/>
        <w:overflowPunct/>
        <w:topLinePunct w:val="0"/>
        <w:autoSpaceDN/>
        <w:bidi w:val="0"/>
        <w:adjustRightInd/>
        <w:snapToGrid/>
        <w:spacing w:before="0" w:beforeAutospacing="0" w:after="0" w:afterAutospacing="0" w:line="360" w:lineRule="auto"/>
        <w:ind w:left="0" w:right="0" w:firstLine="0"/>
        <w:jc w:val="left"/>
        <w:textAlignment w:val="auto"/>
        <w:rPr>
          <w:rFonts w:hint="eastAsia" w:ascii="宋体" w:cs="宋体"/>
          <w:b/>
          <w:bCs/>
          <w:color w:val="auto"/>
          <w:sz w:val="24"/>
          <w:szCs w:val="24"/>
          <w:lang w:eastAsia="zh-CN" w:bidi="ar-SA"/>
        </w:rPr>
      </w:pPr>
      <w:r>
        <w:rPr>
          <w:rFonts w:hint="eastAsia" w:cs="宋体"/>
          <w:b/>
          <w:bCs/>
          <w:color w:val="auto"/>
          <w:sz w:val="24"/>
          <w:szCs w:val="24"/>
          <w:lang w:eastAsia="zh-CN" w:bidi="ar-SA"/>
        </w:rPr>
        <w:t>（</w:t>
      </w:r>
      <w:r>
        <w:rPr>
          <w:rFonts w:hint="eastAsia" w:eastAsia="宋体" w:cs="宋体"/>
          <w:b/>
          <w:bCs/>
          <w:color w:val="auto"/>
          <w:sz w:val="24"/>
          <w:szCs w:val="24"/>
          <w:lang w:eastAsia="zh-CN" w:bidi="ar-SA"/>
        </w:rPr>
        <w:t>二</w:t>
      </w:r>
      <w:r>
        <w:rPr>
          <w:rFonts w:hint="eastAsia" w:cs="宋体"/>
          <w:b/>
          <w:bCs/>
          <w:color w:val="auto"/>
          <w:sz w:val="24"/>
          <w:szCs w:val="24"/>
          <w:lang w:eastAsia="zh-CN" w:bidi="ar-SA"/>
        </w:rPr>
        <w:t>）</w:t>
      </w:r>
      <w:r>
        <w:rPr>
          <w:rFonts w:hint="eastAsia" w:cs="宋体"/>
          <w:b/>
          <w:bCs/>
          <w:color w:val="auto"/>
          <w:sz w:val="24"/>
          <w:szCs w:val="24"/>
          <w:lang w:val="en-US" w:eastAsia="zh-CN" w:bidi="ar-SA"/>
        </w:rPr>
        <w:t>货物清单</w:t>
      </w:r>
    </w:p>
    <w:tbl>
      <w:tblPr>
        <w:tblStyle w:val="13"/>
        <w:tblW w:w="5640" w:type="pct"/>
        <w:tblInd w:w="-43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07"/>
        <w:gridCol w:w="1199"/>
        <w:gridCol w:w="2653"/>
        <w:gridCol w:w="2623"/>
        <w:gridCol w:w="1139"/>
        <w:gridCol w:w="710"/>
        <w:gridCol w:w="67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序号</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货物名称</w:t>
            </w:r>
          </w:p>
        </w:tc>
        <w:tc>
          <w:tcPr>
            <w:tcW w:w="1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kern w:val="0"/>
                <w:sz w:val="22"/>
                <w:szCs w:val="22"/>
                <w:u w:val="none"/>
                <w:lang w:val="en-US" w:eastAsia="zh-CN" w:bidi="ar"/>
              </w:rPr>
            </w:pPr>
            <w:r>
              <w:rPr>
                <w:rFonts w:hint="eastAsia" w:ascii="宋体" w:hAnsi="宋体" w:cs="宋体"/>
                <w:b/>
                <w:bCs/>
                <w:i w:val="0"/>
                <w:iCs w:val="0"/>
                <w:color w:val="auto"/>
                <w:kern w:val="0"/>
                <w:sz w:val="22"/>
                <w:szCs w:val="22"/>
                <w:u w:val="none"/>
                <w:lang w:val="en-US" w:eastAsia="zh-CN" w:bidi="ar"/>
              </w:rPr>
              <w:t>参考图片</w:t>
            </w:r>
          </w:p>
        </w:tc>
        <w:tc>
          <w:tcPr>
            <w:tcW w:w="136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规格（mm）长*宽*高</w:t>
            </w:r>
          </w:p>
        </w:tc>
        <w:tc>
          <w:tcPr>
            <w:tcW w:w="5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kern w:val="0"/>
                <w:sz w:val="22"/>
                <w:szCs w:val="22"/>
                <w:u w:val="none"/>
                <w:lang w:val="en-US" w:eastAsia="zh-CN" w:bidi="ar"/>
              </w:rPr>
            </w:pPr>
            <w:r>
              <w:rPr>
                <w:rFonts w:hint="eastAsia" w:ascii="宋体" w:hAnsi="宋体" w:cs="宋体"/>
                <w:b/>
                <w:bCs/>
                <w:i w:val="0"/>
                <w:iCs w:val="0"/>
                <w:color w:val="auto"/>
                <w:kern w:val="0"/>
                <w:sz w:val="22"/>
                <w:szCs w:val="22"/>
                <w:u w:val="none"/>
                <w:lang w:val="en-US" w:eastAsia="zh-CN" w:bidi="ar"/>
              </w:rPr>
              <w:t>单价限价</w:t>
            </w:r>
          </w:p>
        </w:tc>
        <w:tc>
          <w:tcPr>
            <w:tcW w:w="3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数量</w:t>
            </w:r>
          </w:p>
        </w:tc>
        <w:tc>
          <w:tcPr>
            <w:tcW w:w="350"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1</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会议桌</w:t>
            </w:r>
          </w:p>
        </w:tc>
        <w:tc>
          <w:tcPr>
            <w:tcW w:w="1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0"/>
                <w:sz w:val="22"/>
                <w:szCs w:val="22"/>
                <w:u w:val="none"/>
                <w:lang w:val="en-US" w:eastAsia="zh-CN" w:bidi="ar"/>
              </w:rPr>
            </w:pPr>
            <w:r>
              <w:rPr>
                <w:color w:val="auto"/>
              </w:rPr>
              <w:drawing>
                <wp:inline distT="0" distB="0" distL="114300" distR="114300">
                  <wp:extent cx="1523365" cy="1143000"/>
                  <wp:effectExtent l="0" t="0" r="635" b="0"/>
                  <wp:docPr id="28"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7"/>
                          <pic:cNvPicPr>
                            <a:picLocks noChangeAspect="1"/>
                          </pic:cNvPicPr>
                        </pic:nvPicPr>
                        <pic:blipFill>
                          <a:blip r:embed="rId5"/>
                          <a:stretch>
                            <a:fillRect/>
                          </a:stretch>
                        </pic:blipFill>
                        <pic:spPr>
                          <a:xfrm>
                            <a:off x="0" y="0"/>
                            <a:ext cx="1523365" cy="1143000"/>
                          </a:xfrm>
                          <a:prstGeom prst="rect">
                            <a:avLst/>
                          </a:prstGeom>
                          <a:noFill/>
                          <a:ln w="9525">
                            <a:noFill/>
                          </a:ln>
                        </pic:spPr>
                      </pic:pic>
                    </a:graphicData>
                  </a:graphic>
                </wp:inline>
              </w:drawing>
            </w:r>
          </w:p>
        </w:tc>
        <w:tc>
          <w:tcPr>
            <w:tcW w:w="1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4000W*1600D*760H</w:t>
            </w:r>
          </w:p>
        </w:tc>
        <w:tc>
          <w:tcPr>
            <w:tcW w:w="5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10240</w:t>
            </w:r>
          </w:p>
        </w:tc>
        <w:tc>
          <w:tcPr>
            <w:tcW w:w="3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1</w:t>
            </w:r>
          </w:p>
        </w:tc>
        <w:tc>
          <w:tcPr>
            <w:tcW w:w="350"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5"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2</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sz w:val="22"/>
                <w:szCs w:val="22"/>
                <w:u w:val="none"/>
                <w:lang w:val="en-US"/>
              </w:rPr>
            </w:pPr>
            <w:r>
              <w:rPr>
                <w:rFonts w:hint="eastAsia" w:ascii="微软雅黑" w:hAnsi="微软雅黑" w:eastAsia="微软雅黑" w:cs="微软雅黑"/>
                <w:b/>
                <w:bCs/>
                <w:i w:val="0"/>
                <w:iCs w:val="0"/>
                <w:color w:val="auto"/>
                <w:kern w:val="0"/>
                <w:sz w:val="20"/>
                <w:szCs w:val="20"/>
                <w:u w:val="none"/>
                <w:lang w:val="en-US" w:eastAsia="zh-CN" w:bidi="ar"/>
              </w:rPr>
              <w:t>条桌</w:t>
            </w:r>
          </w:p>
        </w:tc>
        <w:tc>
          <w:tcPr>
            <w:tcW w:w="1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left"/>
              <w:textAlignment w:val="center"/>
              <w:rPr>
                <w:rFonts w:hint="eastAsia" w:ascii="宋体" w:hAnsi="宋体" w:eastAsia="宋体" w:cs="宋体"/>
                <w:i w:val="0"/>
                <w:iCs w:val="0"/>
                <w:color w:val="auto"/>
                <w:kern w:val="0"/>
                <w:sz w:val="22"/>
                <w:szCs w:val="22"/>
                <w:u w:val="none"/>
                <w:lang w:val="en-US" w:eastAsia="zh-CN" w:bidi="ar"/>
              </w:rPr>
            </w:pPr>
            <w:r>
              <w:rPr>
                <w:color w:val="auto"/>
              </w:rPr>
              <w:drawing>
                <wp:inline distT="0" distB="0" distL="114300" distR="114300">
                  <wp:extent cx="1387475" cy="979805"/>
                  <wp:effectExtent l="0" t="0" r="3175" b="10795"/>
                  <wp:docPr id="4"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5"/>
                          <pic:cNvPicPr>
                            <a:picLocks noChangeAspect="1"/>
                          </pic:cNvPicPr>
                        </pic:nvPicPr>
                        <pic:blipFill>
                          <a:blip r:embed="rId6" cstate="print"/>
                          <a:srcRect l="2250" t="5950" r="52283" b="7168"/>
                          <a:stretch>
                            <a:fillRect/>
                          </a:stretch>
                        </pic:blipFill>
                        <pic:spPr>
                          <a:xfrm>
                            <a:off x="0" y="0"/>
                            <a:ext cx="1387475" cy="979805"/>
                          </a:xfrm>
                          <a:prstGeom prst="rect">
                            <a:avLst/>
                          </a:prstGeom>
                          <a:noFill/>
                          <a:ln w="9525">
                            <a:noFill/>
                          </a:ln>
                        </pic:spPr>
                      </pic:pic>
                    </a:graphicData>
                  </a:graphic>
                </wp:inline>
              </w:drawing>
            </w:r>
          </w:p>
        </w:tc>
        <w:tc>
          <w:tcPr>
            <w:tcW w:w="1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1200W*400D*760H</w:t>
            </w:r>
          </w:p>
        </w:tc>
        <w:tc>
          <w:tcPr>
            <w:tcW w:w="5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768</w:t>
            </w:r>
          </w:p>
        </w:tc>
        <w:tc>
          <w:tcPr>
            <w:tcW w:w="3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sz w:val="22"/>
                <w:szCs w:val="22"/>
                <w:u w:val="none"/>
                <w:lang w:val="en-US"/>
              </w:rPr>
            </w:pPr>
            <w:r>
              <w:rPr>
                <w:rFonts w:hint="eastAsia" w:ascii="微软雅黑" w:hAnsi="微软雅黑" w:eastAsia="微软雅黑" w:cs="微软雅黑"/>
                <w:b/>
                <w:bCs/>
                <w:i w:val="0"/>
                <w:iCs w:val="0"/>
                <w:color w:val="auto"/>
                <w:kern w:val="0"/>
                <w:sz w:val="20"/>
                <w:szCs w:val="20"/>
                <w:u w:val="none"/>
                <w:lang w:val="en-US" w:eastAsia="zh-CN" w:bidi="ar"/>
              </w:rPr>
              <w:t>11</w:t>
            </w:r>
          </w:p>
        </w:tc>
        <w:tc>
          <w:tcPr>
            <w:tcW w:w="350"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5"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3</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会议椅1</w:t>
            </w:r>
          </w:p>
        </w:tc>
        <w:tc>
          <w:tcPr>
            <w:tcW w:w="1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left"/>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anchor distT="0" distB="0" distL="114300" distR="114300" simplePos="0" relativeHeight="251659264" behindDoc="0" locked="0" layoutInCell="1" allowOverlap="1">
                  <wp:simplePos x="0" y="0"/>
                  <wp:positionH relativeFrom="column">
                    <wp:posOffset>409575</wp:posOffset>
                  </wp:positionH>
                  <wp:positionV relativeFrom="paragraph">
                    <wp:posOffset>104775</wp:posOffset>
                  </wp:positionV>
                  <wp:extent cx="858520" cy="923925"/>
                  <wp:effectExtent l="0" t="0" r="17780" b="9525"/>
                  <wp:wrapNone/>
                  <wp:docPr id="5"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34"/>
                          <pic:cNvPicPr>
                            <a:picLocks noChangeAspect="1"/>
                          </pic:cNvPicPr>
                        </pic:nvPicPr>
                        <pic:blipFill>
                          <a:blip r:embed="rId7"/>
                          <a:stretch>
                            <a:fillRect/>
                          </a:stretch>
                        </pic:blipFill>
                        <pic:spPr>
                          <a:xfrm>
                            <a:off x="0" y="0"/>
                            <a:ext cx="858520" cy="923925"/>
                          </a:xfrm>
                          <a:prstGeom prst="rect">
                            <a:avLst/>
                          </a:prstGeom>
                          <a:noFill/>
                          <a:ln w="1">
                            <a:noFill/>
                          </a:ln>
                        </pic:spPr>
                      </pic:pic>
                    </a:graphicData>
                  </a:graphic>
                </wp:anchor>
              </w:drawing>
            </w:r>
          </w:p>
        </w:tc>
        <w:tc>
          <w:tcPr>
            <w:tcW w:w="1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常规</w:t>
            </w:r>
          </w:p>
        </w:tc>
        <w:tc>
          <w:tcPr>
            <w:tcW w:w="5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500</w:t>
            </w:r>
          </w:p>
        </w:tc>
        <w:tc>
          <w:tcPr>
            <w:tcW w:w="3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24</w:t>
            </w:r>
          </w:p>
        </w:tc>
        <w:tc>
          <w:tcPr>
            <w:tcW w:w="350"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4"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4</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会议椅2</w:t>
            </w:r>
          </w:p>
        </w:tc>
        <w:tc>
          <w:tcPr>
            <w:tcW w:w="1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left"/>
              <w:textAlignment w:val="center"/>
              <w:rPr>
                <w:rFonts w:hint="eastAsia" w:ascii="宋体" w:hAnsi="宋体" w:eastAsia="宋体" w:cs="宋体"/>
                <w:i w:val="0"/>
                <w:iCs w:val="0"/>
                <w:color w:val="auto"/>
                <w:kern w:val="0"/>
                <w:sz w:val="22"/>
                <w:szCs w:val="22"/>
                <w:u w:val="none"/>
                <w:lang w:val="en-US" w:eastAsia="zh-CN" w:bidi="ar"/>
              </w:rPr>
            </w:pPr>
          </w:p>
          <w:p>
            <w:pPr>
              <w:keepNext w:val="0"/>
              <w:keepLines w:val="0"/>
              <w:pageBreakBefore w:val="0"/>
              <w:widowControl/>
              <w:suppressLineNumbers w:val="0"/>
              <w:kinsoku/>
              <w:wordWrap/>
              <w:topLinePunct w:val="0"/>
              <w:bidi w:val="0"/>
              <w:spacing w:line="360" w:lineRule="auto"/>
              <w:jc w:val="left"/>
              <w:textAlignment w:val="center"/>
              <w:rPr>
                <w:rFonts w:hint="eastAsia" w:ascii="宋体" w:hAnsi="宋体" w:eastAsia="宋体" w:cs="宋体"/>
                <w:i w:val="0"/>
                <w:iCs w:val="0"/>
                <w:color w:val="auto"/>
                <w:kern w:val="0"/>
                <w:sz w:val="22"/>
                <w:szCs w:val="22"/>
                <w:u w:val="none"/>
                <w:lang w:val="en-US" w:eastAsia="zh-CN" w:bidi="ar"/>
              </w:rPr>
            </w:pPr>
            <w:r>
              <w:rPr>
                <w:color w:val="auto"/>
              </w:rPr>
              <w:drawing>
                <wp:anchor distT="0" distB="0" distL="114300" distR="114300" simplePos="0" relativeHeight="251660288" behindDoc="0" locked="0" layoutInCell="1" allowOverlap="1">
                  <wp:simplePos x="0" y="0"/>
                  <wp:positionH relativeFrom="column">
                    <wp:posOffset>326390</wp:posOffset>
                  </wp:positionH>
                  <wp:positionV relativeFrom="paragraph">
                    <wp:posOffset>95250</wp:posOffset>
                  </wp:positionV>
                  <wp:extent cx="604520" cy="927735"/>
                  <wp:effectExtent l="0" t="0" r="5080" b="1905"/>
                  <wp:wrapNone/>
                  <wp:docPr id="6"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2"/>
                          <pic:cNvPicPr>
                            <a:picLocks noChangeAspect="1"/>
                          </pic:cNvPicPr>
                        </pic:nvPicPr>
                        <pic:blipFill>
                          <a:blip r:embed="rId8"/>
                          <a:stretch>
                            <a:fillRect/>
                          </a:stretch>
                        </pic:blipFill>
                        <pic:spPr>
                          <a:xfrm>
                            <a:off x="0" y="0"/>
                            <a:ext cx="604520" cy="927735"/>
                          </a:xfrm>
                          <a:prstGeom prst="rect">
                            <a:avLst/>
                          </a:prstGeom>
                          <a:noFill/>
                          <a:ln w="9525">
                            <a:noFill/>
                          </a:ln>
                        </pic:spPr>
                      </pic:pic>
                    </a:graphicData>
                  </a:graphic>
                </wp:anchor>
              </w:drawing>
            </w:r>
          </w:p>
          <w:p>
            <w:pPr>
              <w:keepNext w:val="0"/>
              <w:keepLines w:val="0"/>
              <w:pageBreakBefore w:val="0"/>
              <w:widowControl/>
              <w:suppressLineNumbers w:val="0"/>
              <w:kinsoku/>
              <w:wordWrap/>
              <w:topLinePunct w:val="0"/>
              <w:bidi w:val="0"/>
              <w:spacing w:line="360" w:lineRule="auto"/>
              <w:jc w:val="left"/>
              <w:textAlignment w:val="center"/>
              <w:rPr>
                <w:rFonts w:hint="eastAsia" w:ascii="宋体" w:hAnsi="宋体" w:eastAsia="宋体" w:cs="宋体"/>
                <w:i w:val="0"/>
                <w:iCs w:val="0"/>
                <w:color w:val="auto"/>
                <w:kern w:val="0"/>
                <w:sz w:val="22"/>
                <w:szCs w:val="22"/>
                <w:u w:val="none"/>
                <w:lang w:val="en-US" w:eastAsia="zh-CN" w:bidi="ar"/>
              </w:rPr>
            </w:pPr>
          </w:p>
        </w:tc>
        <w:tc>
          <w:tcPr>
            <w:tcW w:w="1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常规</w:t>
            </w:r>
          </w:p>
        </w:tc>
        <w:tc>
          <w:tcPr>
            <w:tcW w:w="5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500</w:t>
            </w:r>
          </w:p>
        </w:tc>
        <w:tc>
          <w:tcPr>
            <w:tcW w:w="3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36</w:t>
            </w:r>
          </w:p>
        </w:tc>
        <w:tc>
          <w:tcPr>
            <w:tcW w:w="350"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5</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办公桌</w:t>
            </w:r>
          </w:p>
        </w:tc>
        <w:tc>
          <w:tcPr>
            <w:tcW w:w="1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left"/>
              <w:textAlignment w:val="center"/>
              <w:rPr>
                <w:rFonts w:hint="eastAsia"/>
                <w:color w:val="auto"/>
                <w:lang w:val="en-US" w:eastAsia="zh-CN"/>
              </w:rPr>
            </w:pP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lang w:val="en-US" w:eastAsia="zh-CN"/>
              </w:rPr>
            </w:pPr>
            <w:r>
              <w:rPr>
                <w:color w:val="auto"/>
              </w:rPr>
              <w:drawing>
                <wp:inline distT="0" distB="0" distL="114300" distR="114300">
                  <wp:extent cx="1672590" cy="906780"/>
                  <wp:effectExtent l="0" t="0" r="3810" b="7620"/>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9"/>
                          <a:stretch>
                            <a:fillRect/>
                          </a:stretch>
                        </pic:blipFill>
                        <pic:spPr>
                          <a:xfrm>
                            <a:off x="0" y="0"/>
                            <a:ext cx="1672590" cy="906780"/>
                          </a:xfrm>
                          <a:prstGeom prst="rect">
                            <a:avLst/>
                          </a:prstGeom>
                          <a:noFill/>
                          <a:ln>
                            <a:noFill/>
                          </a:ln>
                        </pic:spPr>
                      </pic:pic>
                    </a:graphicData>
                  </a:graphic>
                </wp:inline>
              </w:drawing>
            </w:r>
          </w:p>
          <w:p>
            <w:pPr>
              <w:pageBreakBefore w:val="0"/>
              <w:kinsoku/>
              <w:wordWrap/>
              <w:topLinePunct w:val="0"/>
              <w:bidi w:val="0"/>
              <w:spacing w:line="360" w:lineRule="auto"/>
              <w:rPr>
                <w:rFonts w:hint="eastAsia"/>
                <w:color w:val="auto"/>
                <w:lang w:val="en-US" w:eastAsia="zh-CN"/>
              </w:rPr>
            </w:pPr>
          </w:p>
          <w:p>
            <w:pPr>
              <w:pageBreakBefore w:val="0"/>
              <w:kinsoku/>
              <w:wordWrap/>
              <w:topLinePunct w:val="0"/>
              <w:bidi w:val="0"/>
              <w:spacing w:line="360" w:lineRule="auto"/>
              <w:rPr>
                <w:rFonts w:hint="eastAsia" w:ascii="Times New Roman" w:hAnsi="Times New Roman" w:eastAsia="宋体" w:cs="Times New Roman"/>
                <w:color w:val="auto"/>
                <w:kern w:val="2"/>
                <w:sz w:val="21"/>
                <w:szCs w:val="24"/>
                <w:lang w:val="en-US" w:eastAsia="zh-CN" w:bidi="ar-SA"/>
              </w:rPr>
            </w:pPr>
          </w:p>
        </w:tc>
        <w:tc>
          <w:tcPr>
            <w:tcW w:w="1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1600*800*760</w:t>
            </w:r>
          </w:p>
        </w:tc>
        <w:tc>
          <w:tcPr>
            <w:tcW w:w="5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1900</w:t>
            </w:r>
          </w:p>
        </w:tc>
        <w:tc>
          <w:tcPr>
            <w:tcW w:w="3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9</w:t>
            </w:r>
          </w:p>
        </w:tc>
        <w:tc>
          <w:tcPr>
            <w:tcW w:w="350"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12"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6</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办公椅</w:t>
            </w:r>
          </w:p>
        </w:tc>
        <w:tc>
          <w:tcPr>
            <w:tcW w:w="1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left"/>
              <w:textAlignment w:val="center"/>
              <w:rPr>
                <w:rFonts w:hint="eastAsia"/>
                <w:color w:val="auto"/>
                <w:lang w:val="en-US" w:eastAsia="zh-CN"/>
              </w:rPr>
            </w:pPr>
          </w:p>
          <w:p>
            <w:pPr>
              <w:pStyle w:val="2"/>
              <w:pageBreakBefore w:val="0"/>
              <w:kinsoku/>
              <w:wordWrap/>
              <w:topLinePunct w:val="0"/>
              <w:bidi w:val="0"/>
              <w:spacing w:line="360" w:lineRule="auto"/>
              <w:rPr>
                <w:rFonts w:hint="eastAsia"/>
                <w:color w:val="auto"/>
                <w:lang w:val="en-US" w:eastAsia="zh-CN"/>
              </w:rPr>
            </w:pPr>
          </w:p>
          <w:p>
            <w:pPr>
              <w:pageBreakBefore w:val="0"/>
              <w:kinsoku/>
              <w:wordWrap/>
              <w:topLinePunct w:val="0"/>
              <w:bidi w:val="0"/>
              <w:spacing w:line="360" w:lineRule="auto"/>
              <w:rPr>
                <w:rFonts w:hint="eastAsia" w:ascii="黑体" w:hAnsi="Times New Roman" w:eastAsia="黑体" w:cs="Times New Roman"/>
                <w:color w:val="auto"/>
                <w:kern w:val="2"/>
                <w:sz w:val="30"/>
                <w:szCs w:val="24"/>
                <w:shd w:val="pct10" w:color="auto" w:fill="FFFFFF"/>
                <w:lang w:val="en-US" w:eastAsia="zh-CN" w:bidi="ar-SA"/>
              </w:rPr>
            </w:pPr>
            <w:r>
              <w:rPr>
                <w:color w:val="auto"/>
              </w:rPr>
              <w:drawing>
                <wp:inline distT="0" distB="0" distL="114300" distR="114300">
                  <wp:extent cx="1271270" cy="1160780"/>
                  <wp:effectExtent l="0" t="0" r="5080" b="1270"/>
                  <wp:docPr id="8" name="图片 63" descr="19dc2a56f02ace1ea8fc8fd75c11d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63" descr="19dc2a56f02ace1ea8fc8fd75c11dc2"/>
                          <pic:cNvPicPr>
                            <a:picLocks noChangeAspect="1"/>
                          </pic:cNvPicPr>
                        </pic:nvPicPr>
                        <pic:blipFill>
                          <a:blip r:embed="rId10"/>
                          <a:stretch>
                            <a:fillRect/>
                          </a:stretch>
                        </pic:blipFill>
                        <pic:spPr>
                          <a:xfrm>
                            <a:off x="0" y="0"/>
                            <a:ext cx="1271270" cy="1160780"/>
                          </a:xfrm>
                          <a:prstGeom prst="rect">
                            <a:avLst/>
                          </a:prstGeom>
                          <a:noFill/>
                          <a:ln w="9525">
                            <a:noFill/>
                          </a:ln>
                        </pic:spPr>
                      </pic:pic>
                    </a:graphicData>
                  </a:graphic>
                </wp:inline>
              </w:drawing>
            </w:r>
          </w:p>
        </w:tc>
        <w:tc>
          <w:tcPr>
            <w:tcW w:w="1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常规</w:t>
            </w:r>
          </w:p>
        </w:tc>
        <w:tc>
          <w:tcPr>
            <w:tcW w:w="5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600</w:t>
            </w:r>
          </w:p>
        </w:tc>
        <w:tc>
          <w:tcPr>
            <w:tcW w:w="3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22</w:t>
            </w:r>
          </w:p>
        </w:tc>
        <w:tc>
          <w:tcPr>
            <w:tcW w:w="350"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3"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7</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文件柜1</w:t>
            </w:r>
          </w:p>
        </w:tc>
        <w:tc>
          <w:tcPr>
            <w:tcW w:w="1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left"/>
              <w:textAlignment w:val="center"/>
              <w:rPr>
                <w:rFonts w:hint="eastAsia"/>
                <w:color w:val="auto"/>
                <w:lang w:val="en-US" w:eastAsia="zh-CN"/>
              </w:rPr>
            </w:pPr>
          </w:p>
          <w:p>
            <w:pPr>
              <w:keepNext w:val="0"/>
              <w:keepLines w:val="0"/>
              <w:pageBreakBefore w:val="0"/>
              <w:widowControl/>
              <w:suppressLineNumbers w:val="0"/>
              <w:kinsoku/>
              <w:wordWrap/>
              <w:topLinePunct w:val="0"/>
              <w:bidi w:val="0"/>
              <w:spacing w:line="360" w:lineRule="auto"/>
              <w:jc w:val="left"/>
              <w:textAlignment w:val="center"/>
              <w:rPr>
                <w:rFonts w:hint="eastAsia"/>
                <w:color w:val="auto"/>
                <w:lang w:val="en-US" w:eastAsia="zh-CN"/>
              </w:rPr>
            </w:pPr>
          </w:p>
          <w:p>
            <w:pPr>
              <w:keepNext w:val="0"/>
              <w:keepLines w:val="0"/>
              <w:pageBreakBefore w:val="0"/>
              <w:widowControl/>
              <w:suppressLineNumbers w:val="0"/>
              <w:kinsoku/>
              <w:wordWrap/>
              <w:topLinePunct w:val="0"/>
              <w:bidi w:val="0"/>
              <w:spacing w:line="360" w:lineRule="auto"/>
              <w:jc w:val="left"/>
              <w:textAlignment w:val="center"/>
              <w:rPr>
                <w:rFonts w:hint="eastAsia"/>
                <w:color w:val="auto"/>
                <w:lang w:val="en-US" w:eastAsia="zh-CN"/>
              </w:rPr>
            </w:pPr>
          </w:p>
          <w:p>
            <w:pPr>
              <w:pStyle w:val="2"/>
              <w:pageBreakBefore w:val="0"/>
              <w:kinsoku/>
              <w:wordWrap/>
              <w:topLinePunct w:val="0"/>
              <w:bidi w:val="0"/>
              <w:spacing w:line="360" w:lineRule="auto"/>
              <w:rPr>
                <w:rFonts w:hint="eastAsia" w:ascii="黑体" w:hAnsi="Times New Roman" w:eastAsia="黑体" w:cs="Times New Roman"/>
                <w:color w:val="auto"/>
                <w:kern w:val="2"/>
                <w:sz w:val="30"/>
                <w:szCs w:val="24"/>
                <w:shd w:val="pct10" w:color="auto" w:fill="FFFFFF"/>
                <w:lang w:val="en-US" w:eastAsia="zh-CN" w:bidi="ar-SA"/>
              </w:rPr>
            </w:pPr>
            <w:r>
              <w:rPr>
                <w:color w:val="auto"/>
              </w:rPr>
              <w:drawing>
                <wp:inline distT="0" distB="0" distL="114300" distR="114300">
                  <wp:extent cx="1003300" cy="1323975"/>
                  <wp:effectExtent l="0" t="0" r="6350" b="9525"/>
                  <wp:docPr id="13"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6"/>
                          <pic:cNvPicPr>
                            <a:picLocks noChangeAspect="1"/>
                          </pic:cNvPicPr>
                        </pic:nvPicPr>
                        <pic:blipFill>
                          <a:blip r:embed="rId11"/>
                          <a:stretch>
                            <a:fillRect/>
                          </a:stretch>
                        </pic:blipFill>
                        <pic:spPr>
                          <a:xfrm>
                            <a:off x="0" y="0"/>
                            <a:ext cx="1003300" cy="1323975"/>
                          </a:xfrm>
                          <a:prstGeom prst="rect">
                            <a:avLst/>
                          </a:prstGeom>
                          <a:noFill/>
                          <a:ln w="9525">
                            <a:noFill/>
                          </a:ln>
                        </pic:spPr>
                      </pic:pic>
                    </a:graphicData>
                  </a:graphic>
                </wp:inline>
              </w:drawing>
            </w:r>
          </w:p>
        </w:tc>
        <w:tc>
          <w:tcPr>
            <w:tcW w:w="1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highlight w:val="none"/>
                <w:u w:val="none"/>
                <w:lang w:val="en-US" w:eastAsia="zh-CN" w:bidi="ar"/>
              </w:rPr>
              <w:t>900W*400D*1850H</w:t>
            </w:r>
          </w:p>
        </w:tc>
        <w:tc>
          <w:tcPr>
            <w:tcW w:w="5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1000</w:t>
            </w:r>
          </w:p>
        </w:tc>
        <w:tc>
          <w:tcPr>
            <w:tcW w:w="3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28</w:t>
            </w:r>
          </w:p>
        </w:tc>
        <w:tc>
          <w:tcPr>
            <w:tcW w:w="350"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62" w:hRule="atLeast"/>
        </w:trPr>
        <w:tc>
          <w:tcPr>
            <w:tcW w:w="3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微软雅黑" w:hAnsi="微软雅黑" w:eastAsia="微软雅黑" w:cs="微软雅黑"/>
                <w:b/>
                <w:bCs/>
                <w:i w:val="0"/>
                <w:iCs w:val="0"/>
                <w:color w:val="auto"/>
                <w:kern w:val="0"/>
                <w:sz w:val="20"/>
                <w:szCs w:val="20"/>
                <w:u w:val="none"/>
                <w:lang w:val="en-US" w:eastAsia="zh-CN" w:bidi="ar"/>
              </w:rPr>
              <w:t>8</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文件柜2</w:t>
            </w:r>
          </w:p>
        </w:tc>
        <w:tc>
          <w:tcPr>
            <w:tcW w:w="1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left"/>
              <w:textAlignment w:val="center"/>
              <w:rPr>
                <w:rFonts w:hint="eastAsia" w:ascii="宋体" w:hAnsi="宋体" w:eastAsia="宋体" w:cs="宋体"/>
                <w:i w:val="0"/>
                <w:iCs w:val="0"/>
                <w:color w:val="auto"/>
                <w:kern w:val="0"/>
                <w:sz w:val="22"/>
                <w:szCs w:val="22"/>
                <w:u w:val="none"/>
                <w:lang w:val="en-US" w:eastAsia="zh-CN" w:bidi="ar"/>
              </w:rPr>
            </w:pPr>
            <w:r>
              <w:rPr>
                <w:color w:val="auto"/>
              </w:rPr>
              <w:drawing>
                <wp:inline distT="0" distB="0" distL="114300" distR="114300">
                  <wp:extent cx="1014730" cy="1760855"/>
                  <wp:effectExtent l="0" t="0" r="6350" b="698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2"/>
                          <a:stretch>
                            <a:fillRect/>
                          </a:stretch>
                        </pic:blipFill>
                        <pic:spPr>
                          <a:xfrm>
                            <a:off x="0" y="0"/>
                            <a:ext cx="1014730" cy="1760855"/>
                          </a:xfrm>
                          <a:prstGeom prst="rect">
                            <a:avLst/>
                          </a:prstGeom>
                          <a:noFill/>
                          <a:ln>
                            <a:noFill/>
                          </a:ln>
                        </pic:spPr>
                      </pic:pic>
                    </a:graphicData>
                  </a:graphic>
                </wp:inline>
              </w:drawing>
            </w:r>
          </w:p>
          <w:p>
            <w:pPr>
              <w:keepNext w:val="0"/>
              <w:keepLines w:val="0"/>
              <w:pageBreakBefore w:val="0"/>
              <w:widowControl/>
              <w:suppressLineNumbers w:val="0"/>
              <w:kinsoku/>
              <w:wordWrap/>
              <w:topLinePunct w:val="0"/>
              <w:bidi w:val="0"/>
              <w:spacing w:line="360" w:lineRule="auto"/>
              <w:jc w:val="left"/>
              <w:textAlignment w:val="center"/>
              <w:rPr>
                <w:rFonts w:hint="eastAsia" w:ascii="宋体" w:hAnsi="宋体" w:eastAsia="宋体" w:cs="宋体"/>
                <w:i w:val="0"/>
                <w:iCs w:val="0"/>
                <w:color w:val="auto"/>
                <w:kern w:val="0"/>
                <w:sz w:val="22"/>
                <w:szCs w:val="22"/>
                <w:u w:val="none"/>
                <w:lang w:val="en-US" w:eastAsia="zh-CN" w:bidi="ar"/>
              </w:rPr>
            </w:pPr>
          </w:p>
        </w:tc>
        <w:tc>
          <w:tcPr>
            <w:tcW w:w="13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900W*400D*1850H</w:t>
            </w:r>
          </w:p>
        </w:tc>
        <w:tc>
          <w:tcPr>
            <w:tcW w:w="5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微软雅黑" w:hAnsi="微软雅黑" w:eastAsia="微软雅黑" w:cs="微软雅黑"/>
                <w:b/>
                <w:bCs/>
                <w:i w:val="0"/>
                <w:iCs w:val="0"/>
                <w:color w:val="auto"/>
                <w:kern w:val="0"/>
                <w:sz w:val="20"/>
                <w:szCs w:val="20"/>
                <w:u w:val="none"/>
                <w:lang w:val="en-US" w:eastAsia="zh-CN" w:bidi="ar"/>
              </w:rPr>
            </w:pPr>
            <w:r>
              <w:rPr>
                <w:rFonts w:hint="eastAsia" w:ascii="微软雅黑" w:hAnsi="微软雅黑" w:eastAsia="微软雅黑" w:cs="微软雅黑"/>
                <w:b/>
                <w:bCs/>
                <w:i w:val="0"/>
                <w:iCs w:val="0"/>
                <w:color w:val="auto"/>
                <w:kern w:val="0"/>
                <w:sz w:val="20"/>
                <w:szCs w:val="20"/>
                <w:u w:val="none"/>
                <w:lang w:val="en-US" w:eastAsia="zh-CN" w:bidi="ar"/>
              </w:rPr>
              <w:t>1000</w:t>
            </w:r>
          </w:p>
        </w:tc>
        <w:tc>
          <w:tcPr>
            <w:tcW w:w="3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2</w:t>
            </w:r>
          </w:p>
        </w:tc>
        <w:tc>
          <w:tcPr>
            <w:tcW w:w="350"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微软雅黑" w:hAnsi="微软雅黑" w:eastAsia="微软雅黑" w:cs="微软雅黑"/>
                <w:b/>
                <w:bCs/>
                <w:i w:val="0"/>
                <w:iCs w:val="0"/>
                <w:color w:val="auto"/>
                <w:kern w:val="0"/>
                <w:sz w:val="20"/>
                <w:szCs w:val="20"/>
                <w:u w:val="none"/>
                <w:lang w:val="en-US" w:eastAsia="zh-CN" w:bidi="ar"/>
              </w:rPr>
              <w:t>套</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cs="宋体"/>
          <w:b/>
          <w:bCs/>
          <w:color w:val="auto"/>
          <w:sz w:val="21"/>
          <w:szCs w:val="21"/>
          <w:lang w:eastAsia="zh-CN" w:bidi="ar-SA"/>
        </w:rPr>
      </w:pPr>
      <w:r>
        <w:rPr>
          <w:rFonts w:hint="eastAsia" w:ascii="宋体" w:eastAsia="宋体" w:cs="宋体"/>
          <w:b/>
          <w:bCs/>
          <w:color w:val="auto"/>
          <w:kern w:val="0"/>
          <w:sz w:val="21"/>
          <w:szCs w:val="21"/>
          <w:lang w:val="en-US" w:eastAsia="zh-CN" w:bidi="ar-SA"/>
        </w:rPr>
        <w:t>注：</w:t>
      </w:r>
      <w:r>
        <w:rPr>
          <w:rFonts w:hint="eastAsia" w:cs="宋体"/>
          <w:b/>
          <w:bCs/>
          <w:color w:val="auto"/>
          <w:sz w:val="21"/>
          <w:szCs w:val="21"/>
          <w:lang w:val="en-US" w:eastAsia="zh-CN" w:bidi="ar-SA"/>
        </w:rPr>
        <w:t>1、</w:t>
      </w:r>
      <w:r>
        <w:rPr>
          <w:rFonts w:hint="eastAsia" w:ascii="宋体" w:cs="宋体"/>
          <w:b/>
          <w:bCs/>
          <w:color w:val="auto"/>
          <w:sz w:val="21"/>
          <w:szCs w:val="21"/>
          <w:lang w:eastAsia="zh-CN" w:bidi="ar-SA"/>
        </w:rPr>
        <w:t>以</w:t>
      </w:r>
      <w:r>
        <w:rPr>
          <w:rFonts w:hint="eastAsia" w:ascii="宋体" w:cs="宋体"/>
          <w:b/>
          <w:bCs/>
          <w:color w:val="auto"/>
          <w:sz w:val="21"/>
          <w:szCs w:val="21"/>
          <w:lang w:val="en-US" w:eastAsia="zh-CN" w:bidi="ar-SA"/>
        </w:rPr>
        <w:t>上</w:t>
      </w:r>
      <w:r>
        <w:rPr>
          <w:rFonts w:hint="eastAsia" w:ascii="宋体" w:cs="宋体"/>
          <w:b/>
          <w:bCs/>
          <w:color w:val="auto"/>
          <w:sz w:val="21"/>
          <w:szCs w:val="21"/>
          <w:lang w:eastAsia="zh-CN" w:bidi="ar-SA"/>
        </w:rPr>
        <w:t>尺寸、规格未明确范围值的，允</w:t>
      </w:r>
      <w:r>
        <w:rPr>
          <w:rFonts w:hint="eastAsia" w:ascii="宋体" w:cs="宋体"/>
          <w:b/>
          <w:bCs/>
          <w:color w:val="auto"/>
          <w:sz w:val="21"/>
          <w:szCs w:val="21"/>
          <w:highlight w:val="none"/>
          <w:lang w:eastAsia="zh-CN" w:bidi="ar-SA"/>
        </w:rPr>
        <w:t>许±</w:t>
      </w:r>
      <w:r>
        <w:rPr>
          <w:rFonts w:hint="eastAsia" w:cs="宋体"/>
          <w:b/>
          <w:bCs/>
          <w:color w:val="auto"/>
          <w:sz w:val="21"/>
          <w:szCs w:val="21"/>
          <w:highlight w:val="none"/>
          <w:lang w:val="en-US" w:eastAsia="zh-CN" w:bidi="ar-SA"/>
        </w:rPr>
        <w:t>2</w:t>
      </w:r>
      <w:r>
        <w:rPr>
          <w:rFonts w:hint="eastAsia" w:ascii="宋体" w:cs="宋体"/>
          <w:b/>
          <w:bCs/>
          <w:color w:val="auto"/>
          <w:sz w:val="21"/>
          <w:szCs w:val="21"/>
          <w:highlight w:val="none"/>
          <w:lang w:val="en-US" w:eastAsia="zh-CN" w:bidi="ar-SA"/>
        </w:rPr>
        <w:t>%</w:t>
      </w:r>
      <w:r>
        <w:rPr>
          <w:rFonts w:hint="eastAsia" w:ascii="宋体" w:cs="宋体"/>
          <w:b/>
          <w:bCs/>
          <w:color w:val="auto"/>
          <w:sz w:val="21"/>
          <w:szCs w:val="21"/>
          <w:highlight w:val="none"/>
          <w:lang w:eastAsia="zh-CN" w:bidi="ar-SA"/>
        </w:rPr>
        <w:t>范围</w:t>
      </w:r>
      <w:r>
        <w:rPr>
          <w:rFonts w:hint="eastAsia" w:ascii="宋体" w:cs="宋体"/>
          <w:b/>
          <w:bCs/>
          <w:color w:val="auto"/>
          <w:sz w:val="21"/>
          <w:szCs w:val="21"/>
          <w:lang w:eastAsia="zh-CN" w:bidi="ar-SA"/>
        </w:rPr>
        <w:t>内偏离。</w:t>
      </w:r>
    </w:p>
    <w:p>
      <w:pPr>
        <w:pStyle w:val="11"/>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宋体" w:cs="宋体"/>
          <w:b/>
          <w:bCs/>
          <w:color w:val="auto"/>
          <w:sz w:val="21"/>
          <w:szCs w:val="21"/>
          <w:lang w:val="en-US" w:eastAsia="zh-CN" w:bidi="ar-SA"/>
        </w:rPr>
      </w:pPr>
      <w:r>
        <w:rPr>
          <w:rFonts w:hint="eastAsia" w:ascii="宋体" w:cs="宋体"/>
          <w:b/>
          <w:bCs/>
          <w:color w:val="auto"/>
          <w:sz w:val="21"/>
          <w:szCs w:val="21"/>
          <w:lang w:val="en-US" w:eastAsia="zh-CN" w:bidi="ar-SA"/>
        </w:rPr>
        <w:t>报价人需根据以上清单进行分项报价，并应列明制造商、品牌、型号、单价、总价，否则按无效</w:t>
      </w:r>
      <w:r>
        <w:rPr>
          <w:rFonts w:hint="eastAsia" w:cs="宋体"/>
          <w:b/>
          <w:bCs/>
          <w:color w:val="auto"/>
          <w:sz w:val="21"/>
          <w:szCs w:val="21"/>
          <w:lang w:val="en-US" w:eastAsia="zh-CN" w:bidi="ar-SA"/>
        </w:rPr>
        <w:t>报价</w:t>
      </w:r>
      <w:r>
        <w:rPr>
          <w:rFonts w:hint="eastAsia" w:ascii="宋体" w:cs="宋体"/>
          <w:b/>
          <w:bCs/>
          <w:color w:val="auto"/>
          <w:sz w:val="21"/>
          <w:szCs w:val="21"/>
          <w:lang w:val="en-US" w:eastAsia="zh-CN" w:bidi="ar-SA"/>
        </w:rPr>
        <w:t>处理。</w:t>
      </w:r>
    </w:p>
    <w:p>
      <w:pPr>
        <w:pStyle w:val="11"/>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宋体" w:cs="宋体"/>
          <w:b/>
          <w:bCs/>
          <w:color w:val="auto"/>
          <w:sz w:val="21"/>
          <w:szCs w:val="21"/>
          <w:highlight w:val="none"/>
          <w:lang w:val="en-US" w:eastAsia="zh-CN" w:bidi="ar-SA"/>
        </w:rPr>
      </w:pPr>
      <w:r>
        <w:rPr>
          <w:rFonts w:hint="eastAsia" w:cs="宋体"/>
          <w:b/>
          <w:bCs/>
          <w:color w:val="auto"/>
          <w:sz w:val="21"/>
          <w:szCs w:val="21"/>
          <w:highlight w:val="none"/>
          <w:lang w:val="en-US" w:eastAsia="zh-CN" w:bidi="ar-SA"/>
        </w:rPr>
        <w:t>会议桌</w:t>
      </w:r>
      <w:r>
        <w:rPr>
          <w:rFonts w:hint="eastAsia" w:ascii="宋体" w:cs="宋体"/>
          <w:b/>
          <w:bCs/>
          <w:color w:val="auto"/>
          <w:sz w:val="21"/>
          <w:szCs w:val="21"/>
          <w:highlight w:val="none"/>
          <w:lang w:val="en-US" w:eastAsia="zh-CN" w:bidi="ar-SA"/>
        </w:rPr>
        <w:t>须</w:t>
      </w:r>
      <w:r>
        <w:rPr>
          <w:rFonts w:hint="eastAsia" w:cs="宋体"/>
          <w:b/>
          <w:bCs/>
          <w:color w:val="auto"/>
          <w:sz w:val="21"/>
          <w:szCs w:val="21"/>
          <w:highlight w:val="none"/>
          <w:lang w:val="en-US" w:eastAsia="zh-CN" w:bidi="ar-SA"/>
        </w:rPr>
        <w:t>生产</w:t>
      </w:r>
      <w:r>
        <w:rPr>
          <w:rFonts w:hint="eastAsia" w:ascii="宋体" w:cs="宋体"/>
          <w:b/>
          <w:bCs/>
          <w:color w:val="auto"/>
          <w:sz w:val="21"/>
          <w:szCs w:val="21"/>
          <w:highlight w:val="none"/>
          <w:lang w:val="en-US" w:eastAsia="zh-CN" w:bidi="ar-SA"/>
        </w:rPr>
        <w:t>厂家配合</w:t>
      </w:r>
      <w:r>
        <w:rPr>
          <w:rFonts w:hint="eastAsia" w:cs="宋体"/>
          <w:b/>
          <w:bCs/>
          <w:color w:val="auto"/>
          <w:sz w:val="21"/>
          <w:szCs w:val="21"/>
          <w:highlight w:val="none"/>
          <w:lang w:val="en-US" w:eastAsia="zh-CN" w:bidi="ar-SA"/>
        </w:rPr>
        <w:t>进行挖孔开口，满足</w:t>
      </w:r>
      <w:r>
        <w:rPr>
          <w:rFonts w:hint="eastAsia" w:ascii="宋体" w:cs="宋体"/>
          <w:b/>
          <w:bCs/>
          <w:color w:val="auto"/>
          <w:sz w:val="21"/>
          <w:szCs w:val="21"/>
          <w:highlight w:val="none"/>
          <w:lang w:val="en-US" w:eastAsia="zh-CN" w:bidi="ar-SA"/>
        </w:rPr>
        <w:t>无纸化办公</w:t>
      </w:r>
      <w:r>
        <w:rPr>
          <w:rFonts w:hint="eastAsia" w:cs="宋体"/>
          <w:b/>
          <w:bCs/>
          <w:color w:val="auto"/>
          <w:sz w:val="21"/>
          <w:szCs w:val="21"/>
          <w:highlight w:val="none"/>
          <w:lang w:val="en-US" w:eastAsia="zh-CN" w:bidi="ar-SA"/>
        </w:rPr>
        <w:t>会议需要(共计12个开口，口径尺寸约55*6cm)。</w:t>
      </w:r>
    </w:p>
    <w:p>
      <w:pPr>
        <w:pStyle w:val="11"/>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left"/>
        <w:textAlignment w:val="auto"/>
        <w:rPr>
          <w:rFonts w:hint="eastAsia" w:ascii="宋体" w:cs="宋体"/>
          <w:b/>
          <w:bCs/>
          <w:color w:val="auto"/>
          <w:sz w:val="21"/>
          <w:szCs w:val="21"/>
          <w:highlight w:val="none"/>
          <w:lang w:val="en-US" w:eastAsia="zh-CN" w:bidi="ar-SA"/>
        </w:rPr>
      </w:pPr>
      <w:r>
        <w:rPr>
          <w:rFonts w:hint="eastAsia" w:cs="宋体"/>
          <w:b/>
          <w:bCs/>
          <w:color w:val="auto"/>
          <w:sz w:val="21"/>
          <w:szCs w:val="21"/>
          <w:highlight w:val="none"/>
          <w:lang w:val="en-US" w:eastAsia="zh-CN" w:bidi="ar-SA"/>
        </w:rPr>
        <w:t>文件柜1至少含有5层隔板，文件柜2至少需含有8层隔板，隔板可调节。</w:t>
      </w:r>
    </w:p>
    <w:p>
      <w:pPr>
        <w:pStyle w:val="11"/>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宋体" w:cs="宋体"/>
          <w:b/>
          <w:bCs/>
          <w:color w:val="auto"/>
          <w:sz w:val="21"/>
          <w:szCs w:val="21"/>
          <w:lang w:val="en-US" w:eastAsia="zh-CN" w:bidi="ar-SA"/>
        </w:rPr>
      </w:pPr>
      <w:r>
        <w:rPr>
          <w:rFonts w:hint="eastAsia" w:ascii="Times New Roman" w:hAnsi="Times New Roman" w:cs="Times New Roman"/>
          <w:color w:val="auto"/>
          <w:sz w:val="24"/>
          <w:szCs w:val="24"/>
          <w:lang w:eastAsia="zh-CN"/>
        </w:rPr>
        <w:br w:type="page"/>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textAlignment w:val="auto"/>
        <w:rPr>
          <w:rFonts w:hint="eastAsia" w:eastAsia="宋体"/>
          <w:color w:val="auto"/>
          <w:sz w:val="24"/>
          <w:szCs w:val="24"/>
          <w:lang w:eastAsia="zh-CN"/>
        </w:rPr>
      </w:pPr>
      <w:r>
        <w:rPr>
          <w:rFonts w:hint="eastAsia" w:cs="宋体"/>
          <w:b/>
          <w:color w:val="auto"/>
          <w:sz w:val="24"/>
          <w:szCs w:val="24"/>
          <w:lang w:eastAsia="zh-CN" w:bidi="ar-SA"/>
        </w:rPr>
        <w:t>（</w:t>
      </w:r>
      <w:r>
        <w:rPr>
          <w:rFonts w:hint="eastAsia" w:ascii="宋体" w:cs="宋体"/>
          <w:b/>
          <w:color w:val="auto"/>
          <w:sz w:val="24"/>
          <w:szCs w:val="24"/>
          <w:lang w:bidi="ar-SA"/>
        </w:rPr>
        <w:t>三</w:t>
      </w:r>
      <w:r>
        <w:rPr>
          <w:rFonts w:hint="eastAsia" w:cs="宋体"/>
          <w:b/>
          <w:color w:val="auto"/>
          <w:sz w:val="24"/>
          <w:szCs w:val="24"/>
          <w:lang w:eastAsia="zh-CN" w:bidi="ar-SA"/>
        </w:rPr>
        <w:t>）技术要求（评分标准）</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602" w:firstLineChars="200"/>
        <w:jc w:val="center"/>
        <w:textAlignment w:val="auto"/>
        <w:rPr>
          <w:rFonts w:hint="default" w:ascii="宋体" w:hAnsi="宋体" w:eastAsia="宋体" w:cs="宋体"/>
          <w:b/>
          <w:bCs/>
          <w:color w:val="auto"/>
          <w:kern w:val="0"/>
          <w:sz w:val="30"/>
          <w:szCs w:val="30"/>
          <w:lang w:val="en-US" w:eastAsia="zh-CN" w:bidi="ar-SA"/>
        </w:rPr>
      </w:pP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b/>
          <w:bCs/>
          <w:color w:val="auto"/>
          <w:sz w:val="24"/>
          <w:szCs w:val="24"/>
        </w:rPr>
      </w:pPr>
      <w:r>
        <w:rPr>
          <w:rFonts w:hint="eastAsia" w:ascii="宋体" w:hAnsi="宋体" w:eastAsia="宋体" w:cs="宋体"/>
          <w:b/>
          <w:bCs/>
          <w:color w:val="auto"/>
          <w:kern w:val="0"/>
          <w:sz w:val="24"/>
          <w:szCs w:val="24"/>
          <w:lang w:val="en-US" w:eastAsia="zh-CN" w:bidi="ar-SA"/>
        </w:rPr>
        <w:t>▲</w:t>
      </w:r>
      <w:r>
        <w:rPr>
          <w:rStyle w:val="16"/>
          <w:rFonts w:hint="eastAsia" w:ascii="宋体" w:hAnsi="宋体" w:eastAsia="宋体" w:cs="宋体"/>
          <w:b/>
          <w:bCs/>
          <w:color w:val="auto"/>
          <w:sz w:val="24"/>
          <w:szCs w:val="24"/>
          <w:lang w:val="en-US" w:eastAsia="zh-CN"/>
        </w:rPr>
        <w:t>1</w:t>
      </w:r>
      <w:r>
        <w:rPr>
          <w:rStyle w:val="16"/>
          <w:rFonts w:hint="eastAsia" w:ascii="宋体" w:hAnsi="宋体" w:eastAsia="宋体" w:cs="宋体"/>
          <w:b/>
          <w:bCs/>
          <w:color w:val="auto"/>
          <w:sz w:val="24"/>
          <w:szCs w:val="24"/>
        </w:rPr>
        <w:t>、会议桌：</w:t>
      </w:r>
      <w:r>
        <w:rPr>
          <w:rFonts w:hint="eastAsia" w:ascii="宋体" w:hAnsi="宋体" w:eastAsia="宋体" w:cs="宋体"/>
          <w:color w:val="auto"/>
          <w:sz w:val="24"/>
          <w:szCs w:val="24"/>
        </w:rPr>
        <w:t>饰面胡桃木皮贴面，胡桃木色；</w:t>
      </w:r>
      <w:r>
        <w:rPr>
          <w:rFonts w:hint="eastAsia" w:hAnsi="宋体" w:cs="宋体"/>
          <w:color w:val="auto"/>
          <w:sz w:val="24"/>
          <w:szCs w:val="24"/>
          <w:lang w:val="en-US" w:eastAsia="zh-CN"/>
        </w:rPr>
        <w:t>基材采用优质中密度纤维板及以上材质</w:t>
      </w:r>
      <w:r>
        <w:rPr>
          <w:rFonts w:hint="eastAsia" w:ascii="宋体" w:hAnsi="宋体" w:eastAsia="宋体" w:cs="宋体"/>
          <w:color w:val="auto"/>
          <w:sz w:val="24"/>
          <w:szCs w:val="24"/>
        </w:rPr>
        <w:t>；油漆采用亚光环保聚脂漆；台面光亮平整，油漆无颗粒、气泡、渣点，颜色均匀；面板木纹纹理自然，颜色线条拼合细密；整体五金配件紧密拼接，封边细腻，线条均匀，转角过渡自然，间隙细小且均等</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依据</w:t>
      </w:r>
      <w:r>
        <w:rPr>
          <w:rFonts w:hint="eastAsia" w:ascii="宋体" w:hAnsi="宋体" w:eastAsia="宋体" w:cs="宋体"/>
          <w:color w:val="auto"/>
          <w:sz w:val="24"/>
          <w:szCs w:val="24"/>
        </w:rPr>
        <w:t>GB/T 35607-2017《绿色产品评价 家具》</w:t>
      </w:r>
      <w:r>
        <w:rPr>
          <w:rFonts w:hint="eastAsia" w:hAnsi="宋体" w:cs="宋体"/>
          <w:color w:val="auto"/>
          <w:sz w:val="24"/>
          <w:szCs w:val="24"/>
          <w:lang w:eastAsia="zh-CN"/>
        </w:rPr>
        <w:t>、</w:t>
      </w:r>
      <w:r>
        <w:rPr>
          <w:rFonts w:hint="eastAsia" w:ascii="宋体" w:hAnsi="宋体" w:eastAsia="宋体" w:cs="宋体"/>
          <w:color w:val="auto"/>
          <w:sz w:val="24"/>
          <w:szCs w:val="24"/>
        </w:rPr>
        <w:t>GB/T 3324-2017《木家具通用技术条件》</w:t>
      </w:r>
      <w:r>
        <w:rPr>
          <w:rFonts w:hint="eastAsia" w:hAnsi="宋体" w:cs="宋体"/>
          <w:color w:val="auto"/>
          <w:sz w:val="24"/>
          <w:szCs w:val="24"/>
          <w:lang w:eastAsia="zh-CN"/>
        </w:rPr>
        <w:t>、</w:t>
      </w:r>
      <w:r>
        <w:rPr>
          <w:rFonts w:hint="eastAsia" w:ascii="宋体" w:hAnsi="宋体" w:eastAsia="宋体" w:cs="宋体"/>
          <w:color w:val="auto"/>
          <w:sz w:val="24"/>
          <w:szCs w:val="24"/>
        </w:rPr>
        <w:t>GB 18584-2001《室内装饰装修材料木家具中有害物质限量》</w:t>
      </w:r>
      <w:r>
        <w:rPr>
          <w:rFonts w:hint="eastAsia" w:hAnsi="宋体" w:cs="宋体"/>
          <w:color w:val="auto"/>
          <w:sz w:val="24"/>
          <w:szCs w:val="24"/>
          <w:lang w:val="en-US" w:eastAsia="zh-CN"/>
        </w:rPr>
        <w:t>检验标准,经检验产品以下参数均应符合标准：</w:t>
      </w:r>
      <w:r>
        <w:rPr>
          <w:rFonts w:hint="eastAsia" w:ascii="宋体" w:hAnsi="宋体" w:eastAsia="宋体" w:cs="宋体"/>
          <w:color w:val="auto"/>
          <w:sz w:val="24"/>
          <w:szCs w:val="24"/>
        </w:rPr>
        <w:t>主要尺寸及其偏差</w:t>
      </w:r>
      <w:r>
        <w:rPr>
          <w:rFonts w:hint="eastAsia" w:hAnsi="宋体" w:cs="宋体"/>
          <w:color w:val="auto"/>
          <w:sz w:val="24"/>
          <w:szCs w:val="24"/>
          <w:lang w:eastAsia="zh-CN"/>
        </w:rPr>
        <w:t>，</w:t>
      </w:r>
      <w:r>
        <w:rPr>
          <w:rFonts w:hint="eastAsia" w:ascii="宋体" w:hAnsi="宋体" w:eastAsia="宋体" w:cs="宋体"/>
          <w:color w:val="auto"/>
          <w:sz w:val="24"/>
          <w:szCs w:val="24"/>
        </w:rPr>
        <w:t>形状和位置公差</w:t>
      </w:r>
      <w:r>
        <w:rPr>
          <w:rFonts w:hint="eastAsia" w:hAnsi="宋体" w:cs="宋体"/>
          <w:color w:val="auto"/>
          <w:sz w:val="24"/>
          <w:szCs w:val="24"/>
          <w:lang w:eastAsia="zh-CN"/>
        </w:rPr>
        <w:t>，</w:t>
      </w:r>
      <w:r>
        <w:rPr>
          <w:rFonts w:hint="eastAsia" w:ascii="宋体" w:hAnsi="宋体" w:eastAsia="宋体" w:cs="宋体"/>
          <w:color w:val="auto"/>
          <w:sz w:val="24"/>
          <w:szCs w:val="24"/>
        </w:rPr>
        <w:t>材料要求</w:t>
      </w:r>
      <w:r>
        <w:rPr>
          <w:rFonts w:hint="eastAsia" w:hAnsi="宋体" w:cs="宋体"/>
          <w:color w:val="auto"/>
          <w:sz w:val="24"/>
          <w:szCs w:val="24"/>
          <w:lang w:eastAsia="zh-CN"/>
        </w:rPr>
        <w:t>，</w:t>
      </w:r>
      <w:r>
        <w:rPr>
          <w:rFonts w:hint="eastAsia" w:ascii="宋体" w:hAnsi="宋体" w:eastAsia="宋体" w:cs="宋体"/>
          <w:color w:val="auto"/>
          <w:sz w:val="24"/>
          <w:szCs w:val="24"/>
        </w:rPr>
        <w:t>外观要求</w:t>
      </w:r>
      <w:r>
        <w:rPr>
          <w:rFonts w:hint="eastAsia" w:hAnsi="宋体" w:cs="宋体"/>
          <w:color w:val="auto"/>
          <w:sz w:val="24"/>
          <w:szCs w:val="24"/>
          <w:lang w:eastAsia="zh-CN"/>
        </w:rPr>
        <w:t>，</w:t>
      </w:r>
      <w:r>
        <w:rPr>
          <w:rFonts w:hint="eastAsia" w:ascii="宋体" w:hAnsi="宋体" w:eastAsia="宋体" w:cs="宋体"/>
          <w:color w:val="auto"/>
          <w:sz w:val="24"/>
          <w:szCs w:val="24"/>
        </w:rPr>
        <w:t>表面理化性能要求</w:t>
      </w:r>
      <w:r>
        <w:rPr>
          <w:rFonts w:hint="eastAsia" w:hAnsi="宋体" w:cs="宋体"/>
          <w:color w:val="auto"/>
          <w:sz w:val="24"/>
          <w:szCs w:val="24"/>
          <w:lang w:eastAsia="zh-CN"/>
        </w:rPr>
        <w:t>，</w:t>
      </w:r>
      <w:r>
        <w:rPr>
          <w:rFonts w:hint="eastAsia" w:ascii="宋体" w:hAnsi="宋体" w:eastAsia="宋体" w:cs="宋体"/>
          <w:color w:val="auto"/>
          <w:sz w:val="24"/>
          <w:szCs w:val="24"/>
        </w:rPr>
        <w:t>力学性能要求，安全性要求</w:t>
      </w:r>
      <w:r>
        <w:rPr>
          <w:rFonts w:hint="eastAsia" w:hAnsi="宋体" w:cs="宋体"/>
          <w:color w:val="auto"/>
          <w:sz w:val="24"/>
          <w:szCs w:val="24"/>
          <w:lang w:val="en-US" w:eastAsia="zh-CN"/>
        </w:rPr>
        <w:t>(</w:t>
      </w:r>
      <w:r>
        <w:rPr>
          <w:rFonts w:hint="eastAsia" w:ascii="宋体" w:hAnsi="宋体" w:eastAsia="宋体" w:cs="宋体"/>
          <w:color w:val="auto"/>
          <w:sz w:val="24"/>
          <w:szCs w:val="24"/>
        </w:rPr>
        <w:t>结构安全性、产品有害物质限量/甲醛释放量</w:t>
      </w:r>
      <w:r>
        <w:rPr>
          <w:rFonts w:hint="eastAsia" w:hAnsi="宋体" w:cs="宋体"/>
          <w:color w:val="auto"/>
          <w:sz w:val="24"/>
          <w:szCs w:val="24"/>
          <w:lang w:val="en-US" w:eastAsia="zh-CN"/>
        </w:rPr>
        <w:t>)</w:t>
      </w:r>
      <w:r>
        <w:rPr>
          <w:rFonts w:hint="eastAsia" w:hAnsi="宋体" w:cs="宋体"/>
          <w:color w:val="auto"/>
          <w:sz w:val="24"/>
          <w:szCs w:val="24"/>
          <w:lang w:eastAsia="zh-CN"/>
        </w:rPr>
        <w:t>，</w:t>
      </w:r>
      <w:r>
        <w:rPr>
          <w:rFonts w:hint="eastAsia" w:ascii="宋体" w:hAnsi="宋体" w:eastAsia="宋体" w:cs="宋体"/>
          <w:color w:val="auto"/>
          <w:sz w:val="24"/>
          <w:szCs w:val="24"/>
        </w:rPr>
        <w:t>品质属性</w:t>
      </w:r>
      <w:r>
        <w:rPr>
          <w:rFonts w:hint="eastAsia" w:hAnsi="宋体" w:cs="宋体"/>
          <w:color w:val="auto"/>
          <w:sz w:val="24"/>
          <w:szCs w:val="24"/>
          <w:lang w:val="en-US" w:eastAsia="zh-CN"/>
        </w:rPr>
        <w:t>(</w:t>
      </w:r>
      <w:r>
        <w:rPr>
          <w:rFonts w:hint="eastAsia" w:ascii="宋体" w:hAnsi="宋体" w:eastAsia="宋体" w:cs="宋体"/>
          <w:color w:val="auto"/>
          <w:sz w:val="24"/>
          <w:szCs w:val="24"/>
        </w:rPr>
        <w:t>甲醛释放量、苯、甲苯、二甲苯、总挥发性有机化合物(TVOC)</w:t>
      </w:r>
      <w:r>
        <w:rPr>
          <w:rFonts w:hint="eastAsia" w:hAnsi="宋体" w:cs="宋体"/>
          <w:color w:val="auto"/>
          <w:sz w:val="24"/>
          <w:szCs w:val="24"/>
          <w:lang w:val="en-US" w:eastAsia="zh-CN"/>
        </w:rPr>
        <w:t>均为未检出)。</w:t>
      </w:r>
      <w:r>
        <w:rPr>
          <w:rFonts w:hint="eastAsia" w:ascii="宋体" w:hAnsi="宋体" w:eastAsia="宋体" w:cs="宋体"/>
          <w:b/>
          <w:bCs/>
          <w:color w:val="auto"/>
          <w:sz w:val="24"/>
          <w:szCs w:val="24"/>
        </w:rPr>
        <w:t>所检项目符合标准要求</w:t>
      </w:r>
      <w:r>
        <w:rPr>
          <w:rFonts w:hint="eastAsia" w:hAnsi="宋体" w:cs="宋体"/>
          <w:b/>
          <w:bCs/>
          <w:color w:val="auto"/>
          <w:sz w:val="24"/>
          <w:szCs w:val="24"/>
          <w:lang w:val="en-US" w:eastAsia="zh-CN"/>
        </w:rPr>
        <w:t>并提供相应检验报告佐证</w:t>
      </w:r>
      <w:r>
        <w:rPr>
          <w:rFonts w:hint="eastAsia" w:ascii="宋体" w:hAnsi="宋体" w:eastAsia="宋体" w:cs="宋体"/>
          <w:b/>
          <w:bCs/>
          <w:color w:val="auto"/>
          <w:sz w:val="24"/>
          <w:szCs w:val="24"/>
        </w:rPr>
        <w:t>。</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964" w:firstLineChars="400"/>
        <w:textAlignment w:val="auto"/>
        <w:rPr>
          <w:rFonts w:hint="eastAsia" w:hAnsi="宋体" w:cs="宋体"/>
          <w:b/>
          <w:bCs/>
          <w:color w:val="auto"/>
          <w:sz w:val="24"/>
          <w:szCs w:val="24"/>
          <w:lang w:val="en-US" w:eastAsia="zh-CN"/>
        </w:rPr>
      </w:pPr>
      <w:r>
        <w:rPr>
          <w:rFonts w:hint="eastAsia" w:ascii="宋体" w:hAnsi="宋体" w:eastAsia="宋体" w:cs="宋体"/>
          <w:b/>
          <w:bCs/>
          <w:color w:val="auto"/>
          <w:kern w:val="0"/>
          <w:sz w:val="24"/>
          <w:szCs w:val="24"/>
          <w:lang w:val="en-US" w:eastAsia="zh-CN" w:bidi="ar-SA"/>
        </w:rPr>
        <w:t>▲1.1、基材：</w:t>
      </w:r>
      <w:r>
        <w:rPr>
          <w:rFonts w:hint="eastAsia" w:hAnsi="宋体" w:cs="宋体"/>
          <w:color w:val="auto"/>
          <w:sz w:val="24"/>
          <w:szCs w:val="24"/>
          <w:lang w:val="en-US" w:eastAsia="zh-CN"/>
        </w:rPr>
        <w:t>采用优质中密度纤维板及以上材质，板材经检验密度、板内密度偏差、含水率。甲醛释放量≤0.025mg/m³、苯≤1μg/m³、甲苯≤10μg/m³、二甲苯≤15μg/m³、总挥发性有机化合物(TVOC)≤100mg/m²。</w:t>
      </w:r>
      <w:r>
        <w:rPr>
          <w:rFonts w:hint="eastAsia" w:hAnsi="宋体" w:cs="宋体"/>
          <w:b/>
          <w:bCs/>
          <w:color w:val="auto"/>
          <w:sz w:val="24"/>
          <w:szCs w:val="24"/>
          <w:lang w:val="en-US" w:eastAsia="zh-CN"/>
        </w:rPr>
        <w:t>所检项目符合以上要求并提供相应检验报告佐证。</w:t>
      </w:r>
    </w:p>
    <w:p>
      <w:pPr>
        <w:keepNext w:val="0"/>
        <w:keepLines w:val="0"/>
        <w:pageBreakBefore w:val="0"/>
        <w:widowControl w:val="0"/>
        <w:kinsoku/>
        <w:wordWrap/>
        <w:overflowPunct/>
        <w:topLinePunct w:val="0"/>
        <w:autoSpaceDE/>
        <w:autoSpaceDN/>
        <w:bidi w:val="0"/>
        <w:adjustRightInd/>
        <w:snapToGrid/>
        <w:spacing w:line="360" w:lineRule="auto"/>
        <w:ind w:firstLine="964" w:firstLineChars="4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1.2、饰面：</w:t>
      </w:r>
      <w:r>
        <w:rPr>
          <w:rFonts w:hint="eastAsia" w:ascii="宋体" w:hAnsi="宋体" w:eastAsia="宋体" w:cs="宋体"/>
          <w:color w:val="auto"/>
          <w:kern w:val="0"/>
          <w:sz w:val="24"/>
          <w:szCs w:val="24"/>
          <w:lang w:val="en-US" w:eastAsia="zh-CN" w:bidi="ar-SA"/>
        </w:rPr>
        <w:t>采用天然实木皮，甲醛释放量(1m³气候箱法)≤ 0.010 mg/m³</w:t>
      </w:r>
      <w:r>
        <w:rPr>
          <w:rFonts w:hint="eastAsia" w:ascii="宋体"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木材含水率8%-12%</w:t>
      </w:r>
      <w:r>
        <w:rPr>
          <w:rFonts w:hint="eastAsia" w:ascii="宋体"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964" w:firstLineChars="400"/>
        <w:textAlignment w:val="auto"/>
        <w:rPr>
          <w:rFonts w:hint="eastAsia" w:ascii="宋体" w:hAnsi="宋体" w:eastAsia="宋体" w:cs="宋体"/>
          <w:b w:val="0"/>
          <w:bCs w:val="0"/>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1.3、封边：</w:t>
      </w:r>
      <w:r>
        <w:rPr>
          <w:rFonts w:hint="eastAsia" w:ascii="宋体" w:hAnsi="宋体" w:eastAsia="宋体" w:cs="宋体"/>
          <w:b w:val="0"/>
          <w:bCs w:val="0"/>
          <w:color w:val="auto"/>
          <w:kern w:val="0"/>
          <w:sz w:val="24"/>
          <w:szCs w:val="24"/>
          <w:lang w:val="en-US" w:eastAsia="zh-CN" w:bidi="ar-SA"/>
        </w:rPr>
        <w:t>采用优质天然实木封边条，含水率≤11%，耐光色牢度≥5级，甲醛释放量未检出，符合QB/T 4463-2013的检测标准。</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843" w:firstLineChars="400"/>
        <w:textAlignment w:val="auto"/>
        <w:rPr>
          <w:rFonts w:hint="eastAsia"/>
          <w:color w:val="auto"/>
          <w:sz w:val="24"/>
          <w:szCs w:val="24"/>
          <w:lang w:val="en-US" w:eastAsia="zh-CN"/>
        </w:rPr>
      </w:pPr>
      <w:r>
        <w:rPr>
          <w:rFonts w:hint="eastAsia" w:ascii="宋体" w:hAnsi="宋体" w:eastAsia="宋体" w:cs="宋体"/>
          <w:b/>
          <w:bCs/>
          <w:color w:val="auto"/>
          <w:sz w:val="21"/>
          <w:szCs w:val="21"/>
          <w:highlight w:val="none"/>
          <w:lang w:val="en-US"/>
        </w:rPr>
        <w:t>★</w:t>
      </w:r>
      <w:r>
        <w:rPr>
          <w:rFonts w:hint="eastAsia" w:ascii="宋体" w:hAnsi="宋体" w:eastAsia="宋体" w:cs="宋体"/>
          <w:b/>
          <w:bCs/>
          <w:color w:val="auto"/>
          <w:kern w:val="0"/>
          <w:sz w:val="24"/>
          <w:szCs w:val="24"/>
          <w:lang w:val="en-US" w:eastAsia="zh-CN" w:bidi="ar-SA"/>
        </w:rPr>
        <w:t>1.4、涂料：</w:t>
      </w:r>
      <w:r>
        <w:rPr>
          <w:rFonts w:hint="eastAsia" w:ascii="宋体" w:hAnsi="宋体" w:eastAsia="宋体" w:cs="宋体"/>
          <w:color w:val="auto"/>
          <w:kern w:val="0"/>
          <w:sz w:val="24"/>
          <w:szCs w:val="24"/>
          <w:lang w:val="en-US" w:eastAsia="zh-CN" w:bidi="ar-SA"/>
        </w:rPr>
        <w:t>采用优质品牌环保水性面漆，经过五底三面油漆工序，木纹纹理清晰，色泽均匀、光滑耐用</w:t>
      </w:r>
      <w:r>
        <w:rPr>
          <w:rFonts w:hint="eastAsia"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水性面漆依据GB 18581-2020《木器涂料中有害物质限量</w:t>
      </w:r>
      <w:r>
        <w:rPr>
          <w:rFonts w:hint="eastAsia" w:hAnsi="宋体" w:cs="宋体"/>
          <w:color w:val="auto"/>
          <w:kern w:val="0"/>
          <w:sz w:val="24"/>
          <w:szCs w:val="24"/>
          <w:lang w:val="en-US" w:eastAsia="zh-CN" w:bidi="ar-SA"/>
        </w:rPr>
        <w:t>标准</w:t>
      </w:r>
      <w:r>
        <w:rPr>
          <w:rFonts w:hint="eastAsia" w:ascii="宋体" w:hAnsi="宋体" w:eastAsia="宋体" w:cs="宋体"/>
          <w:color w:val="auto"/>
          <w:kern w:val="0"/>
          <w:sz w:val="24"/>
          <w:szCs w:val="24"/>
          <w:lang w:val="en-US" w:eastAsia="zh-CN" w:bidi="ar-SA"/>
        </w:rPr>
        <w:t>》</w:t>
      </w:r>
      <w:r>
        <w:rPr>
          <w:rFonts w:hint="eastAsia" w:hAnsi="宋体" w:cs="宋体"/>
          <w:color w:val="auto"/>
          <w:kern w:val="0"/>
          <w:sz w:val="24"/>
          <w:szCs w:val="24"/>
          <w:lang w:val="en-US" w:eastAsia="zh-CN" w:bidi="ar-SA"/>
        </w:rPr>
        <w:t>检验，</w:t>
      </w:r>
      <w:r>
        <w:rPr>
          <w:rFonts w:hint="eastAsia" w:ascii="宋体" w:hAnsi="宋体" w:eastAsia="宋体" w:cs="宋体"/>
          <w:color w:val="auto"/>
          <w:kern w:val="0"/>
          <w:sz w:val="24"/>
          <w:szCs w:val="24"/>
          <w:lang w:val="en-US" w:eastAsia="zh-CN" w:bidi="ar-SA"/>
        </w:rPr>
        <w:t>VOC含量≤</w:t>
      </w:r>
      <w:r>
        <w:rPr>
          <w:rFonts w:hint="eastAsia" w:hAnsi="宋体" w:cs="宋体"/>
          <w:color w:val="auto"/>
          <w:kern w:val="0"/>
          <w:sz w:val="24"/>
          <w:szCs w:val="24"/>
          <w:lang w:val="en-US" w:eastAsia="zh-CN" w:bidi="ar-SA"/>
        </w:rPr>
        <w:t>8</w:t>
      </w:r>
      <w:r>
        <w:rPr>
          <w:rFonts w:hint="eastAsia" w:ascii="宋体" w:hAnsi="宋体" w:eastAsia="宋体" w:cs="宋体"/>
          <w:color w:val="auto"/>
          <w:kern w:val="0"/>
          <w:sz w:val="24"/>
          <w:szCs w:val="24"/>
          <w:lang w:val="en-US" w:eastAsia="zh-CN" w:bidi="ar-SA"/>
        </w:rPr>
        <w:t>g/L</w:t>
      </w:r>
      <w:r>
        <w:rPr>
          <w:rFonts w:hint="eastAsia" w:hAnsi="宋体" w:cs="宋体"/>
          <w:color w:val="auto"/>
          <w:kern w:val="0"/>
          <w:sz w:val="24"/>
          <w:szCs w:val="24"/>
          <w:lang w:val="en-US" w:eastAsia="zh-CN" w:bidi="ar-SA"/>
        </w:rPr>
        <w:t>，甲醛含量未检出，</w:t>
      </w:r>
      <w:r>
        <w:rPr>
          <w:rFonts w:hint="eastAsia" w:ascii="宋体" w:hAnsi="宋体" w:eastAsia="宋体" w:cs="宋体"/>
          <w:color w:val="auto"/>
          <w:kern w:val="0"/>
          <w:sz w:val="24"/>
          <w:szCs w:val="24"/>
          <w:lang w:val="en-US" w:eastAsia="zh-CN" w:bidi="ar-SA"/>
        </w:rPr>
        <w:t>乙二醇醚及醚酯总和含量未检出</w:t>
      </w:r>
      <w:r>
        <w:rPr>
          <w:rFonts w:hint="eastAsia"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苯系物总和含量未检出</w:t>
      </w:r>
      <w:r>
        <w:rPr>
          <w:rFonts w:hint="eastAsia"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烷基酚聚氧乙烯醚总和含量未检出</w:t>
      </w:r>
      <w:r>
        <w:rPr>
          <w:rFonts w:hint="eastAsia" w:hAnsi="宋体" w:cs="宋体"/>
          <w:color w:val="auto"/>
          <w:kern w:val="0"/>
          <w:sz w:val="24"/>
          <w:szCs w:val="24"/>
          <w:lang w:val="en-US" w:eastAsia="zh-CN" w:bidi="ar-SA"/>
        </w:rPr>
        <w:t>。</w:t>
      </w:r>
      <w:r>
        <w:rPr>
          <w:rFonts w:hint="eastAsia" w:ascii="宋体" w:hAnsi="宋体" w:eastAsia="宋体" w:cs="宋体"/>
          <w:b/>
          <w:bCs/>
          <w:color w:val="auto"/>
          <w:sz w:val="24"/>
          <w:szCs w:val="24"/>
        </w:rPr>
        <w:t>所检项目符合</w:t>
      </w:r>
      <w:r>
        <w:rPr>
          <w:rFonts w:hint="eastAsia" w:hAnsi="宋体" w:cs="宋体"/>
          <w:b/>
          <w:bCs/>
          <w:color w:val="auto"/>
          <w:sz w:val="24"/>
          <w:szCs w:val="24"/>
          <w:lang w:val="en-US" w:eastAsia="zh-CN"/>
        </w:rPr>
        <w:t>以上</w:t>
      </w:r>
      <w:r>
        <w:rPr>
          <w:rFonts w:hint="eastAsia" w:ascii="宋体" w:hAnsi="宋体" w:eastAsia="宋体" w:cs="宋体"/>
          <w:b/>
          <w:bCs/>
          <w:color w:val="auto"/>
          <w:sz w:val="24"/>
          <w:szCs w:val="24"/>
        </w:rPr>
        <w:t>要求</w:t>
      </w:r>
      <w:r>
        <w:rPr>
          <w:rFonts w:hint="eastAsia" w:hAnsi="宋体" w:cs="宋体"/>
          <w:b/>
          <w:bCs/>
          <w:color w:val="auto"/>
          <w:sz w:val="24"/>
          <w:szCs w:val="24"/>
          <w:lang w:val="en-US" w:eastAsia="zh-CN"/>
        </w:rPr>
        <w:t>并提供相应检验报告佐证</w:t>
      </w:r>
      <w:r>
        <w:rPr>
          <w:rFonts w:hint="eastAsia" w:ascii="宋体" w:hAnsi="宋体" w:eastAsia="宋体" w:cs="宋体"/>
          <w:b/>
          <w:bCs/>
          <w:color w:val="auto"/>
          <w:sz w:val="24"/>
          <w:szCs w:val="24"/>
        </w:rPr>
        <w:t>。</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723" w:firstLineChars="300"/>
        <w:textAlignment w:val="auto"/>
        <w:rPr>
          <w:color w:val="auto"/>
          <w:highlight w:val="none"/>
        </w:rPr>
      </w:pPr>
      <w:r>
        <w:rPr>
          <w:rFonts w:hint="eastAsia" w:ascii="宋体" w:hAnsi="宋体" w:eastAsia="宋体" w:cs="宋体"/>
          <w:b/>
          <w:bCs/>
          <w:color w:val="auto"/>
          <w:kern w:val="0"/>
          <w:sz w:val="24"/>
          <w:szCs w:val="24"/>
          <w:lang w:val="en-US" w:eastAsia="zh-CN" w:bidi="ar-SA"/>
        </w:rPr>
        <w:t>▲</w:t>
      </w:r>
      <w:r>
        <w:rPr>
          <w:rFonts w:hint="eastAsia" w:ascii="宋体" w:hAnsi="宋体" w:eastAsia="宋体" w:cs="宋体"/>
          <w:b/>
          <w:bCs/>
          <w:color w:val="auto"/>
          <w:kern w:val="0"/>
          <w:sz w:val="24"/>
          <w:szCs w:val="24"/>
          <w:highlight w:val="none"/>
          <w:lang w:val="en-US" w:eastAsia="zh-CN" w:bidi="ar-SA"/>
        </w:rPr>
        <w:t>1.5、胶粘剂：</w:t>
      </w:r>
      <w:r>
        <w:rPr>
          <w:rFonts w:hint="eastAsia" w:ascii="宋体" w:hAnsi="宋体" w:eastAsia="宋体" w:cs="宋体"/>
          <w:color w:val="auto"/>
          <w:kern w:val="0"/>
          <w:sz w:val="24"/>
          <w:szCs w:val="24"/>
          <w:highlight w:val="none"/>
          <w:lang w:val="en-US" w:eastAsia="zh-CN" w:bidi="ar-SA"/>
        </w:rPr>
        <w:t>采用优质</w:t>
      </w:r>
      <w:r>
        <w:rPr>
          <w:rFonts w:hint="eastAsia" w:hAnsi="宋体" w:cs="宋体"/>
          <w:color w:val="auto"/>
          <w:kern w:val="0"/>
          <w:sz w:val="24"/>
          <w:szCs w:val="24"/>
          <w:highlight w:val="none"/>
          <w:lang w:val="en-US" w:eastAsia="zh-CN" w:bidi="ar-SA"/>
        </w:rPr>
        <w:t>环保</w:t>
      </w:r>
      <w:r>
        <w:rPr>
          <w:rFonts w:hint="eastAsia" w:ascii="宋体" w:hAnsi="宋体" w:eastAsia="宋体" w:cs="宋体"/>
          <w:color w:val="auto"/>
          <w:kern w:val="0"/>
          <w:sz w:val="24"/>
          <w:szCs w:val="24"/>
          <w:highlight w:val="none"/>
          <w:lang w:val="en-US" w:eastAsia="zh-CN" w:bidi="ar-SA"/>
        </w:rPr>
        <w:t>胶，</w:t>
      </w:r>
      <w:r>
        <w:rPr>
          <w:rFonts w:hint="eastAsia" w:hAnsi="宋体" w:cs="宋体"/>
          <w:color w:val="auto"/>
          <w:kern w:val="0"/>
          <w:sz w:val="24"/>
          <w:szCs w:val="24"/>
          <w:highlight w:val="none"/>
          <w:lang w:val="en-US" w:eastAsia="zh-CN" w:bidi="ar-SA"/>
        </w:rPr>
        <w:t>胶水通过</w:t>
      </w:r>
      <w:r>
        <w:rPr>
          <w:color w:val="auto"/>
          <w:highlight w:val="none"/>
        </w:rPr>
        <w:t>REACH法规,对211种高关注物质(SVHC)进行筛分测试</w:t>
      </w:r>
      <w:r>
        <w:rPr>
          <w:rFonts w:hint="eastAsia"/>
          <w:color w:val="auto"/>
          <w:highlight w:val="none"/>
          <w:lang w:eastAsia="zh-CN"/>
        </w:rPr>
        <w:t>，</w:t>
      </w:r>
      <w:r>
        <w:rPr>
          <w:color w:val="auto"/>
          <w:highlight w:val="none"/>
        </w:rPr>
        <w:t>SVHC测试结果≤0.1%(ww)</w:t>
      </w:r>
      <w:r>
        <w:rPr>
          <w:rFonts w:hint="eastAsia"/>
          <w:color w:val="auto"/>
          <w:highlight w:val="none"/>
          <w:lang w:eastAsia="zh-CN"/>
        </w:rPr>
        <w:t>。</w:t>
      </w:r>
      <w:r>
        <w:rPr>
          <w:rFonts w:hint="eastAsia" w:ascii="宋体" w:hAnsi="宋体" w:eastAsia="宋体" w:cs="宋体"/>
          <w:b/>
          <w:bCs/>
          <w:color w:val="auto"/>
          <w:sz w:val="24"/>
          <w:szCs w:val="24"/>
          <w:highlight w:val="none"/>
        </w:rPr>
        <w:t>所检项目符合标准要求</w:t>
      </w:r>
      <w:r>
        <w:rPr>
          <w:rFonts w:hint="eastAsia" w:hAnsi="宋体" w:cs="宋体"/>
          <w:b/>
          <w:bCs/>
          <w:color w:val="auto"/>
          <w:sz w:val="24"/>
          <w:szCs w:val="24"/>
          <w:highlight w:val="none"/>
          <w:lang w:val="en-US" w:eastAsia="zh-CN"/>
        </w:rPr>
        <w:t>并提供相应检验报告佐证</w:t>
      </w:r>
      <w:r>
        <w:rPr>
          <w:rFonts w:hint="eastAsia" w:ascii="宋体" w:hAnsi="宋体" w:eastAsia="宋体" w:cs="宋体"/>
          <w:b/>
          <w:bCs/>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964" w:firstLineChars="400"/>
        <w:textAlignment w:val="auto"/>
        <w:rPr>
          <w:rFonts w:hint="eastAsia" w:ascii="宋体" w:hAnsi="宋体" w:eastAsia="宋体" w:cs="宋体"/>
          <w:color w:val="auto"/>
          <w:kern w:val="0"/>
          <w:sz w:val="24"/>
          <w:szCs w:val="24"/>
          <w:lang w:val="en-US" w:eastAsia="zh-CN" w:bidi="ar-SA"/>
        </w:rPr>
      </w:pPr>
      <w:r>
        <w:rPr>
          <w:rFonts w:hint="eastAsia" w:ascii="宋体" w:hAnsi="宋体" w:cs="宋体"/>
          <w:b/>
          <w:bCs/>
          <w:color w:val="auto"/>
          <w:kern w:val="0"/>
          <w:sz w:val="24"/>
          <w:szCs w:val="24"/>
          <w:lang w:val="en-US" w:eastAsia="zh-CN" w:bidi="ar-SA"/>
        </w:rPr>
        <w:t>1.</w:t>
      </w:r>
      <w:r>
        <w:rPr>
          <w:rFonts w:hint="eastAsia" w:ascii="宋体" w:hAnsi="宋体" w:eastAsia="宋体" w:cs="宋体"/>
          <w:b/>
          <w:bCs/>
          <w:color w:val="auto"/>
          <w:kern w:val="0"/>
          <w:sz w:val="24"/>
          <w:szCs w:val="24"/>
          <w:lang w:val="en-US" w:eastAsia="zh-CN" w:bidi="ar-SA"/>
        </w:rPr>
        <w:t>6、五金配件：</w:t>
      </w:r>
      <w:r>
        <w:rPr>
          <w:rFonts w:hint="eastAsia" w:ascii="宋体" w:hAnsi="宋体" w:eastAsia="宋体" w:cs="宋体"/>
          <w:color w:val="auto"/>
          <w:kern w:val="0"/>
          <w:sz w:val="24"/>
          <w:szCs w:val="24"/>
          <w:lang w:val="en-US" w:eastAsia="zh-CN" w:bidi="ar-SA"/>
        </w:rPr>
        <w:t>采用优质品牌五金配件，经防腐防锈处理。符合GB/T 3325-2017、GB/T 10125-2012、QB/T 3832-1999的检测标准。</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482" w:firstLineChars="200"/>
        <w:textAlignment w:val="auto"/>
        <w:rPr>
          <w:b/>
          <w:bCs/>
          <w:color w:val="auto"/>
          <w:sz w:val="24"/>
          <w:szCs w:val="24"/>
        </w:rPr>
      </w:pPr>
      <w:r>
        <w:rPr>
          <w:rFonts w:hint="eastAsia" w:ascii="宋体" w:hAnsi="宋体" w:eastAsia="宋体" w:cs="宋体"/>
          <w:b/>
          <w:bCs/>
          <w:color w:val="auto"/>
          <w:kern w:val="0"/>
          <w:sz w:val="24"/>
          <w:szCs w:val="24"/>
          <w:lang w:val="en-US" w:eastAsia="zh-CN" w:bidi="ar-SA"/>
        </w:rPr>
        <w:t>▲</w:t>
      </w:r>
      <w:r>
        <w:rPr>
          <w:rStyle w:val="16"/>
          <w:rFonts w:hint="eastAsia" w:hAnsi="宋体" w:cs="宋体"/>
          <w:b/>
          <w:bCs/>
          <w:color w:val="auto"/>
          <w:sz w:val="24"/>
          <w:szCs w:val="24"/>
          <w:lang w:val="en-US" w:eastAsia="zh-CN"/>
        </w:rPr>
        <w:t>2</w:t>
      </w:r>
      <w:r>
        <w:rPr>
          <w:rStyle w:val="16"/>
          <w:rFonts w:hint="eastAsia" w:ascii="宋体" w:hAnsi="宋体" w:eastAsia="宋体" w:cs="宋体"/>
          <w:b/>
          <w:bCs/>
          <w:color w:val="auto"/>
          <w:sz w:val="24"/>
          <w:szCs w:val="24"/>
          <w:lang w:eastAsia="zh-CN"/>
        </w:rPr>
        <w:t>、</w:t>
      </w:r>
      <w:r>
        <w:rPr>
          <w:rStyle w:val="16"/>
          <w:rFonts w:hint="eastAsia" w:ascii="宋体" w:hAnsi="宋体" w:eastAsia="宋体" w:cs="宋体"/>
          <w:b/>
          <w:bCs/>
          <w:color w:val="auto"/>
          <w:sz w:val="24"/>
          <w:szCs w:val="24"/>
          <w:lang w:val="en-US" w:eastAsia="zh-CN"/>
        </w:rPr>
        <w:t>条桌</w:t>
      </w:r>
      <w:r>
        <w:rPr>
          <w:rStyle w:val="16"/>
          <w:rFonts w:hint="eastAsia" w:ascii="宋体" w:hAnsi="宋体" w:eastAsia="宋体" w:cs="宋体"/>
          <w:b/>
          <w:bCs/>
          <w:color w:val="auto"/>
          <w:sz w:val="24"/>
          <w:szCs w:val="24"/>
        </w:rPr>
        <w:t>：</w:t>
      </w:r>
      <w:r>
        <w:rPr>
          <w:rFonts w:hint="eastAsia" w:ascii="宋体" w:hAnsi="宋体" w:eastAsia="宋体" w:cs="宋体"/>
          <w:color w:val="auto"/>
          <w:sz w:val="24"/>
          <w:szCs w:val="24"/>
        </w:rPr>
        <w:t>饰面胡桃木皮贴面，胡桃木色；基材</w:t>
      </w:r>
      <w:r>
        <w:rPr>
          <w:rFonts w:hint="eastAsia" w:hAnsi="宋体" w:cs="宋体"/>
          <w:color w:val="auto"/>
          <w:sz w:val="24"/>
          <w:szCs w:val="24"/>
          <w:lang w:val="en-US" w:eastAsia="zh-CN"/>
        </w:rPr>
        <w:t>采用优质中密度纤维板及以上材质</w:t>
      </w:r>
      <w:r>
        <w:rPr>
          <w:rFonts w:hint="eastAsia" w:ascii="宋体" w:hAnsi="宋体" w:eastAsia="宋体" w:cs="宋体"/>
          <w:color w:val="auto"/>
          <w:sz w:val="24"/>
          <w:szCs w:val="24"/>
        </w:rPr>
        <w:t>；油漆采用亚光环保聚脂漆；台面光亮平整，油漆无颗粒、气泡、渣点，颜色均匀；面板木纹纹理自然，颜色线条拼合细密；整体五金配件紧密拼接</w:t>
      </w:r>
      <w:r>
        <w:rPr>
          <w:rFonts w:hint="eastAsia" w:hAnsi="宋体" w:cs="宋体"/>
          <w:color w:val="auto"/>
          <w:sz w:val="24"/>
          <w:szCs w:val="24"/>
          <w:lang w:eastAsia="zh-CN"/>
        </w:rPr>
        <w:t>；</w:t>
      </w:r>
      <w:r>
        <w:rPr>
          <w:rFonts w:hint="eastAsia" w:ascii="宋体" w:hAnsi="宋体" w:eastAsia="宋体" w:cs="宋体"/>
          <w:color w:val="auto"/>
          <w:sz w:val="24"/>
          <w:szCs w:val="24"/>
        </w:rPr>
        <w:t>封边细腻，线条均匀，转角过渡自然，间隙细小且均等</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依据</w:t>
      </w:r>
      <w:r>
        <w:rPr>
          <w:rFonts w:hint="eastAsia" w:ascii="宋体" w:hAnsi="宋体" w:eastAsia="宋体" w:cs="宋体"/>
          <w:color w:val="auto"/>
          <w:sz w:val="24"/>
          <w:szCs w:val="24"/>
        </w:rPr>
        <w:t>GB/T 35607-2017《绿色产品评价 家具》</w:t>
      </w:r>
      <w:r>
        <w:rPr>
          <w:rFonts w:hint="eastAsia" w:hAnsi="宋体" w:cs="宋体"/>
          <w:color w:val="auto"/>
          <w:sz w:val="24"/>
          <w:szCs w:val="24"/>
          <w:lang w:eastAsia="zh-CN"/>
        </w:rPr>
        <w:t>、</w:t>
      </w:r>
      <w:r>
        <w:rPr>
          <w:rFonts w:hint="eastAsia" w:ascii="宋体" w:hAnsi="宋体" w:eastAsia="宋体" w:cs="宋体"/>
          <w:color w:val="auto"/>
          <w:sz w:val="24"/>
          <w:szCs w:val="24"/>
        </w:rPr>
        <w:t>GB/T 3324-2017《木家具通用技术条件》</w:t>
      </w:r>
      <w:r>
        <w:rPr>
          <w:rFonts w:hint="eastAsia" w:hAnsi="宋体" w:cs="宋体"/>
          <w:color w:val="auto"/>
          <w:sz w:val="24"/>
          <w:szCs w:val="24"/>
          <w:lang w:eastAsia="zh-CN"/>
        </w:rPr>
        <w:t>、</w:t>
      </w:r>
      <w:r>
        <w:rPr>
          <w:rFonts w:hint="eastAsia" w:ascii="宋体" w:hAnsi="宋体" w:eastAsia="宋体" w:cs="宋体"/>
          <w:color w:val="auto"/>
          <w:sz w:val="24"/>
          <w:szCs w:val="24"/>
        </w:rPr>
        <w:t>GB 18584-2001《室内装饰装修材料木家具中有害物质限量》</w:t>
      </w:r>
      <w:r>
        <w:rPr>
          <w:rFonts w:hint="eastAsia" w:hAnsi="宋体" w:cs="宋体"/>
          <w:color w:val="auto"/>
          <w:sz w:val="24"/>
          <w:szCs w:val="24"/>
          <w:lang w:val="en-US" w:eastAsia="zh-CN"/>
        </w:rPr>
        <w:t>检验标准，经检验产品以下参数均应符合标准：</w:t>
      </w:r>
      <w:r>
        <w:rPr>
          <w:rFonts w:hint="eastAsia" w:ascii="宋体" w:hAnsi="宋体" w:eastAsia="宋体" w:cs="宋体"/>
          <w:color w:val="auto"/>
          <w:sz w:val="24"/>
          <w:szCs w:val="24"/>
        </w:rPr>
        <w:t>主要尺寸及其偏差</w:t>
      </w:r>
      <w:r>
        <w:rPr>
          <w:rFonts w:hint="eastAsia" w:hAnsi="宋体" w:cs="宋体"/>
          <w:color w:val="auto"/>
          <w:sz w:val="24"/>
          <w:szCs w:val="24"/>
          <w:lang w:eastAsia="zh-CN"/>
        </w:rPr>
        <w:t>，</w:t>
      </w:r>
      <w:r>
        <w:rPr>
          <w:rFonts w:hint="eastAsia" w:ascii="宋体" w:hAnsi="宋体" w:eastAsia="宋体" w:cs="宋体"/>
          <w:color w:val="auto"/>
          <w:sz w:val="24"/>
          <w:szCs w:val="24"/>
        </w:rPr>
        <w:t>形状和位置公差</w:t>
      </w:r>
      <w:r>
        <w:rPr>
          <w:rFonts w:hint="eastAsia" w:hAnsi="宋体" w:cs="宋体"/>
          <w:color w:val="auto"/>
          <w:sz w:val="24"/>
          <w:szCs w:val="24"/>
          <w:lang w:eastAsia="zh-CN"/>
        </w:rPr>
        <w:t>，</w:t>
      </w:r>
      <w:r>
        <w:rPr>
          <w:rFonts w:hint="eastAsia" w:ascii="宋体" w:hAnsi="宋体" w:eastAsia="宋体" w:cs="宋体"/>
          <w:color w:val="auto"/>
          <w:sz w:val="24"/>
          <w:szCs w:val="24"/>
        </w:rPr>
        <w:t>材料要求</w:t>
      </w:r>
      <w:r>
        <w:rPr>
          <w:rFonts w:hint="eastAsia" w:hAnsi="宋体" w:cs="宋体"/>
          <w:color w:val="auto"/>
          <w:sz w:val="24"/>
          <w:szCs w:val="24"/>
          <w:lang w:eastAsia="zh-CN"/>
        </w:rPr>
        <w:t>，</w:t>
      </w:r>
      <w:r>
        <w:rPr>
          <w:rFonts w:hint="eastAsia" w:ascii="宋体" w:hAnsi="宋体" w:eastAsia="宋体" w:cs="宋体"/>
          <w:color w:val="auto"/>
          <w:sz w:val="24"/>
          <w:szCs w:val="24"/>
        </w:rPr>
        <w:t>外观要求</w:t>
      </w:r>
      <w:r>
        <w:rPr>
          <w:rFonts w:hint="eastAsia" w:hAnsi="宋体" w:cs="宋体"/>
          <w:color w:val="auto"/>
          <w:sz w:val="24"/>
          <w:szCs w:val="24"/>
          <w:lang w:eastAsia="zh-CN"/>
        </w:rPr>
        <w:t>，</w:t>
      </w:r>
      <w:r>
        <w:rPr>
          <w:rFonts w:hint="eastAsia" w:ascii="宋体" w:hAnsi="宋体" w:eastAsia="宋体" w:cs="宋体"/>
          <w:color w:val="auto"/>
          <w:sz w:val="24"/>
          <w:szCs w:val="24"/>
        </w:rPr>
        <w:t>表面理化性能要求</w:t>
      </w:r>
      <w:r>
        <w:rPr>
          <w:rFonts w:hint="eastAsia" w:hAnsi="宋体" w:cs="宋体"/>
          <w:color w:val="auto"/>
          <w:sz w:val="24"/>
          <w:szCs w:val="24"/>
          <w:lang w:eastAsia="zh-CN"/>
        </w:rPr>
        <w:t>，</w:t>
      </w:r>
      <w:r>
        <w:rPr>
          <w:rFonts w:hint="eastAsia" w:ascii="宋体" w:hAnsi="宋体" w:eastAsia="宋体" w:cs="宋体"/>
          <w:color w:val="auto"/>
          <w:sz w:val="24"/>
          <w:szCs w:val="24"/>
        </w:rPr>
        <w:t>力学性能要求，安全性要求</w:t>
      </w:r>
      <w:r>
        <w:rPr>
          <w:rFonts w:hint="eastAsia" w:hAnsi="宋体" w:cs="宋体"/>
          <w:color w:val="auto"/>
          <w:sz w:val="24"/>
          <w:szCs w:val="24"/>
          <w:lang w:eastAsia="zh-CN"/>
        </w:rPr>
        <w:t>（</w:t>
      </w:r>
      <w:r>
        <w:rPr>
          <w:rFonts w:hint="eastAsia" w:ascii="宋体" w:hAnsi="宋体" w:eastAsia="宋体" w:cs="宋体"/>
          <w:color w:val="auto"/>
          <w:sz w:val="24"/>
          <w:szCs w:val="24"/>
        </w:rPr>
        <w:t>结构安全性、产品有害物质限量/甲醛释放量</w:t>
      </w:r>
      <w:r>
        <w:rPr>
          <w:rFonts w:hint="eastAsia" w:hAnsi="宋体" w:cs="宋体"/>
          <w:color w:val="auto"/>
          <w:sz w:val="24"/>
          <w:szCs w:val="24"/>
          <w:lang w:eastAsia="zh-CN"/>
        </w:rPr>
        <w:t>），</w:t>
      </w:r>
      <w:r>
        <w:rPr>
          <w:rFonts w:hint="eastAsia" w:ascii="宋体" w:hAnsi="宋体" w:eastAsia="宋体" w:cs="宋体"/>
          <w:color w:val="auto"/>
          <w:sz w:val="24"/>
          <w:szCs w:val="24"/>
        </w:rPr>
        <w:t>品质属性</w:t>
      </w:r>
      <w:r>
        <w:rPr>
          <w:rFonts w:hint="eastAsia" w:hAnsi="宋体" w:cs="宋体"/>
          <w:color w:val="auto"/>
          <w:sz w:val="24"/>
          <w:szCs w:val="24"/>
          <w:lang w:eastAsia="zh-CN"/>
        </w:rPr>
        <w:t>（</w:t>
      </w:r>
      <w:r>
        <w:rPr>
          <w:rFonts w:hint="eastAsia" w:ascii="宋体" w:hAnsi="宋体" w:eastAsia="宋体" w:cs="宋体"/>
          <w:color w:val="auto"/>
          <w:sz w:val="24"/>
          <w:szCs w:val="24"/>
        </w:rPr>
        <w:t>甲醛释放量、苯、甲苯、二甲苯、总挥发性有机化合物(TVOC)</w:t>
      </w:r>
      <w:r>
        <w:rPr>
          <w:rFonts w:hint="eastAsia" w:hAnsi="宋体" w:cs="宋体"/>
          <w:color w:val="auto"/>
          <w:sz w:val="24"/>
          <w:szCs w:val="24"/>
          <w:lang w:val="en-US" w:eastAsia="zh-CN"/>
        </w:rPr>
        <w:t>均为未检出</w:t>
      </w:r>
      <w:r>
        <w:rPr>
          <w:rFonts w:hint="eastAsia" w:hAnsi="宋体" w:cs="宋体"/>
          <w:color w:val="auto"/>
          <w:sz w:val="24"/>
          <w:szCs w:val="24"/>
          <w:lang w:eastAsia="zh-CN"/>
        </w:rPr>
        <w:t>）。</w:t>
      </w:r>
      <w:r>
        <w:rPr>
          <w:rFonts w:hint="eastAsia" w:ascii="宋体" w:hAnsi="宋体" w:eastAsia="宋体" w:cs="宋体"/>
          <w:b/>
          <w:bCs/>
          <w:color w:val="auto"/>
          <w:sz w:val="24"/>
          <w:szCs w:val="24"/>
          <w:highlight w:val="none"/>
        </w:rPr>
        <w:t>所检项目符合</w:t>
      </w:r>
      <w:r>
        <w:rPr>
          <w:rFonts w:hint="eastAsia" w:hAnsi="宋体" w:cs="宋体"/>
          <w:b/>
          <w:bCs/>
          <w:color w:val="auto"/>
          <w:sz w:val="24"/>
          <w:szCs w:val="24"/>
          <w:highlight w:val="none"/>
          <w:lang w:val="en-US" w:eastAsia="zh-CN"/>
        </w:rPr>
        <w:t>以上</w:t>
      </w:r>
      <w:r>
        <w:rPr>
          <w:rFonts w:hint="eastAsia" w:ascii="宋体" w:hAnsi="宋体" w:eastAsia="宋体" w:cs="宋体"/>
          <w:b/>
          <w:bCs/>
          <w:color w:val="auto"/>
          <w:sz w:val="24"/>
          <w:szCs w:val="24"/>
          <w:highlight w:val="none"/>
        </w:rPr>
        <w:t>要求</w:t>
      </w:r>
      <w:r>
        <w:rPr>
          <w:rFonts w:hint="eastAsia" w:hAnsi="宋体" w:cs="宋体"/>
          <w:b/>
          <w:bCs/>
          <w:color w:val="auto"/>
          <w:sz w:val="24"/>
          <w:szCs w:val="24"/>
          <w:highlight w:val="none"/>
          <w:lang w:val="en-US" w:eastAsia="zh-CN"/>
        </w:rPr>
        <w:t>并提供相应检验报告佐证</w:t>
      </w:r>
      <w:r>
        <w:rPr>
          <w:rFonts w:hint="eastAsia" w:ascii="宋体" w:hAnsi="宋体" w:eastAsia="宋体" w:cs="宋体"/>
          <w:b/>
          <w:bCs/>
          <w:color w:val="auto"/>
          <w:sz w:val="24"/>
          <w:szCs w:val="24"/>
          <w:highlight w:val="none"/>
        </w:rPr>
        <w:t>。</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964" w:firstLineChars="400"/>
        <w:textAlignment w:val="auto"/>
        <w:rPr>
          <w:rFonts w:hint="eastAsia" w:ascii="宋体" w:hAnsi="宋体" w:eastAsia="宋体" w:cs="宋体"/>
          <w:color w:val="auto"/>
          <w:kern w:val="0"/>
          <w:sz w:val="24"/>
          <w:szCs w:val="24"/>
          <w:lang w:val="en-US" w:eastAsia="zh-CN" w:bidi="ar-SA"/>
        </w:rPr>
      </w:pPr>
      <w:r>
        <w:rPr>
          <w:rFonts w:hint="eastAsia" w:hAnsi="宋体" w:cs="宋体"/>
          <w:b/>
          <w:bCs/>
          <w:color w:val="auto"/>
          <w:kern w:val="0"/>
          <w:sz w:val="24"/>
          <w:szCs w:val="24"/>
          <w:lang w:val="en-US" w:eastAsia="zh-CN" w:bidi="ar-SA"/>
        </w:rPr>
        <w:t>2</w:t>
      </w:r>
      <w:r>
        <w:rPr>
          <w:rFonts w:hint="eastAsia" w:ascii="宋体" w:hAnsi="宋体" w:eastAsia="宋体" w:cs="宋体"/>
          <w:b/>
          <w:bCs/>
          <w:color w:val="auto"/>
          <w:kern w:val="0"/>
          <w:sz w:val="24"/>
          <w:szCs w:val="24"/>
          <w:lang w:val="en-US" w:eastAsia="zh-CN" w:bidi="ar-SA"/>
        </w:rPr>
        <w:t>.1、</w:t>
      </w:r>
      <w:r>
        <w:rPr>
          <w:rFonts w:hint="eastAsia" w:ascii="宋体" w:hAnsi="宋体" w:eastAsia="宋体" w:cs="宋体"/>
          <w:color w:val="auto"/>
          <w:kern w:val="0"/>
          <w:sz w:val="24"/>
          <w:szCs w:val="24"/>
          <w:lang w:val="en-US" w:eastAsia="zh-CN" w:bidi="ar-SA"/>
        </w:rPr>
        <w:t>基材：</w:t>
      </w:r>
      <w:r>
        <w:rPr>
          <w:rFonts w:hint="eastAsia" w:hAnsi="宋体" w:cs="宋体"/>
          <w:color w:val="auto"/>
          <w:sz w:val="24"/>
          <w:szCs w:val="24"/>
          <w:lang w:val="en-US" w:eastAsia="zh-CN"/>
        </w:rPr>
        <w:t>采用优质中密度纤维板及以上材质</w:t>
      </w:r>
      <w:r>
        <w:rPr>
          <w:rFonts w:hint="eastAsia" w:ascii="宋体" w:hAnsi="宋体" w:eastAsia="宋体" w:cs="宋体"/>
          <w:color w:val="auto"/>
          <w:kern w:val="0"/>
          <w:sz w:val="24"/>
          <w:szCs w:val="24"/>
          <w:lang w:val="en-US" w:eastAsia="zh-CN" w:bidi="ar-SA"/>
        </w:rPr>
        <w:t>，</w:t>
      </w:r>
      <w:r>
        <w:rPr>
          <w:rFonts w:hint="eastAsia" w:hAnsi="宋体" w:cs="宋体"/>
          <w:color w:val="auto"/>
          <w:kern w:val="0"/>
          <w:sz w:val="24"/>
          <w:szCs w:val="24"/>
          <w:highlight w:val="none"/>
          <w:lang w:val="en-US" w:eastAsia="zh-CN" w:bidi="ar-SA"/>
        </w:rPr>
        <w:t>板材经检验</w:t>
      </w:r>
      <w:r>
        <w:rPr>
          <w:rFonts w:hint="eastAsia" w:ascii="宋体" w:hAnsi="宋体" w:eastAsia="宋体" w:cs="宋体"/>
          <w:color w:val="auto"/>
          <w:kern w:val="0"/>
          <w:sz w:val="24"/>
          <w:szCs w:val="24"/>
          <w:highlight w:val="none"/>
          <w:lang w:val="en-US" w:eastAsia="zh-CN" w:bidi="ar-SA"/>
        </w:rPr>
        <w:t>密度、板内密度偏差、含水率</w:t>
      </w:r>
      <w:r>
        <w:rPr>
          <w:rFonts w:hint="eastAsia" w:hAnsi="宋体" w:cs="宋体"/>
          <w:color w:val="auto"/>
          <w:kern w:val="0"/>
          <w:sz w:val="24"/>
          <w:szCs w:val="24"/>
          <w:highlight w:val="none"/>
          <w:lang w:val="en-US" w:eastAsia="zh-CN" w:bidi="ar-SA"/>
        </w:rPr>
        <w:t>。甲醛释放量≤0.025mg/</w:t>
      </w:r>
      <w:r>
        <w:rPr>
          <w:rFonts w:hint="eastAsia" w:hAnsi="宋体" w:cs="宋体"/>
          <w:color w:val="auto"/>
          <w:kern w:val="0"/>
          <w:sz w:val="24"/>
          <w:szCs w:val="24"/>
          <w:lang w:val="en-US" w:eastAsia="zh-CN" w:bidi="ar-SA"/>
        </w:rPr>
        <w:t>m³、</w:t>
      </w:r>
      <w:r>
        <w:rPr>
          <w:rFonts w:hint="eastAsia" w:ascii="宋体" w:hAnsi="宋体" w:eastAsia="宋体" w:cs="宋体"/>
          <w:color w:val="auto"/>
          <w:kern w:val="0"/>
          <w:sz w:val="24"/>
          <w:szCs w:val="24"/>
          <w:lang w:val="en-US" w:eastAsia="zh-CN" w:bidi="ar-SA"/>
        </w:rPr>
        <w:t>苯</w:t>
      </w:r>
      <w:r>
        <w:t>≤</w:t>
      </w:r>
      <w:r>
        <w:rPr>
          <w:rFonts w:hint="eastAsia"/>
          <w:lang w:val="en-US" w:eastAsia="zh-CN"/>
        </w:rPr>
        <w:t>1</w:t>
      </w:r>
      <w:r>
        <w:t>μg/m³</w:t>
      </w:r>
      <w:r>
        <w:rPr>
          <w:rFonts w:hint="eastAsia" w:ascii="宋体" w:hAnsi="宋体" w:eastAsia="宋体" w:cs="宋体"/>
          <w:color w:val="auto"/>
          <w:kern w:val="0"/>
          <w:sz w:val="24"/>
          <w:szCs w:val="24"/>
          <w:lang w:val="en-US" w:eastAsia="zh-CN" w:bidi="ar-SA"/>
        </w:rPr>
        <w:t>、甲苯</w:t>
      </w:r>
      <w:r>
        <w:t>≤10μg/m³</w:t>
      </w:r>
      <w:r>
        <w:rPr>
          <w:rFonts w:hint="eastAsia" w:ascii="宋体" w:hAnsi="宋体" w:eastAsia="宋体" w:cs="宋体"/>
          <w:color w:val="auto"/>
          <w:kern w:val="0"/>
          <w:sz w:val="24"/>
          <w:szCs w:val="24"/>
          <w:lang w:val="en-US" w:eastAsia="zh-CN" w:bidi="ar-SA"/>
        </w:rPr>
        <w:t>、二甲苯</w:t>
      </w:r>
      <w:r>
        <w:t>≤1</w:t>
      </w:r>
      <w:r>
        <w:rPr>
          <w:rFonts w:hint="eastAsia"/>
          <w:lang w:val="en-US" w:eastAsia="zh-CN"/>
        </w:rPr>
        <w:t>5</w:t>
      </w:r>
      <w:r>
        <w:t>μg/m³</w:t>
      </w:r>
      <w:r>
        <w:rPr>
          <w:rFonts w:hint="eastAsia" w:ascii="宋体" w:hAnsi="宋体" w:eastAsia="宋体" w:cs="宋体"/>
          <w:color w:val="auto"/>
          <w:kern w:val="0"/>
          <w:sz w:val="24"/>
          <w:szCs w:val="24"/>
          <w:lang w:val="en-US" w:eastAsia="zh-CN" w:bidi="ar-SA"/>
        </w:rPr>
        <w:t>、总挥发性有机化合物(TVOC)</w:t>
      </w:r>
      <w:r>
        <w:t>≤</w:t>
      </w:r>
      <w:r>
        <w:rPr>
          <w:rFonts w:hint="eastAsia" w:hAnsi="宋体" w:cs="宋体"/>
          <w:color w:val="auto"/>
          <w:kern w:val="0"/>
          <w:sz w:val="24"/>
          <w:szCs w:val="24"/>
          <w:lang w:val="en-US" w:eastAsia="zh-CN" w:bidi="ar-SA"/>
        </w:rPr>
        <w:t>100mg/m²</w:t>
      </w:r>
      <w:r>
        <w:rPr>
          <w:rFonts w:hint="eastAsia" w:ascii="宋体" w:hAnsi="宋体" w:eastAsia="宋体" w:cs="宋体"/>
          <w:color w:val="auto"/>
          <w:kern w:val="0"/>
          <w:sz w:val="24"/>
          <w:szCs w:val="24"/>
          <w:lang w:val="en-US" w:eastAsia="zh-CN" w:bidi="ar-SA"/>
        </w:rPr>
        <w:t>。</w:t>
      </w:r>
    </w:p>
    <w:p>
      <w:pPr>
        <w:keepNext w:val="0"/>
        <w:keepLines w:val="0"/>
        <w:pageBreakBefore w:val="0"/>
        <w:widowControl w:val="0"/>
        <w:kinsoku/>
        <w:wordWrap/>
        <w:overflowPunct/>
        <w:topLinePunct w:val="0"/>
        <w:autoSpaceDE/>
        <w:autoSpaceDN/>
        <w:bidi w:val="0"/>
        <w:adjustRightInd/>
        <w:snapToGrid/>
        <w:spacing w:line="360" w:lineRule="auto"/>
        <w:ind w:firstLine="964" w:firstLineChars="400"/>
        <w:textAlignment w:val="auto"/>
        <w:rPr>
          <w:rFonts w:hint="eastAsia" w:ascii="宋体" w:hAnsi="宋体" w:eastAsia="宋体" w:cs="宋体"/>
          <w:color w:val="auto"/>
          <w:kern w:val="0"/>
          <w:sz w:val="24"/>
          <w:szCs w:val="24"/>
          <w:lang w:val="en-US" w:eastAsia="zh-CN" w:bidi="ar-SA"/>
        </w:rPr>
      </w:pPr>
      <w:r>
        <w:rPr>
          <w:rFonts w:hint="eastAsia" w:ascii="宋体" w:hAnsi="宋体" w:cs="宋体"/>
          <w:b/>
          <w:bCs/>
          <w:color w:val="auto"/>
          <w:kern w:val="0"/>
          <w:sz w:val="24"/>
          <w:szCs w:val="24"/>
          <w:lang w:val="en-US" w:eastAsia="zh-CN" w:bidi="ar-SA"/>
        </w:rPr>
        <w:t>2</w:t>
      </w:r>
      <w:r>
        <w:rPr>
          <w:rFonts w:hint="eastAsia" w:ascii="宋体" w:hAnsi="宋体" w:eastAsia="宋体" w:cs="宋体"/>
          <w:b/>
          <w:bCs/>
          <w:color w:val="auto"/>
          <w:kern w:val="0"/>
          <w:sz w:val="24"/>
          <w:szCs w:val="24"/>
          <w:lang w:val="en-US" w:eastAsia="zh-CN" w:bidi="ar-SA"/>
        </w:rPr>
        <w:t>.2、饰面：</w:t>
      </w:r>
      <w:r>
        <w:rPr>
          <w:rFonts w:hint="eastAsia" w:ascii="宋体" w:hAnsi="宋体" w:eastAsia="宋体" w:cs="宋体"/>
          <w:color w:val="auto"/>
          <w:kern w:val="0"/>
          <w:sz w:val="24"/>
          <w:szCs w:val="24"/>
          <w:lang w:val="en-US" w:eastAsia="zh-CN" w:bidi="ar-SA"/>
        </w:rPr>
        <w:t>采用天然实木皮，甲醛释放量(1m³气候箱法)≤ 0.010 mg/m³</w:t>
      </w:r>
      <w:r>
        <w:rPr>
          <w:rFonts w:hint="eastAsia" w:ascii="宋体"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木材含水率8%-12%</w:t>
      </w:r>
      <w:r>
        <w:rPr>
          <w:rFonts w:hint="eastAsia" w:ascii="宋体"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 xml:space="preserve"> </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723" w:firstLineChars="300"/>
        <w:textAlignment w:val="auto"/>
        <w:rPr>
          <w:rFonts w:hint="eastAsia"/>
          <w:color w:val="auto"/>
          <w:sz w:val="24"/>
          <w:szCs w:val="24"/>
          <w:lang w:val="en-US" w:eastAsia="zh-CN"/>
        </w:rPr>
      </w:pPr>
      <w:r>
        <w:rPr>
          <w:rFonts w:hint="eastAsia" w:ascii="宋体" w:hAnsi="宋体" w:eastAsia="宋体" w:cs="宋体"/>
          <w:b/>
          <w:bCs/>
          <w:color w:val="auto"/>
          <w:kern w:val="0"/>
          <w:sz w:val="24"/>
          <w:szCs w:val="24"/>
          <w:lang w:val="en-US" w:eastAsia="zh-CN" w:bidi="ar-SA"/>
        </w:rPr>
        <w:t>▲</w:t>
      </w:r>
      <w:r>
        <w:rPr>
          <w:rFonts w:hint="eastAsia" w:hAnsi="宋体" w:cs="宋体"/>
          <w:b/>
          <w:bCs/>
          <w:color w:val="auto"/>
          <w:kern w:val="0"/>
          <w:sz w:val="24"/>
          <w:szCs w:val="24"/>
          <w:lang w:val="en-US" w:eastAsia="zh-CN" w:bidi="ar-SA"/>
        </w:rPr>
        <w:t>2</w:t>
      </w:r>
      <w:r>
        <w:rPr>
          <w:rFonts w:hint="eastAsia" w:ascii="宋体" w:hAnsi="宋体" w:eastAsia="宋体" w:cs="宋体"/>
          <w:b/>
          <w:bCs/>
          <w:color w:val="auto"/>
          <w:kern w:val="0"/>
          <w:sz w:val="24"/>
          <w:szCs w:val="24"/>
          <w:lang w:val="en-US" w:eastAsia="zh-CN" w:bidi="ar-SA"/>
        </w:rPr>
        <w:t>.</w:t>
      </w:r>
      <w:r>
        <w:rPr>
          <w:rFonts w:hint="eastAsia" w:hAnsi="宋体" w:cs="宋体"/>
          <w:b/>
          <w:bCs/>
          <w:color w:val="auto"/>
          <w:kern w:val="0"/>
          <w:sz w:val="24"/>
          <w:szCs w:val="24"/>
          <w:lang w:val="en-US" w:eastAsia="zh-CN" w:bidi="ar-SA"/>
        </w:rPr>
        <w:t>3</w:t>
      </w:r>
      <w:r>
        <w:rPr>
          <w:rFonts w:hint="eastAsia" w:ascii="宋体" w:hAnsi="宋体" w:eastAsia="宋体" w:cs="宋体"/>
          <w:b/>
          <w:bCs/>
          <w:color w:val="auto"/>
          <w:kern w:val="0"/>
          <w:sz w:val="24"/>
          <w:szCs w:val="24"/>
          <w:lang w:val="en-US" w:eastAsia="zh-CN" w:bidi="ar-SA"/>
        </w:rPr>
        <w:t>、涂料：</w:t>
      </w:r>
      <w:r>
        <w:rPr>
          <w:rFonts w:hint="eastAsia" w:ascii="宋体" w:hAnsi="宋体" w:eastAsia="宋体" w:cs="宋体"/>
          <w:color w:val="auto"/>
          <w:kern w:val="0"/>
          <w:sz w:val="24"/>
          <w:szCs w:val="24"/>
          <w:lang w:val="en-US" w:eastAsia="zh-CN" w:bidi="ar-SA"/>
        </w:rPr>
        <w:t>采用优质品牌环保水性底漆，经过五底三面油漆工序，木纹纹理清晰，色泽均匀、光滑耐用</w:t>
      </w:r>
      <w:r>
        <w:rPr>
          <w:rFonts w:hint="eastAsia"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水性</w:t>
      </w:r>
      <w:r>
        <w:rPr>
          <w:rFonts w:hint="eastAsia" w:hAnsi="宋体" w:cs="宋体"/>
          <w:color w:val="auto"/>
          <w:kern w:val="0"/>
          <w:sz w:val="24"/>
          <w:szCs w:val="24"/>
          <w:lang w:val="en-US" w:eastAsia="zh-CN" w:bidi="ar-SA"/>
        </w:rPr>
        <w:t>底漆依据</w:t>
      </w:r>
      <w:r>
        <w:rPr>
          <w:rFonts w:hint="eastAsia" w:ascii="宋体" w:hAnsi="宋体" w:eastAsia="宋体" w:cs="宋体"/>
          <w:color w:val="auto"/>
          <w:kern w:val="0"/>
          <w:sz w:val="24"/>
          <w:szCs w:val="24"/>
          <w:lang w:val="en-US" w:eastAsia="zh-CN" w:bidi="ar-SA"/>
        </w:rPr>
        <w:t>GB 18581-2020《木器涂料中有害物质限量》</w:t>
      </w:r>
      <w:r>
        <w:rPr>
          <w:rFonts w:hint="eastAsia" w:hAnsi="宋体" w:cs="宋体"/>
          <w:color w:val="auto"/>
          <w:kern w:val="0"/>
          <w:sz w:val="24"/>
          <w:szCs w:val="24"/>
          <w:lang w:val="en-US" w:eastAsia="zh-CN" w:bidi="ar-SA"/>
        </w:rPr>
        <w:t>检验标准，</w:t>
      </w:r>
      <w:r>
        <w:rPr>
          <w:rFonts w:hint="eastAsia" w:ascii="宋体" w:hAnsi="宋体" w:eastAsia="宋体" w:cs="宋体"/>
          <w:color w:val="auto"/>
          <w:kern w:val="0"/>
          <w:sz w:val="24"/>
          <w:szCs w:val="24"/>
          <w:lang w:val="en-US" w:eastAsia="zh-CN" w:bidi="ar-SA"/>
        </w:rPr>
        <w:t>游离甲醛未检出</w:t>
      </w:r>
      <w:r>
        <w:rPr>
          <w:rFonts w:hint="eastAsia"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VOC含量≤</w:t>
      </w:r>
      <w:r>
        <w:rPr>
          <w:rFonts w:hint="eastAsia" w:hAnsi="宋体" w:cs="宋体"/>
          <w:color w:val="auto"/>
          <w:kern w:val="0"/>
          <w:sz w:val="24"/>
          <w:szCs w:val="24"/>
          <w:lang w:val="en-US" w:eastAsia="zh-CN" w:bidi="ar-SA"/>
        </w:rPr>
        <w:t>8</w:t>
      </w:r>
      <w:r>
        <w:rPr>
          <w:rFonts w:hint="eastAsia" w:ascii="宋体" w:hAnsi="宋体" w:eastAsia="宋体" w:cs="宋体"/>
          <w:color w:val="auto"/>
          <w:kern w:val="0"/>
          <w:sz w:val="24"/>
          <w:szCs w:val="24"/>
          <w:lang w:val="en-US" w:eastAsia="zh-CN" w:bidi="ar-SA"/>
        </w:rPr>
        <w:t>g/L</w:t>
      </w:r>
      <w:r>
        <w:rPr>
          <w:rFonts w:hint="eastAsia" w:hAnsi="宋体" w:cs="宋体"/>
          <w:color w:val="auto"/>
          <w:kern w:val="0"/>
          <w:sz w:val="24"/>
          <w:szCs w:val="24"/>
          <w:lang w:val="en-US" w:eastAsia="zh-CN" w:bidi="ar-SA"/>
        </w:rPr>
        <w:t>，甲醛含量</w:t>
      </w:r>
      <w:r>
        <w:rPr>
          <w:rFonts w:hint="eastAsia" w:ascii="宋体" w:hAnsi="宋体" w:eastAsia="宋体" w:cs="宋体"/>
          <w:color w:val="auto"/>
          <w:kern w:val="0"/>
          <w:sz w:val="24"/>
          <w:szCs w:val="24"/>
          <w:lang w:val="en-US" w:eastAsia="zh-CN" w:bidi="ar-SA"/>
        </w:rPr>
        <w:t>≤</w:t>
      </w:r>
      <w:r>
        <w:rPr>
          <w:rFonts w:hint="eastAsia" w:hAnsi="宋体" w:cs="宋体"/>
          <w:color w:val="auto"/>
          <w:kern w:val="0"/>
          <w:sz w:val="24"/>
          <w:szCs w:val="24"/>
          <w:lang w:val="en-US" w:eastAsia="zh-CN" w:bidi="ar-SA"/>
        </w:rPr>
        <w:t>10m</w:t>
      </w:r>
      <w:r>
        <w:rPr>
          <w:rFonts w:hint="eastAsia" w:ascii="宋体" w:hAnsi="宋体" w:eastAsia="宋体" w:cs="宋体"/>
          <w:color w:val="auto"/>
          <w:kern w:val="0"/>
          <w:sz w:val="24"/>
          <w:szCs w:val="24"/>
          <w:lang w:val="en-US" w:eastAsia="zh-CN" w:bidi="ar-SA"/>
        </w:rPr>
        <w:t>g/</w:t>
      </w:r>
      <w:r>
        <w:rPr>
          <w:rFonts w:hint="eastAsia" w:hAnsi="宋体" w:cs="宋体"/>
          <w:color w:val="auto"/>
          <w:kern w:val="0"/>
          <w:sz w:val="24"/>
          <w:szCs w:val="24"/>
          <w:lang w:val="en-US" w:eastAsia="zh-CN" w:bidi="ar-SA"/>
        </w:rPr>
        <w:t>kg，</w:t>
      </w:r>
      <w:r>
        <w:rPr>
          <w:rFonts w:hint="eastAsia" w:ascii="宋体" w:hAnsi="宋体" w:eastAsia="宋体" w:cs="宋体"/>
          <w:color w:val="auto"/>
          <w:kern w:val="0"/>
          <w:sz w:val="24"/>
          <w:szCs w:val="24"/>
          <w:lang w:val="en-US" w:eastAsia="zh-CN" w:bidi="ar-SA"/>
        </w:rPr>
        <w:t>乙二醇醚及醚酯总和含量未检出</w:t>
      </w:r>
      <w:r>
        <w:rPr>
          <w:rFonts w:hint="eastAsia"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苯系物总和含量未检出</w:t>
      </w:r>
      <w:r>
        <w:rPr>
          <w:rFonts w:hint="eastAsia"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烷基酚聚氧乙烯醚总和含量未检出</w:t>
      </w:r>
      <w:r>
        <w:rPr>
          <w:rFonts w:hint="eastAsia" w:hAnsi="宋体" w:cs="宋体"/>
          <w:color w:val="auto"/>
          <w:kern w:val="0"/>
          <w:sz w:val="24"/>
          <w:szCs w:val="24"/>
          <w:lang w:val="en-US" w:eastAsia="zh-CN" w:bidi="ar-SA"/>
        </w:rPr>
        <w:t>。</w:t>
      </w:r>
      <w:r>
        <w:rPr>
          <w:rFonts w:hint="eastAsia" w:ascii="宋体" w:hAnsi="宋体" w:eastAsia="宋体" w:cs="宋体"/>
          <w:b/>
          <w:bCs/>
          <w:color w:val="auto"/>
          <w:sz w:val="24"/>
          <w:szCs w:val="24"/>
          <w:highlight w:val="none"/>
        </w:rPr>
        <w:t>所检项目符合</w:t>
      </w:r>
      <w:r>
        <w:rPr>
          <w:rFonts w:hint="eastAsia" w:hAnsi="宋体" w:cs="宋体"/>
          <w:b/>
          <w:bCs/>
          <w:color w:val="auto"/>
          <w:sz w:val="24"/>
          <w:szCs w:val="24"/>
          <w:highlight w:val="none"/>
          <w:lang w:val="en-US" w:eastAsia="zh-CN"/>
        </w:rPr>
        <w:t>以上</w:t>
      </w:r>
      <w:r>
        <w:rPr>
          <w:rFonts w:hint="eastAsia" w:ascii="宋体" w:hAnsi="宋体" w:eastAsia="宋体" w:cs="宋体"/>
          <w:b/>
          <w:bCs/>
          <w:color w:val="auto"/>
          <w:sz w:val="24"/>
          <w:szCs w:val="24"/>
          <w:highlight w:val="none"/>
        </w:rPr>
        <w:t>要求</w:t>
      </w:r>
      <w:r>
        <w:rPr>
          <w:rFonts w:hint="eastAsia" w:hAnsi="宋体" w:cs="宋体"/>
          <w:b/>
          <w:bCs/>
          <w:color w:val="auto"/>
          <w:sz w:val="24"/>
          <w:szCs w:val="24"/>
          <w:highlight w:val="none"/>
          <w:lang w:val="en-US" w:eastAsia="zh-CN"/>
        </w:rPr>
        <w:t>并提供相应检验报告佐证</w:t>
      </w:r>
      <w:r>
        <w:rPr>
          <w:rFonts w:hint="eastAsia" w:ascii="宋体" w:hAnsi="宋体" w:eastAsia="宋体" w:cs="宋体"/>
          <w:b/>
          <w:bCs/>
          <w:color w:val="auto"/>
          <w:sz w:val="24"/>
          <w:szCs w:val="24"/>
          <w:highlight w:val="none"/>
        </w:rPr>
        <w:t>。</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482" w:firstLineChars="200"/>
        <w:textAlignment w:val="auto"/>
        <w:rPr>
          <w:rFonts w:hint="eastAsia" w:ascii="宋体" w:hAnsi="宋体" w:eastAsia="宋体" w:cs="宋体"/>
          <w:b/>
          <w:bCs/>
          <w:color w:val="auto"/>
          <w:kern w:val="0"/>
          <w:sz w:val="24"/>
          <w:szCs w:val="24"/>
          <w:shd w:val="clear"/>
          <w:lang w:val="en-US" w:eastAsia="zh-CN" w:bidi="ar-SA"/>
        </w:rPr>
      </w:pPr>
      <w:r>
        <w:rPr>
          <w:rFonts w:hint="eastAsia" w:ascii="宋体" w:hAnsi="宋体" w:eastAsia="宋体" w:cs="宋体"/>
          <w:b/>
          <w:bCs/>
          <w:color w:val="auto"/>
          <w:kern w:val="0"/>
          <w:sz w:val="24"/>
          <w:szCs w:val="24"/>
          <w:lang w:val="en-US" w:eastAsia="zh-CN" w:bidi="ar-SA"/>
        </w:rPr>
        <w:t>▲</w:t>
      </w:r>
      <w:r>
        <w:rPr>
          <w:rFonts w:hint="eastAsia"/>
          <w:b/>
          <w:bCs/>
          <w:color w:val="auto"/>
          <w:sz w:val="24"/>
          <w:szCs w:val="24"/>
          <w:lang w:val="en-US" w:eastAsia="zh-CN"/>
        </w:rPr>
        <w:t>3、会议椅、办公椅：</w:t>
      </w:r>
      <w:r>
        <w:rPr>
          <w:rFonts w:hint="eastAsia" w:ascii="宋体" w:hAnsi="宋体" w:eastAsia="宋体" w:cs="宋体"/>
          <w:color w:val="auto"/>
          <w:kern w:val="0"/>
          <w:sz w:val="24"/>
          <w:szCs w:val="24"/>
          <w:shd w:val="clear"/>
          <w:lang w:val="en-US" w:eastAsia="zh-CN" w:bidi="ar-SA"/>
        </w:rPr>
        <w:t>采用优质西皮，实木框架，优质阻燃海绵，表面有防腐化和防变型保护膜，回弹性高，耐用度高，防碎，防氧化</w:t>
      </w:r>
      <w:r>
        <w:rPr>
          <w:rFonts w:hint="eastAsia" w:hAnsi="宋体" w:cs="宋体"/>
          <w:color w:val="auto"/>
          <w:kern w:val="0"/>
          <w:sz w:val="24"/>
          <w:szCs w:val="24"/>
          <w:shd w:val="clear"/>
          <w:lang w:val="en-US" w:eastAsia="zh-CN" w:bidi="ar-SA"/>
        </w:rPr>
        <w:t>。</w:t>
      </w:r>
      <w:r>
        <w:rPr>
          <w:rFonts w:hint="eastAsia" w:ascii="宋体" w:hAnsi="宋体" w:eastAsia="宋体" w:cs="宋体"/>
          <w:color w:val="auto"/>
          <w:kern w:val="0"/>
          <w:sz w:val="24"/>
          <w:szCs w:val="24"/>
          <w:shd w:val="clear"/>
          <w:lang w:val="en-US" w:eastAsia="zh-CN" w:bidi="ar-SA"/>
        </w:rPr>
        <w:t>依据GB/T 35607-2017《绿色产品评价 家具》、GB/T 3324-2017《木家具通用技术条件》、GB 18584-2001《室内装饰装修材料木家具中有害物质限量》检验</w:t>
      </w:r>
      <w:r>
        <w:rPr>
          <w:rFonts w:hint="eastAsia" w:hAnsi="宋体" w:cs="宋体"/>
          <w:color w:val="auto"/>
          <w:kern w:val="0"/>
          <w:sz w:val="24"/>
          <w:szCs w:val="24"/>
          <w:shd w:val="clear"/>
          <w:lang w:val="en-US" w:eastAsia="zh-CN" w:bidi="ar-SA"/>
        </w:rPr>
        <w:t>标准，</w:t>
      </w:r>
      <w:r>
        <w:rPr>
          <w:rFonts w:hint="eastAsia" w:hAnsi="宋体" w:cs="宋体"/>
          <w:color w:val="auto"/>
          <w:sz w:val="24"/>
          <w:szCs w:val="24"/>
          <w:lang w:val="en-US" w:eastAsia="zh-CN"/>
        </w:rPr>
        <w:t>经检验产品以下参数均应符合标准</w:t>
      </w:r>
      <w:r>
        <w:rPr>
          <w:rFonts w:hint="eastAsia" w:ascii="宋体" w:hAnsi="宋体" w:eastAsia="宋体" w:cs="宋体"/>
          <w:color w:val="auto"/>
          <w:kern w:val="0"/>
          <w:sz w:val="24"/>
          <w:szCs w:val="24"/>
          <w:shd w:val="clear"/>
          <w:lang w:val="en-US" w:eastAsia="zh-CN" w:bidi="ar-SA"/>
        </w:rPr>
        <w:t>：座面耐久，椅背耐久，座面</w:t>
      </w:r>
      <w:r>
        <w:rPr>
          <w:rFonts w:hint="eastAsia" w:hAnsi="宋体" w:cs="宋体"/>
          <w:color w:val="auto"/>
          <w:kern w:val="0"/>
          <w:sz w:val="24"/>
          <w:szCs w:val="24"/>
          <w:shd w:val="clear"/>
          <w:lang w:val="en-US" w:eastAsia="zh-CN" w:bidi="ar-SA"/>
        </w:rPr>
        <w:t>耐</w:t>
      </w:r>
      <w:r>
        <w:rPr>
          <w:rFonts w:hint="eastAsia" w:ascii="宋体" w:hAnsi="宋体" w:eastAsia="宋体" w:cs="宋体"/>
          <w:color w:val="auto"/>
          <w:kern w:val="0"/>
          <w:sz w:val="24"/>
          <w:szCs w:val="24"/>
          <w:shd w:val="clear"/>
          <w:lang w:val="en-US" w:eastAsia="zh-CN" w:bidi="ar-SA"/>
        </w:rPr>
        <w:t>冲击，木制件甲醛释放量≤0.2mg/L，苯、甲苯、二甲苯、总挥发性有机化合物含量（TVOC)、家具涂层可迁移元素（铅、镉、铬、汞、锑、钡）均为</w:t>
      </w:r>
      <w:r>
        <w:rPr>
          <w:rFonts w:hint="eastAsia" w:hAnsi="宋体" w:cs="宋体"/>
          <w:color w:val="auto"/>
          <w:kern w:val="0"/>
          <w:sz w:val="24"/>
          <w:szCs w:val="24"/>
          <w:shd w:val="clear"/>
          <w:lang w:val="en-US" w:eastAsia="zh-CN" w:bidi="ar-SA"/>
        </w:rPr>
        <w:t>未</w:t>
      </w:r>
      <w:r>
        <w:rPr>
          <w:rFonts w:hint="eastAsia" w:ascii="宋体" w:hAnsi="宋体" w:eastAsia="宋体" w:cs="宋体"/>
          <w:color w:val="auto"/>
          <w:kern w:val="0"/>
          <w:sz w:val="24"/>
          <w:szCs w:val="24"/>
          <w:shd w:val="clear"/>
          <w:lang w:val="en-US" w:eastAsia="zh-CN" w:bidi="ar-SA"/>
        </w:rPr>
        <w:t>检出</w:t>
      </w:r>
      <w:r>
        <w:rPr>
          <w:rFonts w:hint="eastAsia" w:hAnsi="宋体" w:cs="宋体"/>
          <w:color w:val="auto"/>
          <w:kern w:val="0"/>
          <w:sz w:val="24"/>
          <w:szCs w:val="24"/>
          <w:shd w:val="clear"/>
          <w:lang w:val="en-US" w:eastAsia="zh-CN" w:bidi="ar-SA"/>
        </w:rPr>
        <w:t>。</w:t>
      </w:r>
      <w:r>
        <w:rPr>
          <w:rFonts w:hint="eastAsia" w:ascii="宋体" w:hAnsi="宋体" w:eastAsia="宋体" w:cs="宋体"/>
          <w:b/>
          <w:bCs/>
          <w:color w:val="auto"/>
          <w:sz w:val="24"/>
          <w:szCs w:val="24"/>
          <w:highlight w:val="none"/>
        </w:rPr>
        <w:t>所检项目符合</w:t>
      </w:r>
      <w:r>
        <w:rPr>
          <w:rFonts w:hint="eastAsia" w:hAnsi="宋体" w:cs="宋体"/>
          <w:b/>
          <w:bCs/>
          <w:color w:val="auto"/>
          <w:sz w:val="24"/>
          <w:szCs w:val="24"/>
          <w:highlight w:val="none"/>
          <w:lang w:val="en-US" w:eastAsia="zh-CN"/>
        </w:rPr>
        <w:t>标准</w:t>
      </w:r>
      <w:r>
        <w:rPr>
          <w:rFonts w:hint="eastAsia" w:ascii="宋体" w:hAnsi="宋体" w:eastAsia="宋体" w:cs="宋体"/>
          <w:b/>
          <w:bCs/>
          <w:color w:val="auto"/>
          <w:sz w:val="24"/>
          <w:szCs w:val="24"/>
          <w:highlight w:val="none"/>
        </w:rPr>
        <w:t>要求</w:t>
      </w:r>
      <w:r>
        <w:rPr>
          <w:rFonts w:hint="eastAsia" w:hAnsi="宋体" w:cs="宋体"/>
          <w:b/>
          <w:bCs/>
          <w:color w:val="auto"/>
          <w:sz w:val="24"/>
          <w:szCs w:val="24"/>
          <w:highlight w:val="none"/>
          <w:lang w:val="en-US" w:eastAsia="zh-CN"/>
        </w:rPr>
        <w:t>并提供相应检验报告佐证</w:t>
      </w:r>
      <w:r>
        <w:rPr>
          <w:rFonts w:hint="eastAsia" w:ascii="宋体" w:hAnsi="宋体" w:eastAsia="宋体" w:cs="宋体"/>
          <w:b/>
          <w:bCs/>
          <w:color w:val="auto"/>
          <w:sz w:val="24"/>
          <w:szCs w:val="24"/>
          <w:highlight w:val="none"/>
        </w:rPr>
        <w:t>。</w:t>
      </w:r>
    </w:p>
    <w:p>
      <w:pPr>
        <w:pStyle w:val="2"/>
        <w:keepNext w:val="0"/>
        <w:keepLines w:val="0"/>
        <w:pageBreakBefore w:val="0"/>
        <w:kinsoku/>
        <w:wordWrap/>
        <w:overflowPunct/>
        <w:topLinePunct w:val="0"/>
        <w:autoSpaceDE/>
        <w:autoSpaceDN/>
        <w:bidi w:val="0"/>
        <w:adjustRightInd/>
        <w:snapToGrid/>
        <w:spacing w:line="360" w:lineRule="auto"/>
        <w:ind w:firstLine="723" w:firstLineChars="300"/>
        <w:textAlignment w:val="auto"/>
        <w:rPr>
          <w:rFonts w:hint="eastAsia" w:ascii="宋体" w:hAnsi="宋体" w:eastAsia="宋体" w:cs="宋体"/>
          <w:color w:val="auto"/>
          <w:kern w:val="0"/>
          <w:sz w:val="24"/>
          <w:szCs w:val="24"/>
          <w:shd w:val="clear"/>
          <w:lang w:val="en-US" w:eastAsia="zh-CN" w:bidi="ar-SA"/>
        </w:rPr>
      </w:pPr>
      <w:r>
        <w:rPr>
          <w:rFonts w:hint="eastAsia" w:ascii="宋体" w:hAnsi="宋体" w:eastAsia="宋体" w:cs="宋体"/>
          <w:b/>
          <w:bCs/>
          <w:color w:val="auto"/>
          <w:kern w:val="0"/>
          <w:sz w:val="24"/>
          <w:szCs w:val="24"/>
          <w:lang w:val="en-US" w:eastAsia="zh-CN" w:bidi="ar-SA"/>
        </w:rPr>
        <w:t>▲</w:t>
      </w:r>
      <w:r>
        <w:rPr>
          <w:rFonts w:hint="eastAsia" w:ascii="宋体" w:hAnsi="宋体" w:eastAsia="宋体" w:cs="宋体"/>
          <w:b/>
          <w:bCs/>
          <w:color w:val="auto"/>
          <w:kern w:val="0"/>
          <w:sz w:val="24"/>
          <w:szCs w:val="24"/>
          <w:shd w:val="clear"/>
          <w:lang w:val="en-US" w:eastAsia="zh-CN" w:bidi="ar-SA"/>
        </w:rPr>
        <w:t>3、1、面料：</w:t>
      </w:r>
      <w:r>
        <w:rPr>
          <w:rFonts w:hint="eastAsia" w:ascii="宋体" w:hAnsi="宋体" w:eastAsia="宋体" w:cs="宋体"/>
          <w:color w:val="auto"/>
          <w:kern w:val="0"/>
          <w:sz w:val="24"/>
          <w:szCs w:val="24"/>
          <w:shd w:val="clear"/>
          <w:lang w:val="en-US" w:eastAsia="zh-CN" w:bidi="ar-SA"/>
        </w:rPr>
        <w:t>采用优质西皮，覆面材料理化性能达到5级，游离甲醛未检出，撕裂力≥87N,气味≤2级，pH≥6，涂层粘着牢度≥7.1N/10mm,摩擦色牢度（干擦≥5级，碱性汗液≥5级，湿擦≥5级）。符合GB/T 1952.1-2012、GB/T 16799-2018。</w:t>
      </w:r>
    </w:p>
    <w:p>
      <w:pPr>
        <w:pStyle w:val="2"/>
        <w:keepNext w:val="0"/>
        <w:keepLines w:val="0"/>
        <w:pageBreakBefore w:val="0"/>
        <w:kinsoku/>
        <w:wordWrap/>
        <w:overflowPunct/>
        <w:topLinePunct w:val="0"/>
        <w:autoSpaceDE/>
        <w:autoSpaceDN/>
        <w:bidi w:val="0"/>
        <w:adjustRightInd/>
        <w:snapToGrid/>
        <w:spacing w:line="360" w:lineRule="auto"/>
        <w:ind w:firstLine="964" w:firstLineChars="400"/>
        <w:textAlignment w:val="auto"/>
        <w:rPr>
          <w:rFonts w:hint="eastAsia" w:ascii="宋体" w:hAnsi="宋体" w:eastAsia="宋体" w:cs="宋体"/>
          <w:color w:val="auto"/>
          <w:kern w:val="0"/>
          <w:sz w:val="24"/>
          <w:szCs w:val="24"/>
          <w:shd w:val="clear"/>
          <w:lang w:val="en-US" w:eastAsia="zh-CN" w:bidi="ar-SA"/>
        </w:rPr>
      </w:pPr>
      <w:r>
        <w:rPr>
          <w:rFonts w:hint="eastAsia" w:ascii="宋体" w:hAnsi="宋体" w:eastAsia="宋体" w:cs="宋体"/>
          <w:b/>
          <w:bCs/>
          <w:color w:val="auto"/>
          <w:kern w:val="0"/>
          <w:sz w:val="24"/>
          <w:szCs w:val="24"/>
          <w:shd w:val="clear"/>
          <w:lang w:val="en-US" w:eastAsia="zh-CN" w:bidi="ar-SA"/>
        </w:rPr>
        <w:t>3.2、海绵：</w:t>
      </w:r>
      <w:r>
        <w:rPr>
          <w:rFonts w:hint="eastAsia" w:ascii="宋体" w:hAnsi="宋体" w:eastAsia="宋体" w:cs="宋体"/>
          <w:color w:val="auto"/>
          <w:kern w:val="0"/>
          <w:sz w:val="24"/>
          <w:szCs w:val="24"/>
          <w:shd w:val="clear"/>
          <w:lang w:val="en-US" w:eastAsia="zh-CN" w:bidi="ar-SA"/>
        </w:rPr>
        <w:t>采用优质阻燃海绵，表面有防腐化和防变型保护膜，回弹性高，耐用度高，防碎，防氧化。</w:t>
      </w:r>
    </w:p>
    <w:p>
      <w:pPr>
        <w:pStyle w:val="2"/>
        <w:keepNext w:val="0"/>
        <w:keepLines w:val="0"/>
        <w:pageBreakBefore w:val="0"/>
        <w:kinsoku/>
        <w:wordWrap/>
        <w:overflowPunct/>
        <w:topLinePunct w:val="0"/>
        <w:autoSpaceDE/>
        <w:autoSpaceDN/>
        <w:bidi w:val="0"/>
        <w:adjustRightInd/>
        <w:snapToGrid/>
        <w:spacing w:line="360" w:lineRule="auto"/>
        <w:ind w:firstLine="964" w:firstLineChars="400"/>
        <w:textAlignment w:val="auto"/>
        <w:rPr>
          <w:rFonts w:hint="eastAsia" w:ascii="宋体" w:hAnsi="宋体" w:eastAsia="宋体" w:cs="宋体"/>
          <w:color w:val="auto"/>
          <w:kern w:val="0"/>
          <w:sz w:val="24"/>
          <w:szCs w:val="24"/>
          <w:shd w:val="clear"/>
          <w:lang w:val="en-US" w:eastAsia="zh-CN" w:bidi="ar-SA"/>
        </w:rPr>
      </w:pPr>
      <w:r>
        <w:rPr>
          <w:rFonts w:hint="eastAsia" w:ascii="宋体" w:hAnsi="宋体" w:eastAsia="宋体" w:cs="宋体"/>
          <w:b/>
          <w:bCs/>
          <w:color w:val="auto"/>
          <w:kern w:val="0"/>
          <w:sz w:val="24"/>
          <w:szCs w:val="24"/>
          <w:shd w:val="clear"/>
          <w:lang w:val="en-US" w:eastAsia="zh-CN" w:bidi="ar-SA"/>
        </w:rPr>
        <w:t>3.3、框架：</w:t>
      </w:r>
      <w:r>
        <w:rPr>
          <w:rFonts w:hint="eastAsia" w:ascii="宋体" w:hAnsi="宋体" w:eastAsia="宋体" w:cs="宋体"/>
          <w:color w:val="auto"/>
          <w:kern w:val="0"/>
          <w:sz w:val="24"/>
          <w:szCs w:val="24"/>
          <w:shd w:val="clear"/>
          <w:lang w:val="en-US" w:eastAsia="zh-CN" w:bidi="ar-SA"/>
        </w:rPr>
        <w:t>采用优质实木，具有硬度高，密度大，承受力强，选材无结疤，腐朽等现象。</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482" w:firstLineChars="200"/>
        <w:textAlignment w:val="auto"/>
        <w:rPr>
          <w:b/>
          <w:bCs/>
          <w:color w:val="auto"/>
          <w:sz w:val="24"/>
          <w:szCs w:val="24"/>
        </w:rPr>
      </w:pPr>
      <w:r>
        <w:rPr>
          <w:rFonts w:hint="eastAsia" w:ascii="宋体" w:hAnsi="宋体" w:eastAsia="宋体" w:cs="宋体"/>
          <w:b/>
          <w:bCs/>
          <w:color w:val="auto"/>
          <w:kern w:val="0"/>
          <w:sz w:val="24"/>
          <w:szCs w:val="24"/>
          <w:lang w:val="en-US" w:eastAsia="zh-CN" w:bidi="ar-SA"/>
        </w:rPr>
        <w:t>▲</w:t>
      </w:r>
      <w:r>
        <w:rPr>
          <w:rFonts w:hint="eastAsia" w:ascii="宋体" w:hAnsi="宋体" w:eastAsia="宋体" w:cs="宋体"/>
          <w:b/>
          <w:bCs/>
          <w:color w:val="auto"/>
          <w:kern w:val="0"/>
          <w:sz w:val="24"/>
          <w:szCs w:val="24"/>
          <w:shd w:val="clear"/>
          <w:lang w:val="en-US" w:eastAsia="zh-CN" w:bidi="ar-SA"/>
        </w:rPr>
        <w:t>4、办公桌：</w:t>
      </w:r>
      <w:r>
        <w:rPr>
          <w:rFonts w:hint="eastAsia" w:ascii="宋体" w:hAnsi="宋体" w:eastAsia="宋体" w:cs="宋体"/>
          <w:color w:val="auto"/>
          <w:sz w:val="24"/>
          <w:szCs w:val="24"/>
        </w:rPr>
        <w:t>饰面胡桃木皮贴面，胡桃木色；</w:t>
      </w:r>
      <w:r>
        <w:rPr>
          <w:rFonts w:hint="eastAsia" w:hAnsi="宋体" w:cs="宋体"/>
          <w:color w:val="auto"/>
          <w:sz w:val="24"/>
          <w:szCs w:val="24"/>
          <w:lang w:val="en-US" w:eastAsia="zh-CN"/>
        </w:rPr>
        <w:t>基材采用优质中密度纤维板及以上材质</w:t>
      </w:r>
      <w:r>
        <w:rPr>
          <w:rFonts w:hint="eastAsia" w:ascii="宋体" w:hAnsi="宋体" w:eastAsia="宋体" w:cs="宋体"/>
          <w:color w:val="auto"/>
          <w:sz w:val="24"/>
          <w:szCs w:val="24"/>
        </w:rPr>
        <w:t>；油漆采用亚光环保聚脂漆；台面光亮平整，油漆无颗粒、气泡、渣点，颜色均匀；面板木纹纹理自然，颜色线条拼合细密；整体五金配件紧密拼接，封边细腻，线条均匀，转角过渡自然，间隙细小且均等</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依据</w:t>
      </w:r>
      <w:r>
        <w:rPr>
          <w:rFonts w:hint="eastAsia" w:ascii="宋体" w:hAnsi="宋体" w:eastAsia="宋体" w:cs="宋体"/>
          <w:color w:val="auto"/>
          <w:sz w:val="24"/>
          <w:szCs w:val="24"/>
        </w:rPr>
        <w:t>GB/T 35607-2017《绿色产品评价 家具》</w:t>
      </w:r>
      <w:r>
        <w:rPr>
          <w:rFonts w:hint="eastAsia" w:hAnsi="宋体" w:cs="宋体"/>
          <w:color w:val="auto"/>
          <w:sz w:val="24"/>
          <w:szCs w:val="24"/>
          <w:lang w:eastAsia="zh-CN"/>
        </w:rPr>
        <w:t>、</w:t>
      </w:r>
      <w:r>
        <w:rPr>
          <w:rFonts w:hint="eastAsia" w:ascii="宋体" w:hAnsi="宋体" w:eastAsia="宋体" w:cs="宋体"/>
          <w:color w:val="auto"/>
          <w:sz w:val="24"/>
          <w:szCs w:val="24"/>
        </w:rPr>
        <w:t>GB/T 3324-2017《木家具通用技术条件》</w:t>
      </w:r>
      <w:r>
        <w:rPr>
          <w:rFonts w:hint="eastAsia" w:hAnsi="宋体" w:cs="宋体"/>
          <w:color w:val="auto"/>
          <w:sz w:val="24"/>
          <w:szCs w:val="24"/>
          <w:lang w:eastAsia="zh-CN"/>
        </w:rPr>
        <w:t>、</w:t>
      </w:r>
      <w:r>
        <w:rPr>
          <w:rFonts w:hint="eastAsia" w:ascii="宋体" w:hAnsi="宋体" w:eastAsia="宋体" w:cs="宋体"/>
          <w:color w:val="auto"/>
          <w:sz w:val="24"/>
          <w:szCs w:val="24"/>
        </w:rPr>
        <w:t>GB 18584-2001《室内装饰装修材料木家具中有害物质限量》</w:t>
      </w:r>
      <w:r>
        <w:rPr>
          <w:rFonts w:hint="eastAsia" w:hAnsi="宋体" w:cs="宋体"/>
          <w:color w:val="auto"/>
          <w:sz w:val="24"/>
          <w:szCs w:val="24"/>
          <w:lang w:val="en-US" w:eastAsia="zh-CN"/>
        </w:rPr>
        <w:t>检验标准，经检验产品以下参数均应符合标准：</w:t>
      </w:r>
      <w:r>
        <w:rPr>
          <w:rFonts w:hint="eastAsia" w:ascii="宋体" w:hAnsi="宋体" w:eastAsia="宋体" w:cs="宋体"/>
          <w:color w:val="auto"/>
          <w:sz w:val="24"/>
          <w:szCs w:val="24"/>
        </w:rPr>
        <w:t>主要尺寸及其偏差</w:t>
      </w:r>
      <w:r>
        <w:rPr>
          <w:rFonts w:hint="eastAsia" w:hAnsi="宋体" w:cs="宋体"/>
          <w:color w:val="auto"/>
          <w:sz w:val="24"/>
          <w:szCs w:val="24"/>
          <w:lang w:eastAsia="zh-CN"/>
        </w:rPr>
        <w:t>，</w:t>
      </w:r>
      <w:r>
        <w:rPr>
          <w:rFonts w:hint="eastAsia" w:ascii="宋体" w:hAnsi="宋体" w:eastAsia="宋体" w:cs="宋体"/>
          <w:color w:val="auto"/>
          <w:sz w:val="24"/>
          <w:szCs w:val="24"/>
        </w:rPr>
        <w:t>形状和位置公差</w:t>
      </w:r>
      <w:r>
        <w:rPr>
          <w:rFonts w:hint="eastAsia" w:hAnsi="宋体" w:cs="宋体"/>
          <w:color w:val="auto"/>
          <w:sz w:val="24"/>
          <w:szCs w:val="24"/>
          <w:lang w:eastAsia="zh-CN"/>
        </w:rPr>
        <w:t>，</w:t>
      </w:r>
      <w:r>
        <w:rPr>
          <w:rFonts w:hint="eastAsia" w:ascii="宋体" w:hAnsi="宋体" w:eastAsia="宋体" w:cs="宋体"/>
          <w:color w:val="auto"/>
          <w:sz w:val="24"/>
          <w:szCs w:val="24"/>
        </w:rPr>
        <w:t>材料要求</w:t>
      </w:r>
      <w:r>
        <w:rPr>
          <w:rFonts w:hint="eastAsia" w:hAnsi="宋体" w:cs="宋体"/>
          <w:color w:val="auto"/>
          <w:sz w:val="24"/>
          <w:szCs w:val="24"/>
          <w:lang w:eastAsia="zh-CN"/>
        </w:rPr>
        <w:t>，</w:t>
      </w:r>
      <w:r>
        <w:rPr>
          <w:rFonts w:hint="eastAsia" w:ascii="宋体" w:hAnsi="宋体" w:eastAsia="宋体" w:cs="宋体"/>
          <w:color w:val="auto"/>
          <w:sz w:val="24"/>
          <w:szCs w:val="24"/>
        </w:rPr>
        <w:t>外观要求</w:t>
      </w:r>
      <w:r>
        <w:rPr>
          <w:rFonts w:hint="eastAsia" w:hAnsi="宋体" w:cs="宋体"/>
          <w:color w:val="auto"/>
          <w:sz w:val="24"/>
          <w:szCs w:val="24"/>
          <w:lang w:eastAsia="zh-CN"/>
        </w:rPr>
        <w:t>，</w:t>
      </w:r>
      <w:r>
        <w:rPr>
          <w:rFonts w:hint="eastAsia" w:ascii="宋体" w:hAnsi="宋体" w:eastAsia="宋体" w:cs="宋体"/>
          <w:color w:val="auto"/>
          <w:sz w:val="24"/>
          <w:szCs w:val="24"/>
        </w:rPr>
        <w:t>表面理化性能要求</w:t>
      </w:r>
      <w:r>
        <w:rPr>
          <w:rFonts w:hint="eastAsia" w:hAnsi="宋体" w:cs="宋体"/>
          <w:color w:val="auto"/>
          <w:sz w:val="24"/>
          <w:szCs w:val="24"/>
          <w:lang w:eastAsia="zh-CN"/>
        </w:rPr>
        <w:t>，</w:t>
      </w:r>
      <w:r>
        <w:rPr>
          <w:rFonts w:hint="eastAsia" w:ascii="宋体" w:hAnsi="宋体" w:eastAsia="宋体" w:cs="宋体"/>
          <w:color w:val="auto"/>
          <w:sz w:val="24"/>
          <w:szCs w:val="24"/>
        </w:rPr>
        <w:t>力学性能要求，安全性要求</w:t>
      </w:r>
      <w:r>
        <w:rPr>
          <w:rFonts w:hint="eastAsia" w:hAnsi="宋体" w:cs="宋体"/>
          <w:color w:val="auto"/>
          <w:sz w:val="24"/>
          <w:szCs w:val="24"/>
          <w:lang w:eastAsia="zh-CN"/>
        </w:rPr>
        <w:t>（</w:t>
      </w:r>
      <w:r>
        <w:rPr>
          <w:rFonts w:hint="eastAsia" w:ascii="宋体" w:hAnsi="宋体" w:eastAsia="宋体" w:cs="宋体"/>
          <w:color w:val="auto"/>
          <w:sz w:val="24"/>
          <w:szCs w:val="24"/>
        </w:rPr>
        <w:t>结构安全性、产品有害物质限量/甲醛释放量</w:t>
      </w:r>
      <w:r>
        <w:rPr>
          <w:rFonts w:hint="eastAsia" w:hAnsi="宋体" w:cs="宋体"/>
          <w:color w:val="auto"/>
          <w:sz w:val="24"/>
          <w:szCs w:val="24"/>
          <w:lang w:val="en-US" w:eastAsia="zh-CN"/>
        </w:rPr>
        <w:t>未检出</w:t>
      </w:r>
      <w:r>
        <w:rPr>
          <w:rFonts w:hint="eastAsia" w:hAnsi="宋体" w:cs="宋体"/>
          <w:color w:val="auto"/>
          <w:sz w:val="24"/>
          <w:szCs w:val="24"/>
          <w:lang w:eastAsia="zh-CN"/>
        </w:rPr>
        <w:t>），</w:t>
      </w:r>
      <w:r>
        <w:rPr>
          <w:rFonts w:hint="eastAsia" w:ascii="宋体" w:hAnsi="宋体" w:eastAsia="宋体" w:cs="宋体"/>
          <w:color w:val="auto"/>
          <w:sz w:val="24"/>
          <w:szCs w:val="24"/>
        </w:rPr>
        <w:t>品质属性</w:t>
      </w:r>
      <w:r>
        <w:rPr>
          <w:rFonts w:hint="eastAsia" w:hAnsi="宋体" w:cs="宋体"/>
          <w:color w:val="auto"/>
          <w:sz w:val="24"/>
          <w:szCs w:val="24"/>
          <w:lang w:eastAsia="zh-CN"/>
        </w:rPr>
        <w:t>（</w:t>
      </w:r>
      <w:r>
        <w:rPr>
          <w:rFonts w:hint="eastAsia" w:ascii="宋体" w:hAnsi="宋体" w:eastAsia="宋体" w:cs="宋体"/>
          <w:color w:val="auto"/>
          <w:sz w:val="24"/>
          <w:szCs w:val="24"/>
        </w:rPr>
        <w:t>甲醛释放量、苯、甲苯、二甲苯、总挥发性有机化合物(TVOC)</w:t>
      </w:r>
      <w:r>
        <w:rPr>
          <w:rFonts w:hint="eastAsia" w:hAnsi="宋体" w:cs="宋体"/>
          <w:color w:val="auto"/>
          <w:sz w:val="24"/>
          <w:szCs w:val="24"/>
          <w:lang w:val="en-US" w:eastAsia="zh-CN"/>
        </w:rPr>
        <w:t>均为未检出</w:t>
      </w:r>
      <w:r>
        <w:rPr>
          <w:rFonts w:hint="eastAsia" w:hAnsi="宋体" w:cs="宋体"/>
          <w:color w:val="auto"/>
          <w:sz w:val="24"/>
          <w:szCs w:val="24"/>
          <w:lang w:eastAsia="zh-CN"/>
        </w:rPr>
        <w:t>）。</w:t>
      </w:r>
      <w:r>
        <w:rPr>
          <w:rFonts w:hint="eastAsia" w:ascii="宋体" w:hAnsi="宋体" w:eastAsia="宋体" w:cs="宋体"/>
          <w:b/>
          <w:bCs/>
          <w:color w:val="auto"/>
          <w:sz w:val="24"/>
          <w:szCs w:val="24"/>
          <w:highlight w:val="none"/>
        </w:rPr>
        <w:t>所检项目符合</w:t>
      </w:r>
      <w:r>
        <w:rPr>
          <w:rFonts w:hint="eastAsia" w:hAnsi="宋体" w:cs="宋体"/>
          <w:b/>
          <w:bCs/>
          <w:color w:val="auto"/>
          <w:sz w:val="24"/>
          <w:szCs w:val="24"/>
          <w:highlight w:val="none"/>
          <w:lang w:val="en-US" w:eastAsia="zh-CN"/>
        </w:rPr>
        <w:t>标准</w:t>
      </w:r>
      <w:r>
        <w:rPr>
          <w:rFonts w:hint="eastAsia" w:ascii="宋体" w:hAnsi="宋体" w:eastAsia="宋体" w:cs="宋体"/>
          <w:b/>
          <w:bCs/>
          <w:color w:val="auto"/>
          <w:sz w:val="24"/>
          <w:szCs w:val="24"/>
          <w:highlight w:val="none"/>
        </w:rPr>
        <w:t>要求</w:t>
      </w:r>
      <w:r>
        <w:rPr>
          <w:rFonts w:hint="eastAsia" w:hAnsi="宋体" w:cs="宋体"/>
          <w:b/>
          <w:bCs/>
          <w:color w:val="auto"/>
          <w:sz w:val="24"/>
          <w:szCs w:val="24"/>
          <w:highlight w:val="none"/>
          <w:lang w:val="en-US" w:eastAsia="zh-CN"/>
        </w:rPr>
        <w:t>并提供相应检验报告佐证</w:t>
      </w:r>
      <w:r>
        <w:rPr>
          <w:rFonts w:hint="eastAsia" w:ascii="宋体" w:hAnsi="宋体" w:eastAsia="宋体" w:cs="宋体"/>
          <w:b/>
          <w:bCs/>
          <w:color w:val="auto"/>
          <w:sz w:val="24"/>
          <w:szCs w:val="24"/>
          <w:highlight w:val="none"/>
        </w:rPr>
        <w:t>。</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964" w:firstLineChars="400"/>
        <w:textAlignment w:val="auto"/>
        <w:rPr>
          <w:rFonts w:hint="eastAsia" w:ascii="宋体" w:hAnsi="宋体" w:eastAsia="宋体" w:cs="宋体"/>
          <w:color w:val="auto"/>
          <w:kern w:val="0"/>
          <w:sz w:val="24"/>
          <w:szCs w:val="24"/>
          <w:lang w:val="en-US" w:eastAsia="zh-CN" w:bidi="ar-SA"/>
        </w:rPr>
      </w:pPr>
      <w:r>
        <w:rPr>
          <w:rFonts w:hint="eastAsia" w:hAnsi="宋体" w:cs="宋体"/>
          <w:b/>
          <w:bCs/>
          <w:color w:val="auto"/>
          <w:kern w:val="0"/>
          <w:sz w:val="24"/>
          <w:szCs w:val="24"/>
          <w:lang w:val="en-US" w:eastAsia="zh-CN" w:bidi="ar-SA"/>
        </w:rPr>
        <w:t>4</w:t>
      </w:r>
      <w:r>
        <w:rPr>
          <w:rFonts w:hint="eastAsia" w:ascii="宋体" w:hAnsi="宋体" w:eastAsia="宋体" w:cs="宋体"/>
          <w:b/>
          <w:bCs/>
          <w:color w:val="auto"/>
          <w:kern w:val="0"/>
          <w:sz w:val="24"/>
          <w:szCs w:val="24"/>
          <w:lang w:val="en-US" w:eastAsia="zh-CN" w:bidi="ar-SA"/>
        </w:rPr>
        <w:t>.1、</w:t>
      </w:r>
      <w:r>
        <w:rPr>
          <w:rFonts w:hint="eastAsia" w:ascii="宋体" w:hAnsi="宋体" w:eastAsia="宋体" w:cs="宋体"/>
          <w:color w:val="auto"/>
          <w:kern w:val="0"/>
          <w:sz w:val="24"/>
          <w:szCs w:val="24"/>
          <w:lang w:val="en-US" w:eastAsia="zh-CN" w:bidi="ar-SA"/>
        </w:rPr>
        <w:t>基材：</w:t>
      </w:r>
      <w:r>
        <w:rPr>
          <w:rFonts w:hint="eastAsia" w:hAnsi="宋体" w:cs="宋体"/>
          <w:color w:val="auto"/>
          <w:sz w:val="24"/>
          <w:szCs w:val="24"/>
          <w:lang w:val="en-US" w:eastAsia="zh-CN"/>
        </w:rPr>
        <w:t>采用优质中密度纤维板及以上材质</w:t>
      </w:r>
      <w:r>
        <w:rPr>
          <w:rFonts w:hint="eastAsia" w:ascii="宋体" w:hAnsi="宋体" w:eastAsia="宋体" w:cs="宋体"/>
          <w:color w:val="auto"/>
          <w:kern w:val="0"/>
          <w:sz w:val="24"/>
          <w:szCs w:val="24"/>
          <w:lang w:val="en-US" w:eastAsia="zh-CN" w:bidi="ar-SA"/>
        </w:rPr>
        <w:t>，</w:t>
      </w:r>
      <w:r>
        <w:rPr>
          <w:rFonts w:hint="eastAsia" w:hAnsi="宋体" w:cs="宋体"/>
          <w:color w:val="auto"/>
          <w:kern w:val="0"/>
          <w:sz w:val="24"/>
          <w:szCs w:val="24"/>
          <w:lang w:val="en-US" w:eastAsia="zh-CN" w:bidi="ar-SA"/>
        </w:rPr>
        <w:t>板材</w:t>
      </w:r>
      <w:r>
        <w:rPr>
          <w:rFonts w:hint="eastAsia" w:ascii="宋体" w:hAnsi="宋体" w:eastAsia="宋体" w:cs="宋体"/>
          <w:color w:val="auto"/>
          <w:kern w:val="0"/>
          <w:sz w:val="24"/>
          <w:szCs w:val="24"/>
          <w:lang w:val="en-US" w:eastAsia="zh-CN" w:bidi="ar-SA"/>
        </w:rPr>
        <w:t>密度、板内密度偏差、含水率、静曲强度、弹性模量、内结合强度、吸水厚度膨胀率、表面结合强度、握螺钉力板面、握螺钉力板边均检验合格</w:t>
      </w:r>
      <w:r>
        <w:rPr>
          <w:rFonts w:hint="eastAsia"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苯、甲苯、二甲苯、总挥发性有机化合物(TVOC)（72h）均为未检出，产品总挥发性有机化合物(TVOC)的释放率（72h）检验结果为未检出，</w:t>
      </w:r>
      <w:r>
        <w:rPr>
          <w:rFonts w:hint="eastAsia" w:hAnsi="宋体" w:cs="宋体"/>
          <w:color w:val="auto"/>
          <w:kern w:val="0"/>
          <w:sz w:val="24"/>
          <w:szCs w:val="24"/>
          <w:lang w:val="en-US" w:eastAsia="zh-CN" w:bidi="ar-SA"/>
        </w:rPr>
        <w:t>人造板及其制品中甲醛释放量</w:t>
      </w:r>
      <w:r>
        <w:rPr>
          <w:rFonts w:hint="eastAsia" w:ascii="宋体" w:hAnsi="宋体" w:eastAsia="宋体" w:cs="宋体"/>
          <w:color w:val="auto"/>
          <w:kern w:val="0"/>
          <w:sz w:val="24"/>
          <w:szCs w:val="24"/>
          <w:lang w:val="en-US" w:eastAsia="zh-CN" w:bidi="ar-SA"/>
        </w:rPr>
        <w:t>≤0.009mg/m³</w:t>
      </w:r>
      <w:r>
        <w:rPr>
          <w:rFonts w:hint="eastAsia" w:hAnsi="宋体" w:cs="宋体"/>
          <w:color w:val="auto"/>
          <w:kern w:val="0"/>
          <w:sz w:val="24"/>
          <w:szCs w:val="24"/>
          <w:lang w:val="en-US" w:eastAsia="zh-CN" w:bidi="ar-SA"/>
        </w:rPr>
        <w:t>。</w:t>
      </w:r>
    </w:p>
    <w:p>
      <w:pPr>
        <w:keepNext w:val="0"/>
        <w:keepLines w:val="0"/>
        <w:pageBreakBefore w:val="0"/>
        <w:widowControl w:val="0"/>
        <w:kinsoku/>
        <w:wordWrap/>
        <w:overflowPunct/>
        <w:topLinePunct w:val="0"/>
        <w:autoSpaceDE/>
        <w:autoSpaceDN/>
        <w:bidi w:val="0"/>
        <w:adjustRightInd/>
        <w:snapToGrid/>
        <w:spacing w:line="360" w:lineRule="auto"/>
        <w:ind w:firstLine="964" w:firstLineChars="4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cs="宋体"/>
          <w:b/>
          <w:bCs/>
          <w:color w:val="auto"/>
          <w:kern w:val="0"/>
          <w:sz w:val="24"/>
          <w:szCs w:val="24"/>
          <w:lang w:val="en-US" w:eastAsia="zh-CN" w:bidi="ar-SA"/>
        </w:rPr>
        <w:t>4</w:t>
      </w:r>
      <w:r>
        <w:rPr>
          <w:rFonts w:hint="eastAsia" w:ascii="宋体" w:hAnsi="宋体" w:eastAsia="宋体" w:cs="宋体"/>
          <w:b/>
          <w:bCs/>
          <w:color w:val="auto"/>
          <w:kern w:val="0"/>
          <w:sz w:val="24"/>
          <w:szCs w:val="24"/>
          <w:lang w:val="en-US" w:eastAsia="zh-CN" w:bidi="ar-SA"/>
        </w:rPr>
        <w:t>.2、饰面：</w:t>
      </w:r>
      <w:r>
        <w:rPr>
          <w:rFonts w:hint="eastAsia" w:ascii="宋体" w:hAnsi="宋体" w:eastAsia="宋体" w:cs="宋体"/>
          <w:color w:val="auto"/>
          <w:kern w:val="0"/>
          <w:sz w:val="24"/>
          <w:szCs w:val="24"/>
          <w:lang w:val="en-US" w:eastAsia="zh-CN" w:bidi="ar-SA"/>
        </w:rPr>
        <w:t>采用天然实木皮，甲醛释放量(1m³气候箱法)≤ 0.010 mg/m³</w:t>
      </w:r>
      <w:r>
        <w:rPr>
          <w:rFonts w:hint="eastAsia" w:ascii="宋体" w:hAnsi="宋体" w:cs="宋体"/>
          <w:color w:val="auto"/>
          <w:kern w:val="0"/>
          <w:sz w:val="24"/>
          <w:szCs w:val="24"/>
          <w:lang w:val="en-US" w:eastAsia="zh-CN" w:bidi="ar-SA"/>
        </w:rPr>
        <w:t>，</w:t>
      </w:r>
      <w:r>
        <w:rPr>
          <w:rFonts w:hint="eastAsia" w:ascii="宋体" w:hAnsi="宋体" w:eastAsia="宋体" w:cs="宋体"/>
          <w:color w:val="auto"/>
          <w:kern w:val="0"/>
          <w:sz w:val="24"/>
          <w:szCs w:val="24"/>
          <w:highlight w:val="none"/>
          <w:lang w:val="en-US" w:eastAsia="zh-CN" w:bidi="ar-SA"/>
        </w:rPr>
        <w:t>木材含水率8%-12%</w:t>
      </w:r>
      <w:r>
        <w:rPr>
          <w:rFonts w:hint="eastAsia" w:ascii="宋体"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lang w:val="en-US" w:eastAsia="zh-CN" w:bidi="ar-SA"/>
        </w:rPr>
        <w:t xml:space="preserve"> </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964" w:firstLineChars="400"/>
        <w:textAlignment w:val="auto"/>
        <w:rPr>
          <w:rFonts w:hint="eastAsia"/>
          <w:color w:val="auto"/>
          <w:sz w:val="24"/>
          <w:szCs w:val="24"/>
          <w:highlight w:val="none"/>
          <w:lang w:val="en-US" w:eastAsia="zh-CN"/>
        </w:rPr>
      </w:pPr>
      <w:r>
        <w:rPr>
          <w:rFonts w:hint="eastAsia" w:ascii="宋体" w:hAnsi="宋体" w:eastAsia="宋体" w:cs="宋体"/>
          <w:b/>
          <w:bCs/>
          <w:color w:val="auto"/>
          <w:kern w:val="0"/>
          <w:sz w:val="24"/>
          <w:szCs w:val="24"/>
          <w:highlight w:val="none"/>
          <w:lang w:val="en-US" w:eastAsia="zh-CN" w:bidi="ar-SA"/>
        </w:rPr>
        <w:t>▲</w:t>
      </w:r>
      <w:r>
        <w:rPr>
          <w:rFonts w:hint="eastAsia" w:hAnsi="宋体" w:cs="宋体"/>
          <w:b/>
          <w:bCs/>
          <w:color w:val="auto"/>
          <w:kern w:val="0"/>
          <w:sz w:val="24"/>
          <w:szCs w:val="24"/>
          <w:highlight w:val="none"/>
          <w:lang w:val="en-US" w:eastAsia="zh-CN" w:bidi="ar-SA"/>
        </w:rPr>
        <w:t>4</w:t>
      </w:r>
      <w:r>
        <w:rPr>
          <w:rFonts w:hint="eastAsia" w:ascii="宋体" w:hAnsi="宋体" w:eastAsia="宋体" w:cs="宋体"/>
          <w:b/>
          <w:bCs/>
          <w:color w:val="auto"/>
          <w:kern w:val="0"/>
          <w:sz w:val="24"/>
          <w:szCs w:val="24"/>
          <w:highlight w:val="none"/>
          <w:lang w:val="en-US" w:eastAsia="zh-CN" w:bidi="ar-SA"/>
        </w:rPr>
        <w:t>.</w:t>
      </w:r>
      <w:r>
        <w:rPr>
          <w:rFonts w:hint="eastAsia" w:hAnsi="宋体" w:cs="宋体"/>
          <w:b/>
          <w:bCs/>
          <w:color w:val="auto"/>
          <w:kern w:val="0"/>
          <w:sz w:val="24"/>
          <w:szCs w:val="24"/>
          <w:highlight w:val="none"/>
          <w:lang w:val="en-US" w:eastAsia="zh-CN" w:bidi="ar-SA"/>
        </w:rPr>
        <w:t>3</w:t>
      </w:r>
      <w:r>
        <w:rPr>
          <w:rFonts w:hint="eastAsia" w:ascii="宋体" w:hAnsi="宋体" w:eastAsia="宋体" w:cs="宋体"/>
          <w:b/>
          <w:bCs/>
          <w:color w:val="auto"/>
          <w:kern w:val="0"/>
          <w:sz w:val="24"/>
          <w:szCs w:val="24"/>
          <w:highlight w:val="none"/>
          <w:lang w:val="en-US" w:eastAsia="zh-CN" w:bidi="ar-SA"/>
        </w:rPr>
        <w:t>、涂料：</w:t>
      </w:r>
      <w:r>
        <w:rPr>
          <w:rFonts w:hint="eastAsia" w:ascii="宋体" w:hAnsi="宋体" w:eastAsia="宋体" w:cs="宋体"/>
          <w:color w:val="auto"/>
          <w:kern w:val="0"/>
          <w:sz w:val="24"/>
          <w:szCs w:val="24"/>
          <w:highlight w:val="none"/>
          <w:lang w:val="en-US" w:eastAsia="zh-CN" w:bidi="ar-SA"/>
        </w:rPr>
        <w:t>采用优质品牌环保水性油漆，经过五底三面油漆工序，木纹纹理清晰，色泽均匀、光滑耐用</w:t>
      </w:r>
      <w:r>
        <w:rPr>
          <w:rFonts w:hint="eastAsia"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lang w:val="en-US" w:eastAsia="zh-CN" w:bidi="ar-SA"/>
        </w:rPr>
        <w:t>水性面漆</w:t>
      </w:r>
      <w:r>
        <w:rPr>
          <w:rFonts w:hint="eastAsia" w:hAnsi="宋体" w:cs="宋体"/>
          <w:color w:val="auto"/>
          <w:kern w:val="0"/>
          <w:sz w:val="24"/>
          <w:szCs w:val="24"/>
          <w:highlight w:val="none"/>
          <w:lang w:val="en-US" w:eastAsia="zh-CN" w:bidi="ar-SA"/>
        </w:rPr>
        <w:t>及底漆依据</w:t>
      </w:r>
      <w:r>
        <w:rPr>
          <w:rFonts w:hint="eastAsia" w:ascii="宋体" w:hAnsi="宋体" w:eastAsia="宋体" w:cs="宋体"/>
          <w:color w:val="auto"/>
          <w:kern w:val="0"/>
          <w:sz w:val="24"/>
          <w:szCs w:val="24"/>
          <w:highlight w:val="none"/>
          <w:lang w:val="en-US" w:eastAsia="zh-CN" w:bidi="ar-SA"/>
        </w:rPr>
        <w:t>GB 18581-2020《木器涂料中有害物质限量》</w:t>
      </w:r>
      <w:r>
        <w:rPr>
          <w:rFonts w:hint="eastAsia" w:hAnsi="宋体" w:cs="宋体"/>
          <w:color w:val="auto"/>
          <w:kern w:val="0"/>
          <w:sz w:val="24"/>
          <w:szCs w:val="24"/>
          <w:highlight w:val="none"/>
          <w:lang w:val="en-US" w:eastAsia="zh-CN" w:bidi="ar-SA"/>
        </w:rPr>
        <w:t>检验标准，</w:t>
      </w:r>
      <w:r>
        <w:rPr>
          <w:rFonts w:hint="eastAsia" w:ascii="宋体" w:hAnsi="宋体" w:eastAsia="宋体" w:cs="宋体"/>
          <w:color w:val="auto"/>
          <w:kern w:val="0"/>
          <w:sz w:val="24"/>
          <w:szCs w:val="24"/>
          <w:highlight w:val="none"/>
          <w:lang w:val="en-US" w:eastAsia="zh-CN" w:bidi="ar-SA"/>
        </w:rPr>
        <w:t>游离甲醛未检出</w:t>
      </w:r>
      <w:r>
        <w:rPr>
          <w:rFonts w:hint="eastAsia"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lang w:val="en-US" w:eastAsia="zh-CN" w:bidi="ar-SA"/>
        </w:rPr>
        <w:t>VOC含量≤</w:t>
      </w:r>
      <w:r>
        <w:rPr>
          <w:rFonts w:hint="eastAsia" w:hAnsi="宋体" w:cs="宋体"/>
          <w:color w:val="auto"/>
          <w:kern w:val="0"/>
          <w:sz w:val="24"/>
          <w:szCs w:val="24"/>
          <w:highlight w:val="none"/>
          <w:lang w:val="en-US" w:eastAsia="zh-CN" w:bidi="ar-SA"/>
        </w:rPr>
        <w:t>8</w:t>
      </w:r>
      <w:r>
        <w:rPr>
          <w:rFonts w:hint="eastAsia" w:ascii="宋体" w:hAnsi="宋体" w:eastAsia="宋体" w:cs="宋体"/>
          <w:color w:val="auto"/>
          <w:kern w:val="0"/>
          <w:sz w:val="24"/>
          <w:szCs w:val="24"/>
          <w:highlight w:val="none"/>
          <w:lang w:val="en-US" w:eastAsia="zh-CN" w:bidi="ar-SA"/>
        </w:rPr>
        <w:t>g/L</w:t>
      </w:r>
      <w:r>
        <w:rPr>
          <w:rFonts w:hint="eastAsia" w:hAnsi="宋体" w:cs="宋体"/>
          <w:color w:val="auto"/>
          <w:kern w:val="0"/>
          <w:sz w:val="24"/>
          <w:szCs w:val="24"/>
          <w:highlight w:val="none"/>
          <w:lang w:val="en-US" w:eastAsia="zh-CN" w:bidi="ar-SA"/>
        </w:rPr>
        <w:t>，甲醛含量未检出，</w:t>
      </w:r>
      <w:r>
        <w:rPr>
          <w:rFonts w:hint="eastAsia" w:ascii="宋体" w:hAnsi="宋体" w:eastAsia="宋体" w:cs="宋体"/>
          <w:color w:val="auto"/>
          <w:kern w:val="0"/>
          <w:sz w:val="24"/>
          <w:szCs w:val="24"/>
          <w:highlight w:val="none"/>
          <w:lang w:val="en-US" w:eastAsia="zh-CN" w:bidi="ar-SA"/>
        </w:rPr>
        <w:t>乙二醇醚及醚酯总和含量未检出</w:t>
      </w:r>
      <w:r>
        <w:rPr>
          <w:rFonts w:hint="eastAsia"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lang w:val="en-US" w:eastAsia="zh-CN" w:bidi="ar-SA"/>
        </w:rPr>
        <w:t>苯系物总和含量未检出</w:t>
      </w:r>
      <w:r>
        <w:rPr>
          <w:rFonts w:hint="eastAsia"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lang w:val="en-US" w:eastAsia="zh-CN" w:bidi="ar-SA"/>
        </w:rPr>
        <w:t>烷基酚聚氧乙烯醚总和含量未检出</w:t>
      </w:r>
      <w:r>
        <w:rPr>
          <w:rFonts w:hint="eastAsia" w:hAnsi="宋体" w:cs="宋体"/>
          <w:color w:val="auto"/>
          <w:kern w:val="0"/>
          <w:sz w:val="24"/>
          <w:szCs w:val="24"/>
          <w:highlight w:val="none"/>
          <w:lang w:val="en-US" w:eastAsia="zh-CN" w:bidi="ar-SA"/>
        </w:rPr>
        <w:t>。</w:t>
      </w:r>
      <w:r>
        <w:rPr>
          <w:rFonts w:hint="eastAsia" w:ascii="宋体" w:hAnsi="宋体" w:eastAsia="宋体" w:cs="宋体"/>
          <w:b/>
          <w:bCs/>
          <w:color w:val="auto"/>
          <w:sz w:val="24"/>
          <w:szCs w:val="24"/>
          <w:highlight w:val="none"/>
        </w:rPr>
        <w:t>所检项目符合</w:t>
      </w:r>
      <w:r>
        <w:rPr>
          <w:rFonts w:hint="eastAsia" w:hAnsi="宋体" w:cs="宋体"/>
          <w:b/>
          <w:bCs/>
          <w:color w:val="auto"/>
          <w:sz w:val="24"/>
          <w:szCs w:val="24"/>
          <w:highlight w:val="none"/>
          <w:lang w:val="en-US" w:eastAsia="zh-CN"/>
        </w:rPr>
        <w:t>以上要求并提供相应检验报告佐证</w:t>
      </w:r>
      <w:r>
        <w:rPr>
          <w:rFonts w:hint="eastAsia" w:ascii="宋体" w:hAnsi="宋体" w:eastAsia="宋体" w:cs="宋体"/>
          <w:b/>
          <w:bCs/>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843" w:firstLineChars="400"/>
        <w:textAlignment w:val="auto"/>
        <w:rPr>
          <w:rFonts w:hint="eastAsia" w:ascii="宋体" w:hAnsi="宋体" w:eastAsia="宋体" w:cs="宋体"/>
          <w:color w:val="auto"/>
          <w:kern w:val="0"/>
          <w:sz w:val="24"/>
          <w:szCs w:val="24"/>
          <w:highlight w:val="none"/>
          <w:shd w:val="clear"/>
          <w:lang w:val="en-US" w:eastAsia="zh-CN" w:bidi="ar-SA"/>
        </w:rPr>
      </w:pPr>
      <w:r>
        <w:rPr>
          <w:rFonts w:hint="eastAsia" w:ascii="宋体" w:hAnsi="宋体" w:eastAsia="宋体" w:cs="宋体"/>
          <w:b/>
          <w:bCs/>
          <w:color w:val="auto"/>
          <w:sz w:val="21"/>
          <w:szCs w:val="21"/>
          <w:highlight w:val="none"/>
          <w:lang w:val="en-US"/>
        </w:rPr>
        <w:t>★</w:t>
      </w:r>
      <w:r>
        <w:rPr>
          <w:rFonts w:hint="eastAsia" w:ascii="宋体" w:hAnsi="宋体" w:cs="宋体"/>
          <w:b/>
          <w:bCs/>
          <w:color w:val="auto"/>
          <w:kern w:val="0"/>
          <w:sz w:val="24"/>
          <w:szCs w:val="24"/>
          <w:highlight w:val="none"/>
          <w:lang w:val="en-US" w:eastAsia="zh-CN" w:bidi="ar-SA"/>
        </w:rPr>
        <w:t>4.4</w:t>
      </w:r>
      <w:r>
        <w:rPr>
          <w:rFonts w:hint="eastAsia" w:ascii="宋体" w:hAnsi="宋体" w:eastAsia="宋体" w:cs="宋体"/>
          <w:b/>
          <w:bCs/>
          <w:color w:val="auto"/>
          <w:kern w:val="0"/>
          <w:sz w:val="24"/>
          <w:szCs w:val="24"/>
          <w:highlight w:val="none"/>
          <w:lang w:val="en-US" w:eastAsia="zh-CN" w:bidi="ar-SA"/>
        </w:rPr>
        <w:t>、</w:t>
      </w:r>
      <w:r>
        <w:rPr>
          <w:rFonts w:hint="eastAsia" w:ascii="宋体" w:hAnsi="宋体" w:cs="宋体"/>
          <w:b/>
          <w:bCs/>
          <w:color w:val="auto"/>
          <w:kern w:val="0"/>
          <w:sz w:val="24"/>
          <w:szCs w:val="24"/>
          <w:highlight w:val="none"/>
          <w:lang w:val="en-US" w:eastAsia="zh-CN" w:bidi="ar-SA"/>
        </w:rPr>
        <w:t>导轨</w:t>
      </w:r>
      <w:r>
        <w:rPr>
          <w:rFonts w:hint="eastAsia" w:ascii="宋体" w:hAnsi="宋体" w:eastAsia="宋体" w:cs="宋体"/>
          <w:b/>
          <w:bCs/>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shd w:val="clear"/>
          <w:lang w:val="en-US" w:eastAsia="zh-CN" w:bidi="ar-SA"/>
        </w:rPr>
        <w:t>采用三节走珠导轨，选用Q235优质钢材，达到洛氏硬度66-72，表面经电镀处理</w:t>
      </w:r>
      <w:r>
        <w:rPr>
          <w:rFonts w:hint="eastAsia" w:ascii="宋体" w:hAnsi="宋体" w:cs="宋体"/>
          <w:color w:val="auto"/>
          <w:kern w:val="0"/>
          <w:sz w:val="24"/>
          <w:szCs w:val="24"/>
          <w:highlight w:val="none"/>
          <w:shd w:val="clear"/>
          <w:lang w:val="en-US" w:eastAsia="zh-CN" w:bidi="ar-SA"/>
        </w:rPr>
        <w:t>。</w:t>
      </w:r>
      <w:r>
        <w:rPr>
          <w:rFonts w:hint="eastAsia" w:ascii="宋体" w:hAnsi="宋体" w:eastAsia="宋体" w:cs="宋体"/>
          <w:color w:val="auto"/>
          <w:kern w:val="0"/>
          <w:sz w:val="24"/>
          <w:szCs w:val="24"/>
          <w:highlight w:val="none"/>
          <w:shd w:val="clear"/>
          <w:lang w:val="en-US" w:eastAsia="zh-CN" w:bidi="ar-SA"/>
        </w:rPr>
        <w:t xml:space="preserve"> 轻柔打开闭合可延伸零件≥60000次； 拉出安全性：在载荷 46Kg（包含测试抽屉自重）以0.2m/s的速度将抽屉朝拉出终点挡板拖拉15次，拉力在抽屉导轨移动到终端位置还剩 10MM 时停止</w:t>
      </w:r>
      <w:r>
        <w:rPr>
          <w:rFonts w:hint="eastAsia" w:ascii="宋体" w:hAnsi="宋体" w:cs="宋体"/>
          <w:color w:val="auto"/>
          <w:kern w:val="0"/>
          <w:sz w:val="24"/>
          <w:szCs w:val="24"/>
          <w:highlight w:val="none"/>
          <w:shd w:val="clear"/>
          <w:lang w:val="en-US" w:eastAsia="zh-CN" w:bidi="ar-SA"/>
        </w:rPr>
        <w:t>，</w:t>
      </w:r>
      <w:r>
        <w:rPr>
          <w:rFonts w:hint="eastAsia" w:ascii="宋体" w:hAnsi="宋体" w:eastAsia="宋体" w:cs="宋体"/>
          <w:color w:val="auto"/>
          <w:kern w:val="0"/>
          <w:sz w:val="24"/>
          <w:szCs w:val="24"/>
          <w:highlight w:val="none"/>
          <w:shd w:val="clear"/>
          <w:lang w:val="en-US" w:eastAsia="zh-CN" w:bidi="ar-SA"/>
        </w:rPr>
        <w:t>测试后，可延伸零件及其部位无变形、损坏、拉托和功能丧失；耐腐蚀：检测依据人造气氛腐蚀测试—盐雾测试</w:t>
      </w:r>
      <w:r>
        <w:rPr>
          <w:rFonts w:hint="eastAsia" w:ascii="宋体" w:hAnsi="宋体" w:cs="宋体"/>
          <w:color w:val="auto"/>
          <w:kern w:val="0"/>
          <w:sz w:val="24"/>
          <w:szCs w:val="24"/>
          <w:highlight w:val="none"/>
          <w:shd w:val="clear"/>
          <w:lang w:val="en-US" w:eastAsia="zh-CN" w:bidi="ar-SA"/>
        </w:rPr>
        <w:t>，</w:t>
      </w:r>
      <w:r>
        <w:rPr>
          <w:rFonts w:hint="eastAsia" w:ascii="宋体" w:hAnsi="宋体" w:eastAsia="宋体" w:cs="宋体"/>
          <w:color w:val="auto"/>
          <w:kern w:val="0"/>
          <w:sz w:val="24"/>
          <w:szCs w:val="24"/>
          <w:highlight w:val="none"/>
          <w:shd w:val="clear"/>
          <w:lang w:val="en-US" w:eastAsia="zh-CN" w:bidi="ar-SA"/>
        </w:rPr>
        <w:t>以中性盐喷雾测试，盐液浓度为5%氯化钠溶解在95%的蒸馏水中，48小时，结果≥7级</w:t>
      </w:r>
      <w:r>
        <w:rPr>
          <w:rFonts w:hint="eastAsia" w:ascii="宋体" w:hAnsi="宋体" w:cs="宋体"/>
          <w:color w:val="auto"/>
          <w:kern w:val="0"/>
          <w:sz w:val="24"/>
          <w:szCs w:val="24"/>
          <w:highlight w:val="none"/>
          <w:shd w:val="clear"/>
          <w:lang w:val="en-US" w:eastAsia="zh-CN" w:bidi="ar-SA"/>
        </w:rPr>
        <w:t>。</w:t>
      </w:r>
      <w:r>
        <w:rPr>
          <w:rFonts w:hint="eastAsia" w:ascii="宋体" w:hAnsi="宋体" w:eastAsia="宋体" w:cs="宋体"/>
          <w:b/>
          <w:bCs/>
          <w:color w:val="auto"/>
          <w:sz w:val="24"/>
          <w:szCs w:val="24"/>
          <w:highlight w:val="none"/>
        </w:rPr>
        <w:t>所检项目符合</w:t>
      </w:r>
      <w:r>
        <w:rPr>
          <w:rFonts w:hint="eastAsia" w:hAnsi="宋体" w:cs="宋体"/>
          <w:b/>
          <w:bCs/>
          <w:color w:val="auto"/>
          <w:sz w:val="24"/>
          <w:szCs w:val="24"/>
          <w:highlight w:val="none"/>
          <w:lang w:val="en-US" w:eastAsia="zh-CN"/>
        </w:rPr>
        <w:t>以上</w:t>
      </w:r>
      <w:r>
        <w:rPr>
          <w:rFonts w:hint="eastAsia" w:ascii="宋体" w:hAnsi="宋体" w:eastAsia="宋体" w:cs="宋体"/>
          <w:b/>
          <w:bCs/>
          <w:color w:val="auto"/>
          <w:sz w:val="24"/>
          <w:szCs w:val="24"/>
          <w:highlight w:val="none"/>
        </w:rPr>
        <w:t>要求</w:t>
      </w:r>
      <w:r>
        <w:rPr>
          <w:rFonts w:hint="eastAsia" w:hAnsi="宋体" w:cs="宋体"/>
          <w:b/>
          <w:bCs/>
          <w:color w:val="auto"/>
          <w:sz w:val="24"/>
          <w:szCs w:val="24"/>
          <w:highlight w:val="none"/>
          <w:lang w:val="en-US" w:eastAsia="zh-CN"/>
        </w:rPr>
        <w:t>并提供相应检验报告佐证</w:t>
      </w:r>
      <w:r>
        <w:rPr>
          <w:rFonts w:hint="eastAsia" w:ascii="宋体" w:hAnsi="宋体" w:eastAsia="宋体" w:cs="宋体"/>
          <w:b/>
          <w:bCs/>
          <w:color w:val="auto"/>
          <w:sz w:val="24"/>
          <w:szCs w:val="24"/>
          <w:highlight w:val="none"/>
        </w:rPr>
        <w:t>。</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firstLine="964" w:firstLineChars="400"/>
        <w:textAlignment w:val="auto"/>
        <w:rPr>
          <w:rFonts w:hint="eastAsia"/>
          <w:color w:val="auto"/>
          <w:highlight w:val="none"/>
          <w:lang w:val="en-US" w:eastAsia="zh-CN"/>
        </w:rPr>
      </w:pPr>
      <w:r>
        <w:rPr>
          <w:rFonts w:hint="eastAsia" w:ascii="宋体" w:hAnsi="宋体" w:eastAsia="宋体" w:cs="宋体"/>
          <w:b/>
          <w:bCs/>
          <w:color w:val="auto"/>
          <w:kern w:val="0"/>
          <w:sz w:val="24"/>
          <w:szCs w:val="24"/>
          <w:lang w:val="en-US" w:eastAsia="zh-CN" w:bidi="ar-SA"/>
        </w:rPr>
        <w:t>▲</w:t>
      </w:r>
      <w:r>
        <w:rPr>
          <w:rFonts w:hint="eastAsia" w:hAnsi="宋体" w:cs="宋体"/>
          <w:b/>
          <w:bCs/>
          <w:color w:val="auto"/>
          <w:kern w:val="0"/>
          <w:sz w:val="24"/>
          <w:szCs w:val="24"/>
          <w:highlight w:val="none"/>
          <w:shd w:val="clear"/>
          <w:lang w:val="en-US" w:eastAsia="zh-CN" w:bidi="ar-SA"/>
        </w:rPr>
        <w:t>4.5</w:t>
      </w:r>
      <w:r>
        <w:rPr>
          <w:rFonts w:hint="eastAsia" w:ascii="宋体" w:hAnsi="宋体" w:eastAsia="宋体" w:cs="宋体"/>
          <w:b/>
          <w:bCs/>
          <w:color w:val="auto"/>
          <w:kern w:val="0"/>
          <w:sz w:val="24"/>
          <w:szCs w:val="24"/>
          <w:highlight w:val="none"/>
          <w:shd w:val="clear"/>
          <w:lang w:val="en-US" w:eastAsia="zh-CN" w:bidi="ar-SA"/>
        </w:rPr>
        <w:t>、铰链</w:t>
      </w:r>
      <w:r>
        <w:rPr>
          <w:rFonts w:hint="eastAsia" w:ascii="宋体" w:hAnsi="宋体" w:eastAsia="宋体" w:cs="宋体"/>
          <w:color w:val="auto"/>
          <w:kern w:val="0"/>
          <w:sz w:val="24"/>
          <w:szCs w:val="24"/>
          <w:highlight w:val="none"/>
          <w:shd w:val="clear"/>
          <w:lang w:val="en-US" w:eastAsia="zh-CN" w:bidi="ar-SA"/>
        </w:rPr>
        <w:t>：</w:t>
      </w:r>
      <w:r>
        <w:rPr>
          <w:rFonts w:hint="eastAsia"/>
          <w:color w:val="auto"/>
          <w:highlight w:val="none"/>
        </w:rPr>
        <w:t>采用110度带自动回流铰链。</w:t>
      </w:r>
      <w:r>
        <w:rPr>
          <w:color w:val="auto"/>
          <w:highlight w:val="none"/>
        </w:rPr>
        <w:t>参照QB/T 2189-2013《家具五金-杯状暗铰链》条款5.5.4的耐久性试验</w:t>
      </w:r>
      <w:r>
        <w:rPr>
          <w:rFonts w:hint="eastAsia"/>
          <w:color w:val="auto"/>
          <w:highlight w:val="none"/>
          <w:lang w:eastAsia="zh-CN"/>
        </w:rPr>
        <w:t>，</w:t>
      </w:r>
      <w:r>
        <w:rPr>
          <w:color w:val="auto"/>
          <w:highlight w:val="none"/>
        </w:rPr>
        <w:t>测试后铰链所有组件或结合处不应断裂</w:t>
      </w:r>
      <w:r>
        <w:rPr>
          <w:rFonts w:hint="eastAsia"/>
          <w:color w:val="auto"/>
          <w:highlight w:val="none"/>
          <w:lang w:eastAsia="zh-CN"/>
        </w:rPr>
        <w:t>，</w:t>
      </w:r>
      <w:r>
        <w:rPr>
          <w:color w:val="auto"/>
          <w:highlight w:val="none"/>
        </w:rPr>
        <w:t>通过手触压证实，用于紧固的组件不应松动</w:t>
      </w:r>
      <w:r>
        <w:rPr>
          <w:rFonts w:hint="eastAsia"/>
          <w:color w:val="auto"/>
          <w:highlight w:val="none"/>
          <w:lang w:eastAsia="zh-CN"/>
        </w:rPr>
        <w:t>，</w:t>
      </w:r>
      <w:r>
        <w:rPr>
          <w:color w:val="auto"/>
          <w:highlight w:val="none"/>
        </w:rPr>
        <w:t>所有组件不应有影响正常运作的变形或磨损</w:t>
      </w:r>
      <w:r>
        <w:rPr>
          <w:rFonts w:hint="eastAsia"/>
          <w:color w:val="auto"/>
          <w:highlight w:val="none"/>
          <w:lang w:eastAsia="zh-CN"/>
        </w:rPr>
        <w:t>，</w:t>
      </w:r>
      <w:r>
        <w:rPr>
          <w:color w:val="auto"/>
          <w:highlight w:val="none"/>
        </w:rPr>
        <w:t>固定组件不应松动</w:t>
      </w:r>
      <w:r>
        <w:rPr>
          <w:rFonts w:hint="eastAsia"/>
          <w:color w:val="auto"/>
          <w:highlight w:val="none"/>
          <w:lang w:eastAsia="zh-CN"/>
        </w:rPr>
        <w:t>，</w:t>
      </w:r>
      <w:r>
        <w:rPr>
          <w:color w:val="auto"/>
          <w:highlight w:val="none"/>
        </w:rPr>
        <w:t>所有组件的功能不应损害</w:t>
      </w:r>
      <w:r>
        <w:rPr>
          <w:rFonts w:hint="eastAsia"/>
          <w:color w:val="auto"/>
          <w:highlight w:val="none"/>
          <w:lang w:eastAsia="zh-CN"/>
        </w:rPr>
        <w:t>，</w:t>
      </w:r>
      <w:r>
        <w:rPr>
          <w:color w:val="auto"/>
          <w:highlight w:val="none"/>
        </w:rPr>
        <w:t>杯状暗铰链及其组件应能正常工作</w:t>
      </w:r>
      <w:r>
        <w:rPr>
          <w:rFonts w:hint="eastAsia"/>
          <w:color w:val="auto"/>
          <w:highlight w:val="none"/>
          <w:lang w:eastAsia="zh-CN"/>
        </w:rPr>
        <w:t>。</w:t>
      </w:r>
      <w:r>
        <w:rPr>
          <w:rFonts w:hint="eastAsia"/>
          <w:color w:val="auto"/>
          <w:highlight w:val="none"/>
          <w:lang w:val="en-US" w:eastAsia="zh-CN"/>
        </w:rPr>
        <w:t>参照</w:t>
      </w:r>
      <w:r>
        <w:rPr>
          <w:color w:val="auto"/>
          <w:highlight w:val="none"/>
        </w:rPr>
        <w:t>GB/T 10125-2012人造气氛腐蚀测试—盐雾测试</w:t>
      </w:r>
      <w:r>
        <w:rPr>
          <w:rFonts w:hint="eastAsia"/>
          <w:color w:val="auto"/>
          <w:highlight w:val="none"/>
          <w:lang w:eastAsia="zh-CN"/>
        </w:rPr>
        <w:t>，</w:t>
      </w:r>
      <w:r>
        <w:rPr>
          <w:rFonts w:hint="eastAsia"/>
          <w:color w:val="auto"/>
          <w:highlight w:val="none"/>
          <w:lang w:val="en-US" w:eastAsia="zh-CN"/>
        </w:rPr>
        <w:t>测试结果≥9级。</w:t>
      </w:r>
      <w:r>
        <w:rPr>
          <w:rFonts w:hint="eastAsia" w:ascii="宋体" w:hAnsi="宋体" w:eastAsia="宋体" w:cs="宋体"/>
          <w:b/>
          <w:bCs/>
          <w:color w:val="auto"/>
          <w:sz w:val="24"/>
          <w:szCs w:val="24"/>
          <w:highlight w:val="none"/>
        </w:rPr>
        <w:t>所检项目符合</w:t>
      </w:r>
      <w:r>
        <w:rPr>
          <w:rFonts w:hint="eastAsia" w:hAnsi="宋体" w:cs="宋体"/>
          <w:b/>
          <w:bCs/>
          <w:color w:val="auto"/>
          <w:sz w:val="24"/>
          <w:szCs w:val="24"/>
          <w:highlight w:val="none"/>
          <w:lang w:val="en-US" w:eastAsia="zh-CN"/>
        </w:rPr>
        <w:t>以上</w:t>
      </w:r>
      <w:r>
        <w:rPr>
          <w:rFonts w:hint="eastAsia" w:ascii="宋体" w:hAnsi="宋体" w:eastAsia="宋体" w:cs="宋体"/>
          <w:b/>
          <w:bCs/>
          <w:color w:val="auto"/>
          <w:sz w:val="24"/>
          <w:szCs w:val="24"/>
          <w:highlight w:val="none"/>
        </w:rPr>
        <w:t>要求</w:t>
      </w:r>
      <w:r>
        <w:rPr>
          <w:rFonts w:hint="eastAsia" w:hAnsi="宋体" w:cs="宋体"/>
          <w:b/>
          <w:bCs/>
          <w:color w:val="auto"/>
          <w:sz w:val="24"/>
          <w:szCs w:val="24"/>
          <w:highlight w:val="none"/>
          <w:lang w:val="en-US" w:eastAsia="zh-CN"/>
        </w:rPr>
        <w:t>并提供相应检验报告佐证</w:t>
      </w:r>
      <w:r>
        <w:rPr>
          <w:rFonts w:hint="eastAsia" w:ascii="宋体" w:hAnsi="宋体" w:eastAsia="宋体" w:cs="宋体"/>
          <w:b/>
          <w:bCs/>
          <w:color w:val="auto"/>
          <w:sz w:val="24"/>
          <w:szCs w:val="24"/>
          <w:highlight w:val="none"/>
        </w:rPr>
        <w:t>。</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b/>
          <w:bCs/>
          <w:color w:val="auto"/>
          <w:kern w:val="0"/>
          <w:sz w:val="24"/>
          <w:szCs w:val="24"/>
          <w:lang w:val="en-US" w:eastAsia="zh-CN" w:bidi="ar-SA"/>
        </w:rPr>
        <w:t>▲</w:t>
      </w:r>
      <w:r>
        <w:rPr>
          <w:rFonts w:hint="eastAsia" w:ascii="宋体" w:hAnsi="宋体" w:eastAsia="宋体" w:cs="宋体"/>
          <w:b/>
          <w:bCs/>
          <w:color w:val="auto"/>
          <w:kern w:val="0"/>
          <w:sz w:val="24"/>
          <w:szCs w:val="24"/>
          <w:shd w:val="clear" w:color="auto" w:fill="FFFFFF"/>
          <w:lang w:val="en-US" w:eastAsia="zh-CN" w:bidi="ar-SA"/>
        </w:rPr>
        <w:t>5、文件柜：</w:t>
      </w:r>
      <w:r>
        <w:rPr>
          <w:rFonts w:hint="eastAsia" w:ascii="宋体" w:hAnsi="宋体" w:eastAsia="宋体" w:cs="宋体"/>
          <w:color w:val="auto"/>
          <w:kern w:val="0"/>
          <w:sz w:val="24"/>
          <w:szCs w:val="24"/>
          <w:lang w:val="en-US" w:eastAsia="zh-CN" w:bidi="ar-SA"/>
        </w:rPr>
        <w:t>钢玻结构，钢制柜体，带玻璃视窗</w:t>
      </w:r>
      <w:r>
        <w:rPr>
          <w:rFonts w:hint="eastAsia" w:hAnsi="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CN" w:bidi="ar-SA"/>
        </w:rPr>
        <w:t>产品依据GB/T 3325-2017《金属家具通用技术条件》GB/T 35607-2017《绿色产品评价家具》检验</w:t>
      </w:r>
      <w:r>
        <w:rPr>
          <w:rFonts w:hint="eastAsia" w:hAnsi="宋体" w:cs="宋体"/>
          <w:color w:val="auto"/>
          <w:kern w:val="0"/>
          <w:sz w:val="24"/>
          <w:szCs w:val="24"/>
          <w:lang w:val="en-US" w:eastAsia="zh-CN" w:bidi="ar-SA"/>
        </w:rPr>
        <w:t>标准</w:t>
      </w:r>
      <w:r>
        <w:rPr>
          <w:rFonts w:hint="eastAsia" w:ascii="宋体" w:hAnsi="宋体" w:eastAsia="宋体" w:cs="宋体"/>
          <w:color w:val="auto"/>
          <w:kern w:val="0"/>
          <w:sz w:val="24"/>
          <w:szCs w:val="24"/>
          <w:lang w:val="en-US" w:eastAsia="zh-CN" w:bidi="ar-SA"/>
        </w:rPr>
        <w:t>，</w:t>
      </w:r>
      <w:r>
        <w:rPr>
          <w:rFonts w:hint="eastAsia" w:hAnsi="宋体" w:cs="宋体"/>
          <w:color w:val="auto"/>
          <w:sz w:val="24"/>
          <w:szCs w:val="24"/>
          <w:lang w:val="en-US" w:eastAsia="zh-CN"/>
        </w:rPr>
        <w:t>经检验产品以下参数均应符合标准</w:t>
      </w:r>
      <w:r>
        <w:rPr>
          <w:rFonts w:hint="eastAsia" w:ascii="宋体" w:hAnsi="宋体" w:eastAsia="宋体" w:cs="宋体"/>
          <w:color w:val="auto"/>
          <w:kern w:val="0"/>
          <w:sz w:val="24"/>
          <w:szCs w:val="24"/>
          <w:lang w:val="en-US" w:eastAsia="zh-CN" w:bidi="ar-SA"/>
        </w:rPr>
        <w:t>：主要尺寸及偏差，形状和位置公差，外观性能要求，安全性能要求，理化性能要求，</w:t>
      </w:r>
      <w:r>
        <w:rPr>
          <w:rFonts w:hint="eastAsia" w:ascii="宋体" w:hAnsi="宋体" w:eastAsia="宋体" w:cs="宋体"/>
          <w:color w:val="auto"/>
          <w:kern w:val="0"/>
          <w:sz w:val="24"/>
          <w:szCs w:val="24"/>
          <w:highlight w:val="none"/>
          <w:lang w:val="en-US" w:eastAsia="zh-CN" w:bidi="ar-SA"/>
        </w:rPr>
        <w:t>力学性能要求，品质属性</w:t>
      </w:r>
      <w:r>
        <w:rPr>
          <w:rFonts w:hint="eastAsia"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lang w:val="en-US" w:eastAsia="zh-CN" w:bidi="ar-SA"/>
        </w:rPr>
        <w:t>甲醛释放量、苯、甲苯、二甲苯、总挥发性有机化合物(TVOC)均未检出</w:t>
      </w:r>
      <w:r>
        <w:rPr>
          <w:rFonts w:hint="eastAsia" w:hAnsi="宋体" w:cs="宋体"/>
          <w:color w:val="auto"/>
          <w:kern w:val="0"/>
          <w:sz w:val="24"/>
          <w:szCs w:val="24"/>
          <w:highlight w:val="none"/>
          <w:lang w:val="en-US" w:eastAsia="zh-CN" w:bidi="ar-SA"/>
        </w:rPr>
        <w:t>）。</w:t>
      </w:r>
      <w:r>
        <w:rPr>
          <w:rFonts w:hint="eastAsia" w:ascii="宋体" w:hAnsi="宋体" w:eastAsia="宋体" w:cs="宋体"/>
          <w:b/>
          <w:bCs/>
          <w:color w:val="auto"/>
          <w:sz w:val="24"/>
          <w:szCs w:val="24"/>
          <w:highlight w:val="none"/>
        </w:rPr>
        <w:t>所检项目符合</w:t>
      </w:r>
      <w:r>
        <w:rPr>
          <w:rFonts w:hint="eastAsia" w:hAnsi="宋体" w:cs="宋体"/>
          <w:b/>
          <w:bCs/>
          <w:color w:val="auto"/>
          <w:sz w:val="24"/>
          <w:szCs w:val="24"/>
          <w:highlight w:val="none"/>
          <w:lang w:val="en-US" w:eastAsia="zh-CN"/>
        </w:rPr>
        <w:t>以上</w:t>
      </w:r>
      <w:r>
        <w:rPr>
          <w:rFonts w:hint="eastAsia" w:ascii="宋体" w:hAnsi="宋体" w:eastAsia="宋体" w:cs="宋体"/>
          <w:b/>
          <w:bCs/>
          <w:color w:val="auto"/>
          <w:sz w:val="24"/>
          <w:szCs w:val="24"/>
          <w:highlight w:val="none"/>
        </w:rPr>
        <w:t>要求</w:t>
      </w:r>
      <w:r>
        <w:rPr>
          <w:rFonts w:hint="eastAsia" w:hAnsi="宋体" w:cs="宋体"/>
          <w:b/>
          <w:bCs/>
          <w:color w:val="auto"/>
          <w:sz w:val="24"/>
          <w:szCs w:val="24"/>
          <w:highlight w:val="none"/>
          <w:lang w:val="en-US" w:eastAsia="zh-CN"/>
        </w:rPr>
        <w:t>并提供相应检验报告佐证</w:t>
      </w:r>
      <w:r>
        <w:rPr>
          <w:rFonts w:hint="eastAsia" w:ascii="宋体" w:hAnsi="宋体" w:eastAsia="宋体" w:cs="宋体"/>
          <w:b/>
          <w:bCs/>
          <w:color w:val="auto"/>
          <w:sz w:val="24"/>
          <w:szCs w:val="24"/>
          <w:highlight w:val="none"/>
        </w:rPr>
        <w:t>。</w:t>
      </w:r>
    </w:p>
    <w:p>
      <w:pPr>
        <w:pStyle w:val="2"/>
        <w:keepNext w:val="0"/>
        <w:keepLines w:val="0"/>
        <w:pageBreakBefore w:val="0"/>
        <w:kinsoku/>
        <w:wordWrap/>
        <w:overflowPunct/>
        <w:topLinePunct w:val="0"/>
        <w:autoSpaceDE/>
        <w:autoSpaceDN/>
        <w:bidi w:val="0"/>
        <w:adjustRightInd/>
        <w:snapToGrid/>
        <w:spacing w:line="360" w:lineRule="auto"/>
        <w:ind w:firstLine="843" w:firstLineChars="400"/>
        <w:textAlignment w:val="auto"/>
        <w:rPr>
          <w:rFonts w:hint="eastAsia" w:ascii="宋体" w:hAnsi="宋体" w:eastAsia="宋体" w:cs="宋体"/>
          <w:color w:val="auto"/>
          <w:kern w:val="0"/>
          <w:sz w:val="24"/>
          <w:szCs w:val="24"/>
          <w:highlight w:val="none"/>
          <w:shd w:val="clear"/>
          <w:lang w:val="en-US" w:eastAsia="zh-CN" w:bidi="ar-SA"/>
        </w:rPr>
      </w:pPr>
      <w:r>
        <w:rPr>
          <w:rFonts w:hint="eastAsia" w:ascii="宋体" w:hAnsi="宋体" w:eastAsia="宋体" w:cs="宋体"/>
          <w:b/>
          <w:bCs/>
          <w:color w:val="auto"/>
          <w:sz w:val="21"/>
          <w:szCs w:val="21"/>
          <w:highlight w:val="none"/>
          <w:lang w:val="en-US"/>
        </w:rPr>
        <w:t>★</w:t>
      </w:r>
      <w:r>
        <w:rPr>
          <w:rFonts w:hint="eastAsia" w:ascii="宋体" w:hAnsi="宋体" w:eastAsia="宋体" w:cs="宋体"/>
          <w:b/>
          <w:bCs/>
          <w:color w:val="auto"/>
          <w:kern w:val="0"/>
          <w:sz w:val="24"/>
          <w:szCs w:val="24"/>
          <w:highlight w:val="none"/>
          <w:shd w:val="clear"/>
          <w:lang w:val="en-US" w:eastAsia="zh-CN" w:bidi="ar-SA"/>
        </w:rPr>
        <w:t>5.1、基材</w:t>
      </w:r>
      <w:r>
        <w:rPr>
          <w:rFonts w:hint="eastAsia" w:ascii="宋体" w:hAnsi="宋体" w:eastAsia="宋体" w:cs="宋体"/>
          <w:color w:val="auto"/>
          <w:kern w:val="0"/>
          <w:sz w:val="24"/>
          <w:szCs w:val="24"/>
          <w:highlight w:val="none"/>
          <w:shd w:val="clear"/>
          <w:lang w:val="en-US" w:eastAsia="zh-CN" w:bidi="ar-SA"/>
        </w:rPr>
        <w:t>：采用厚度≥0.8mm优质冷轧钢板。外观金属件的电镀层检测结果为未见缺陷，单项评价均合格；中性盐雾（205h）测试镀（涂）层对基体的保护等级和镀（涂）层本身耐腐蚀等级≥10级，符合GB/T3325-2017 《金属家具通用技术条件》，GB/T10125-2012《人造气氛腐蚀试验 盐雾试验》。</w:t>
      </w:r>
    </w:p>
    <w:p>
      <w:pPr>
        <w:pStyle w:val="2"/>
        <w:keepNext w:val="0"/>
        <w:keepLines w:val="0"/>
        <w:pageBreakBefore w:val="0"/>
        <w:widowControl w:val="0"/>
        <w:kinsoku/>
        <w:wordWrap/>
        <w:overflowPunct/>
        <w:topLinePunct w:val="0"/>
        <w:autoSpaceDE/>
        <w:autoSpaceDN/>
        <w:bidi w:val="0"/>
        <w:adjustRightInd/>
        <w:snapToGrid/>
        <w:spacing w:line="360" w:lineRule="auto"/>
        <w:ind w:firstLine="964" w:firstLineChars="400"/>
        <w:textAlignment w:val="auto"/>
        <w:rPr>
          <w:rFonts w:hint="eastAsia" w:ascii="宋体" w:hAnsi="宋体" w:eastAsia="宋体" w:cs="宋体"/>
          <w:color w:val="auto"/>
          <w:kern w:val="0"/>
          <w:sz w:val="24"/>
          <w:szCs w:val="24"/>
          <w:highlight w:val="none"/>
          <w:shd w:val="clear"/>
          <w:lang w:val="en-US" w:eastAsia="zh-CN" w:bidi="ar-SA"/>
        </w:rPr>
      </w:pPr>
      <w:r>
        <w:rPr>
          <w:rFonts w:hint="eastAsia" w:ascii="宋体" w:hAnsi="宋体" w:eastAsia="宋体" w:cs="宋体"/>
          <w:b/>
          <w:bCs/>
          <w:color w:val="auto"/>
          <w:kern w:val="0"/>
          <w:sz w:val="24"/>
          <w:szCs w:val="24"/>
          <w:highlight w:val="none"/>
          <w:shd w:val="clear"/>
          <w:lang w:val="en-US" w:eastAsia="zh-CN" w:bidi="ar-SA"/>
        </w:rPr>
        <w:t>5.2、涂层：</w:t>
      </w:r>
      <w:r>
        <w:rPr>
          <w:rFonts w:hint="eastAsia" w:ascii="宋体" w:hAnsi="宋体" w:eastAsia="宋体" w:cs="宋体"/>
          <w:color w:val="auto"/>
          <w:kern w:val="0"/>
          <w:sz w:val="24"/>
          <w:szCs w:val="24"/>
          <w:highlight w:val="none"/>
          <w:shd w:val="clear"/>
          <w:lang w:val="en-US" w:eastAsia="zh-CN" w:bidi="ar-SA"/>
        </w:rPr>
        <w:t>喷涂层采用优质塑粉，重金属可溶性铅、可溶性镉、可溶性铬、可溶性汞均未检出，符合HG/T 2006-2006《热固性粉末涂料》标准。</w:t>
      </w:r>
    </w:p>
    <w:p>
      <w:pPr>
        <w:keepNext w:val="0"/>
        <w:keepLines w:val="0"/>
        <w:pageBreakBefore w:val="0"/>
        <w:widowControl w:val="0"/>
        <w:kinsoku/>
        <w:wordWrap/>
        <w:overflowPunct/>
        <w:topLinePunct w:val="0"/>
        <w:autoSpaceDE/>
        <w:autoSpaceDN/>
        <w:bidi w:val="0"/>
        <w:adjustRightInd/>
        <w:snapToGrid/>
        <w:spacing w:line="360" w:lineRule="auto"/>
        <w:ind w:firstLine="964" w:firstLineChars="400"/>
        <w:textAlignment w:val="auto"/>
        <w:rPr>
          <w:rFonts w:hint="eastAsia" w:ascii="宋体" w:hAnsi="宋体" w:eastAsia="宋体" w:cs="宋体"/>
          <w:color w:val="auto"/>
          <w:kern w:val="0"/>
          <w:sz w:val="24"/>
          <w:szCs w:val="24"/>
          <w:highlight w:val="none"/>
          <w:shd w:val="clear" w:color="auto" w:fill="FFFFFF"/>
          <w:lang w:val="en-US" w:eastAsia="zh-CN" w:bidi="ar-SA"/>
        </w:rPr>
      </w:pPr>
      <w:r>
        <w:rPr>
          <w:rFonts w:hint="eastAsia" w:ascii="宋体" w:hAnsi="宋体" w:eastAsia="宋体" w:cs="宋体"/>
          <w:b/>
          <w:bCs/>
          <w:color w:val="auto"/>
          <w:kern w:val="0"/>
          <w:sz w:val="24"/>
          <w:szCs w:val="24"/>
          <w:highlight w:val="none"/>
          <w:shd w:val="clear"/>
          <w:lang w:val="en-US" w:eastAsia="zh-CN" w:bidi="ar-SA"/>
        </w:rPr>
        <w:t>5.</w:t>
      </w:r>
      <w:r>
        <w:rPr>
          <w:rFonts w:hint="eastAsia" w:ascii="宋体" w:hAnsi="宋体" w:cs="宋体"/>
          <w:b/>
          <w:bCs/>
          <w:color w:val="auto"/>
          <w:kern w:val="0"/>
          <w:sz w:val="24"/>
          <w:szCs w:val="24"/>
          <w:highlight w:val="none"/>
          <w:shd w:val="clear"/>
          <w:lang w:val="en-US" w:eastAsia="zh-CN" w:bidi="ar-SA"/>
        </w:rPr>
        <w:t>3</w:t>
      </w:r>
      <w:r>
        <w:rPr>
          <w:rFonts w:hint="eastAsia" w:ascii="宋体" w:hAnsi="宋体" w:eastAsia="宋体" w:cs="宋体"/>
          <w:b/>
          <w:bCs/>
          <w:color w:val="auto"/>
          <w:kern w:val="0"/>
          <w:sz w:val="24"/>
          <w:szCs w:val="24"/>
          <w:highlight w:val="none"/>
          <w:shd w:val="clear"/>
          <w:lang w:val="en-US" w:eastAsia="zh-CN" w:bidi="ar-SA"/>
        </w:rPr>
        <w:t>、</w:t>
      </w:r>
      <w:r>
        <w:rPr>
          <w:rFonts w:hint="eastAsia" w:ascii="宋体" w:hAnsi="宋体" w:cs="宋体"/>
          <w:b/>
          <w:bCs/>
          <w:color w:val="auto"/>
          <w:kern w:val="0"/>
          <w:sz w:val="24"/>
          <w:szCs w:val="24"/>
          <w:highlight w:val="none"/>
          <w:shd w:val="clear"/>
          <w:lang w:val="en-US" w:eastAsia="zh-CN" w:bidi="ar-SA"/>
        </w:rPr>
        <w:t>底板</w:t>
      </w:r>
      <w:r>
        <w:rPr>
          <w:rFonts w:hint="eastAsia" w:ascii="宋体" w:hAnsi="宋体" w:eastAsia="宋体" w:cs="宋体"/>
          <w:b/>
          <w:bCs/>
          <w:color w:val="auto"/>
          <w:kern w:val="0"/>
          <w:sz w:val="24"/>
          <w:szCs w:val="24"/>
          <w:highlight w:val="none"/>
          <w:shd w:val="clear"/>
          <w:lang w:val="en-US" w:eastAsia="zh-CN" w:bidi="ar-SA"/>
        </w:rPr>
        <w:t>：</w:t>
      </w:r>
      <w:r>
        <w:rPr>
          <w:rFonts w:hint="eastAsia" w:ascii="宋体" w:hAnsi="宋体" w:eastAsia="宋体" w:cs="宋体"/>
          <w:color w:val="auto"/>
          <w:kern w:val="0"/>
          <w:sz w:val="24"/>
          <w:szCs w:val="24"/>
          <w:highlight w:val="none"/>
          <w:shd w:val="clear" w:color="auto" w:fill="FFFFFF"/>
          <w:lang w:val="en-US" w:eastAsia="zh-CN" w:bidi="ar-SA"/>
        </w:rPr>
        <w:t>采用优质合成底板，符合以下技术参数并提供检验报告佐证：放射性经第三方检测机构检测，内照射指数、外照射指数均为0；承重性能经第三方检测机构检测，均布荷载值≥5000N/㎡，挠度：≤0.54mm；氧指数经第三方检测机构检测，氧指数≥40。</w:t>
      </w:r>
    </w:p>
    <w:p>
      <w:pPr>
        <w:pStyle w:val="11"/>
        <w:keepNext w:val="0"/>
        <w:keepLines w:val="0"/>
        <w:pageBreakBefore w:val="0"/>
        <w:widowControl/>
        <w:suppressLineNumbers w:val="0"/>
        <w:kinsoku/>
        <w:wordWrap/>
        <w:topLinePunct w:val="0"/>
        <w:bidi w:val="0"/>
        <w:spacing w:before="0" w:beforeAutospacing="0" w:after="0" w:afterAutospacing="0" w:line="360" w:lineRule="auto"/>
        <w:ind w:left="0" w:right="0" w:firstLine="960" w:firstLineChars="400"/>
        <w:rPr>
          <w:rFonts w:hint="eastAsia" w:eastAsia="宋体"/>
          <w:color w:val="auto"/>
          <w:lang w:eastAsia="zh-CN"/>
        </w:rPr>
      </w:pPr>
    </w:p>
    <w:p>
      <w:pPr>
        <w:pStyle w:val="11"/>
        <w:keepNext w:val="0"/>
        <w:keepLines w:val="0"/>
        <w:pageBreakBefore w:val="0"/>
        <w:widowControl/>
        <w:suppressLineNumbers w:val="0"/>
        <w:kinsoku/>
        <w:wordWrap/>
        <w:topLinePunct w:val="0"/>
        <w:bidi w:val="0"/>
        <w:spacing w:before="0" w:beforeAutospacing="0" w:after="0" w:afterAutospacing="0" w:line="360" w:lineRule="auto"/>
        <w:ind w:left="0" w:right="0" w:firstLine="960" w:firstLineChars="400"/>
        <w:rPr>
          <w:rFonts w:hint="eastAsia" w:eastAsia="宋体"/>
          <w:color w:val="auto"/>
          <w:lang w:eastAsia="zh-CN"/>
        </w:rPr>
      </w:pPr>
    </w:p>
    <w:p>
      <w:pPr>
        <w:pStyle w:val="2"/>
        <w:keepNext w:val="0"/>
        <w:keepLines w:val="0"/>
        <w:pageBreakBefore w:val="0"/>
        <w:numPr>
          <w:ilvl w:val="0"/>
          <w:numId w:val="0"/>
        </w:numPr>
        <w:kinsoku/>
        <w:wordWrap/>
        <w:overflowPunct/>
        <w:topLinePunct w:val="0"/>
        <w:autoSpaceDE/>
        <w:autoSpaceDN/>
        <w:bidi w:val="0"/>
        <w:adjustRightInd/>
        <w:snapToGrid/>
        <w:spacing w:line="360" w:lineRule="auto"/>
        <w:ind w:firstLine="960" w:firstLineChars="400"/>
        <w:textAlignment w:val="auto"/>
        <w:rPr>
          <w:rFonts w:hint="eastAsia" w:ascii="宋体" w:hAnsi="宋体" w:eastAsia="宋体" w:cs="宋体"/>
          <w:color w:val="auto"/>
          <w:kern w:val="0"/>
          <w:sz w:val="24"/>
          <w:szCs w:val="24"/>
          <w:shd w:val="clear"/>
          <w:lang w:val="en-US" w:eastAsia="zh-CN" w:bidi="ar-SA"/>
        </w:rPr>
      </w:pPr>
    </w:p>
    <w:p>
      <w:pPr>
        <w:pStyle w:val="2"/>
        <w:keepNext w:val="0"/>
        <w:keepLines w:val="0"/>
        <w:pageBreakBefore w:val="0"/>
        <w:kinsoku/>
        <w:wordWrap/>
        <w:overflowPunct/>
        <w:topLinePunct w:val="0"/>
        <w:autoSpaceDE/>
        <w:autoSpaceDN/>
        <w:bidi w:val="0"/>
        <w:adjustRightInd/>
        <w:snapToGrid/>
        <w:spacing w:line="360" w:lineRule="auto"/>
        <w:textAlignment w:val="auto"/>
        <w:rPr>
          <w:rFonts w:hint="default" w:ascii="宋体" w:hAnsi="宋体" w:eastAsia="宋体" w:cs="宋体"/>
          <w:color w:val="auto"/>
          <w:kern w:val="0"/>
          <w:sz w:val="24"/>
          <w:szCs w:val="24"/>
          <w:shd w:val="clear"/>
          <w:lang w:val="en-US" w:eastAsia="zh-CN" w:bidi="ar-SA"/>
        </w:rPr>
      </w:pPr>
      <w:r>
        <w:rPr>
          <w:rFonts w:hint="eastAsia" w:ascii="宋体" w:hAnsi="宋体" w:eastAsia="宋体" w:cs="宋体"/>
          <w:color w:val="auto"/>
          <w:kern w:val="0"/>
          <w:sz w:val="24"/>
          <w:szCs w:val="24"/>
          <w:shd w:val="clear"/>
          <w:lang w:val="en-US" w:eastAsia="zh-CN" w:bidi="ar-SA"/>
        </w:rPr>
        <w:t xml:space="preserve">  </w:t>
      </w:r>
    </w:p>
    <w:p>
      <w:pPr>
        <w:pStyle w:val="7"/>
        <w:pageBreakBefore w:val="0"/>
        <w:widowControl w:val="0"/>
        <w:numPr>
          <w:ilvl w:val="0"/>
          <w:numId w:val="0"/>
        </w:numPr>
        <w:kinsoku/>
        <w:wordWrap/>
        <w:topLinePunct w:val="0"/>
        <w:bidi w:val="0"/>
        <w:spacing w:line="360" w:lineRule="auto"/>
        <w:jc w:val="both"/>
        <w:rPr>
          <w:rFonts w:hint="default"/>
          <w:color w:val="auto"/>
          <w:sz w:val="21"/>
          <w:szCs w:val="21"/>
          <w:lang w:val="en-US" w:eastAsia="zh-CN"/>
        </w:rPr>
        <w:sectPr>
          <w:pgSz w:w="11905" w:h="16838"/>
          <w:pgMar w:top="1440" w:right="1803" w:bottom="1440" w:left="1803" w:header="851" w:footer="992" w:gutter="0"/>
          <w:pgNumType w:fmt="numberInDash"/>
          <w:cols w:space="0" w:num="1"/>
          <w:rtlGutter w:val="0"/>
          <w:docGrid w:type="lines" w:linePitch="319" w:charSpace="0"/>
        </w:sectPr>
      </w:pP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textAlignment w:val="auto"/>
        <w:rPr>
          <w:rFonts w:hint="eastAsia" w:eastAsia="宋体"/>
          <w:color w:val="auto"/>
          <w:sz w:val="24"/>
          <w:szCs w:val="24"/>
          <w:lang w:eastAsia="zh-CN"/>
        </w:rPr>
      </w:pPr>
      <w:r>
        <w:rPr>
          <w:rFonts w:hint="eastAsia" w:cs="宋体"/>
          <w:b/>
          <w:color w:val="auto"/>
          <w:sz w:val="24"/>
          <w:szCs w:val="24"/>
          <w:lang w:eastAsia="zh-CN" w:bidi="ar-SA"/>
        </w:rPr>
        <w:t>（四）其他要求</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1.交货地点：福建省莆田环境监测中心站新大楼</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2.交货时间：收到甲方通知后30日内送达</w:t>
      </w:r>
      <w:r>
        <w:rPr>
          <w:rFonts w:hint="eastAsia" w:hAnsi="宋体" w:cs="宋体"/>
          <w:color w:val="auto"/>
          <w:kern w:val="0"/>
          <w:sz w:val="24"/>
          <w:szCs w:val="24"/>
          <w:lang w:val="en-US" w:eastAsia="zh-CN" w:bidi="ar-SA"/>
        </w:rPr>
        <w:t>或按合同要求执行</w:t>
      </w:r>
      <w:r>
        <w:rPr>
          <w:rFonts w:hint="eastAsia" w:ascii="宋体" w:hAnsi="宋体" w:eastAsia="宋体" w:cs="宋体"/>
          <w:color w:val="auto"/>
          <w:kern w:val="0"/>
          <w:sz w:val="24"/>
          <w:szCs w:val="24"/>
          <w:lang w:val="en-US" w:eastAsia="zh-CN" w:bidi="ar-SA"/>
        </w:rPr>
        <w:t>。</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 xml:space="preserve">3.交货条件：验收合格 </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4.是否收取履约保证金：否。</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5.是否邀请供应商参与验收：否</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0"/>
          <w:sz w:val="24"/>
          <w:szCs w:val="24"/>
          <w:lang w:eastAsia="zh-CN" w:bidi="ar-SA"/>
        </w:rPr>
      </w:pPr>
      <w:r>
        <w:rPr>
          <w:rFonts w:hint="eastAsia" w:ascii="宋体" w:hAnsi="宋体" w:eastAsia="宋体" w:cs="宋体"/>
          <w:color w:val="auto"/>
          <w:kern w:val="0"/>
          <w:sz w:val="24"/>
          <w:szCs w:val="24"/>
          <w:lang w:eastAsia="zh-CN" w:bidi="ar-SA"/>
        </w:rPr>
        <w:t>6.验收方式</w:t>
      </w:r>
      <w:r>
        <w:rPr>
          <w:rFonts w:hint="eastAsia" w:hAnsi="宋体" w:cs="宋体"/>
          <w:color w:val="auto"/>
          <w:kern w:val="0"/>
          <w:sz w:val="24"/>
          <w:szCs w:val="24"/>
          <w:lang w:eastAsia="zh-CN" w:bidi="ar-SA"/>
        </w:rPr>
        <w:t>：按照询价文件及合同要求执行。</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0"/>
          <w:sz w:val="24"/>
          <w:szCs w:val="24"/>
          <w:lang w:eastAsia="zh-CN" w:bidi="ar-SA"/>
        </w:rPr>
      </w:pPr>
      <w:r>
        <w:rPr>
          <w:rFonts w:hint="eastAsia" w:ascii="宋体" w:hAnsi="宋体" w:eastAsia="宋体" w:cs="宋体"/>
          <w:color w:val="auto"/>
          <w:kern w:val="0"/>
          <w:sz w:val="24"/>
          <w:szCs w:val="24"/>
          <w:lang w:bidi="ar-SA"/>
        </w:rPr>
        <w:t>7.支付方式</w:t>
      </w:r>
      <w:r>
        <w:rPr>
          <w:rFonts w:hint="eastAsia" w:hAnsi="宋体" w:cs="宋体"/>
          <w:color w:val="auto"/>
          <w:kern w:val="0"/>
          <w:sz w:val="24"/>
          <w:szCs w:val="24"/>
          <w:lang w:eastAsia="zh-CN" w:bidi="ar-SA"/>
        </w:rPr>
        <w:t>：</w:t>
      </w:r>
      <w:r>
        <w:rPr>
          <w:rFonts w:hint="eastAsia" w:ascii="宋体" w:hAnsi="宋体" w:eastAsia="宋体" w:cs="宋体"/>
          <w:color w:val="auto"/>
          <w:kern w:val="0"/>
          <w:sz w:val="24"/>
          <w:szCs w:val="24"/>
          <w:lang w:val="en-US" w:eastAsia="zh-CN" w:bidi="ar-SA"/>
        </w:rPr>
        <w:t>全部货物到货、安装调试合格后，中标方开具100%发票，采购人于</w:t>
      </w:r>
      <w:r>
        <w:rPr>
          <w:rFonts w:hint="eastAsia" w:hAnsi="宋体" w:cs="宋体"/>
          <w:color w:val="auto"/>
          <w:kern w:val="0"/>
          <w:sz w:val="24"/>
          <w:szCs w:val="24"/>
          <w:lang w:val="en-US" w:eastAsia="zh-CN" w:bidi="ar-SA"/>
        </w:rPr>
        <w:t>收到正式发票后</w:t>
      </w:r>
      <w:r>
        <w:rPr>
          <w:rFonts w:hint="eastAsia" w:ascii="宋体" w:hAnsi="宋体" w:eastAsia="宋体" w:cs="宋体"/>
          <w:color w:val="auto"/>
          <w:kern w:val="0"/>
          <w:sz w:val="24"/>
          <w:szCs w:val="24"/>
          <w:lang w:val="en-US" w:eastAsia="zh-CN" w:bidi="ar-SA"/>
        </w:rPr>
        <w:t>15个工作日付清款项。</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color w:val="auto"/>
          <w:sz w:val="24"/>
          <w:szCs w:val="24"/>
        </w:rPr>
      </w:pPr>
      <w:r>
        <w:rPr>
          <w:rFonts w:hint="eastAsia" w:cs="宋体"/>
          <w:color w:val="auto"/>
          <w:sz w:val="24"/>
          <w:szCs w:val="24"/>
          <w:lang w:val="en-US" w:eastAsia="zh-CN" w:bidi="ar-SA"/>
        </w:rPr>
        <w:t>8.</w:t>
      </w:r>
      <w:r>
        <w:rPr>
          <w:rFonts w:hint="eastAsia" w:ascii="宋体" w:eastAsia="宋体" w:cs="宋体"/>
          <w:color w:val="auto"/>
          <w:sz w:val="24"/>
          <w:szCs w:val="24"/>
          <w:lang w:bidi="ar-SA"/>
        </w:rPr>
        <w:t xml:space="preserve"> 安装与调试</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bidi="ar-SA"/>
        </w:rPr>
        <w:t>货物由</w:t>
      </w:r>
      <w:r>
        <w:rPr>
          <w:rFonts w:hint="eastAsia" w:hAnsi="宋体" w:cs="宋体"/>
          <w:color w:val="auto"/>
          <w:kern w:val="0"/>
          <w:sz w:val="24"/>
          <w:szCs w:val="24"/>
          <w:lang w:eastAsia="zh-CN" w:bidi="ar-SA"/>
        </w:rPr>
        <w:t>中标人</w:t>
      </w:r>
      <w:r>
        <w:rPr>
          <w:rFonts w:hint="eastAsia" w:ascii="宋体" w:hAnsi="宋体" w:eastAsia="宋体" w:cs="宋体"/>
          <w:color w:val="auto"/>
          <w:kern w:val="0"/>
          <w:sz w:val="24"/>
          <w:szCs w:val="24"/>
          <w:lang w:bidi="ar-SA"/>
        </w:rPr>
        <w:t>按照合同约定的具体数量、地点及时间运送到安装现场</w:t>
      </w:r>
      <w:r>
        <w:rPr>
          <w:rFonts w:hint="eastAsia" w:ascii="宋体" w:hAnsi="宋体" w:eastAsia="宋体" w:cs="宋体"/>
          <w:color w:val="auto"/>
          <w:kern w:val="0"/>
          <w:sz w:val="24"/>
          <w:szCs w:val="24"/>
          <w:lang w:eastAsia="zh-CN" w:bidi="ar-SA"/>
        </w:rPr>
        <w:t>，</w:t>
      </w:r>
      <w:r>
        <w:rPr>
          <w:rFonts w:hint="eastAsia" w:ascii="宋体" w:hAnsi="宋体" w:eastAsia="宋体" w:cs="宋体"/>
          <w:color w:val="auto"/>
          <w:kern w:val="0"/>
          <w:sz w:val="24"/>
          <w:szCs w:val="24"/>
          <w:lang w:val="en-US" w:eastAsia="zh-CN" w:bidi="ar-SA"/>
        </w:rPr>
        <w:t>收到采购方的通知后</w:t>
      </w:r>
      <w:r>
        <w:rPr>
          <w:rFonts w:hint="eastAsia" w:ascii="宋体" w:hAnsi="宋体" w:eastAsia="宋体" w:cs="宋体"/>
          <w:color w:val="auto"/>
          <w:kern w:val="0"/>
          <w:sz w:val="24"/>
          <w:szCs w:val="24"/>
          <w:lang w:bidi="ar-SA"/>
        </w:rPr>
        <w:t>进行安装、调试，并负责调试至验收合格，</w:t>
      </w:r>
      <w:r>
        <w:rPr>
          <w:rFonts w:hint="eastAsia" w:hAnsi="宋体" w:cs="宋体"/>
          <w:color w:val="auto"/>
          <w:kern w:val="0"/>
          <w:sz w:val="24"/>
          <w:szCs w:val="24"/>
          <w:lang w:eastAsia="zh-CN" w:bidi="ar-SA"/>
        </w:rPr>
        <w:t>产生的</w:t>
      </w:r>
      <w:r>
        <w:rPr>
          <w:rFonts w:hint="eastAsia" w:ascii="宋体" w:hAnsi="宋体" w:eastAsia="宋体" w:cs="宋体"/>
          <w:color w:val="auto"/>
          <w:kern w:val="0"/>
          <w:sz w:val="24"/>
          <w:szCs w:val="24"/>
          <w:lang w:bidi="ar-SA"/>
        </w:rPr>
        <w:t>费用由</w:t>
      </w:r>
      <w:r>
        <w:rPr>
          <w:rFonts w:hint="eastAsia" w:hAnsi="宋体" w:cs="宋体"/>
          <w:color w:val="auto"/>
          <w:kern w:val="0"/>
          <w:sz w:val="24"/>
          <w:szCs w:val="24"/>
          <w:lang w:eastAsia="zh-CN" w:bidi="ar-SA"/>
        </w:rPr>
        <w:t>中标人</w:t>
      </w:r>
      <w:r>
        <w:rPr>
          <w:rFonts w:hint="eastAsia" w:ascii="宋体" w:hAnsi="宋体" w:eastAsia="宋体" w:cs="宋体"/>
          <w:color w:val="auto"/>
          <w:kern w:val="0"/>
          <w:sz w:val="24"/>
          <w:szCs w:val="24"/>
          <w:lang w:bidi="ar-SA"/>
        </w:rPr>
        <w:t>承担。</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sz w:val="24"/>
          <w:szCs w:val="24"/>
        </w:rPr>
      </w:pPr>
      <w:r>
        <w:rPr>
          <w:rFonts w:hint="eastAsia" w:hAnsi="宋体" w:cs="宋体"/>
          <w:color w:val="auto"/>
          <w:spacing w:val="0"/>
          <w:sz w:val="24"/>
          <w:szCs w:val="24"/>
          <w:lang w:val="en-US" w:eastAsia="zh-CN" w:bidi="ar-SA"/>
        </w:rPr>
        <w:t>9.</w:t>
      </w:r>
      <w:r>
        <w:rPr>
          <w:rFonts w:hint="eastAsia" w:ascii="宋体" w:hAnsi="宋体" w:eastAsia="宋体" w:cs="宋体"/>
          <w:color w:val="auto"/>
          <w:spacing w:val="0"/>
          <w:sz w:val="24"/>
          <w:szCs w:val="24"/>
          <w:lang w:bidi="ar-SA"/>
        </w:rPr>
        <w:t>验收</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0"/>
          <w:sz w:val="24"/>
          <w:szCs w:val="24"/>
          <w:lang w:val="en-US" w:eastAsia="zh-CN" w:bidi="ar-SA"/>
        </w:rPr>
        <w:t>办公家具应能满足</w:t>
      </w:r>
      <w:r>
        <w:rPr>
          <w:rFonts w:hint="eastAsia" w:ascii="宋体" w:hAnsi="宋体" w:eastAsia="宋体" w:cs="宋体"/>
          <w:color w:val="auto"/>
          <w:kern w:val="0"/>
          <w:sz w:val="24"/>
          <w:szCs w:val="24"/>
          <w:lang w:bidi="ar-SA"/>
        </w:rPr>
        <w:t>国家</w:t>
      </w:r>
      <w:r>
        <w:rPr>
          <w:rFonts w:hint="eastAsia" w:ascii="宋体" w:hAnsi="宋体" w:eastAsia="宋体" w:cs="宋体"/>
          <w:color w:val="auto"/>
          <w:kern w:val="0"/>
          <w:sz w:val="24"/>
          <w:szCs w:val="24"/>
          <w:lang w:eastAsia="zh-CN" w:bidi="ar-SA"/>
        </w:rPr>
        <w:t>、</w:t>
      </w:r>
      <w:r>
        <w:rPr>
          <w:rFonts w:hint="eastAsia" w:ascii="宋体" w:hAnsi="宋体" w:eastAsia="宋体" w:cs="宋体"/>
          <w:color w:val="auto"/>
          <w:kern w:val="0"/>
          <w:sz w:val="24"/>
          <w:szCs w:val="24"/>
          <w:lang w:bidi="ar-SA"/>
        </w:rPr>
        <w:t>行业规范</w:t>
      </w:r>
      <w:r>
        <w:rPr>
          <w:rFonts w:hint="eastAsia" w:ascii="宋体" w:hAnsi="宋体" w:eastAsia="宋体" w:cs="宋体"/>
          <w:color w:val="auto"/>
          <w:kern w:val="0"/>
          <w:sz w:val="24"/>
          <w:szCs w:val="24"/>
          <w:lang w:val="en-US" w:eastAsia="zh-CN" w:bidi="ar-SA"/>
        </w:rPr>
        <w:t>及</w:t>
      </w:r>
      <w:r>
        <w:rPr>
          <w:rFonts w:hint="eastAsia" w:ascii="宋体" w:hAnsi="宋体" w:eastAsia="宋体" w:cs="宋体"/>
          <w:color w:val="auto"/>
          <w:kern w:val="0"/>
          <w:sz w:val="24"/>
          <w:szCs w:val="24"/>
          <w:lang w:bidi="ar-SA"/>
        </w:rPr>
        <w:t>本</w:t>
      </w:r>
      <w:r>
        <w:rPr>
          <w:rFonts w:hint="eastAsia" w:ascii="宋体" w:hAnsi="宋体" w:eastAsia="宋体" w:cs="宋体"/>
          <w:color w:val="auto"/>
          <w:kern w:val="0"/>
          <w:sz w:val="24"/>
          <w:szCs w:val="24"/>
          <w:lang w:val="en-US" w:eastAsia="zh-CN" w:bidi="ar-SA"/>
        </w:rPr>
        <w:t>询价文件要求</w:t>
      </w:r>
      <w:r>
        <w:rPr>
          <w:rFonts w:hint="eastAsia" w:hAnsi="宋体" w:cs="宋体"/>
          <w:color w:val="auto"/>
          <w:kern w:val="0"/>
          <w:sz w:val="24"/>
          <w:szCs w:val="24"/>
          <w:lang w:val="en-US" w:eastAsia="zh-CN" w:bidi="ar-SA"/>
        </w:rPr>
        <w:t>（提供检验/检测报告等相关佐证材料）</w:t>
      </w:r>
      <w:r>
        <w:rPr>
          <w:rFonts w:hint="eastAsia" w:ascii="宋体" w:hAnsi="宋体" w:eastAsia="宋体" w:cs="宋体"/>
          <w:color w:val="auto"/>
          <w:kern w:val="2"/>
          <w:sz w:val="24"/>
          <w:szCs w:val="24"/>
          <w:lang w:val="en-US" w:eastAsia="zh-CN" w:bidi="ar-SA"/>
        </w:rPr>
        <w:t>。 </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2"/>
          <w:sz w:val="24"/>
          <w:szCs w:val="24"/>
          <w:lang w:val="en-US" w:eastAsia="zh-CN" w:bidi="ar-SA"/>
        </w:rPr>
      </w:pPr>
      <w:r>
        <w:rPr>
          <w:rFonts w:hint="eastAsia" w:hAnsi="宋体" w:cs="宋体"/>
          <w:color w:val="auto"/>
          <w:kern w:val="2"/>
          <w:sz w:val="24"/>
          <w:szCs w:val="24"/>
          <w:lang w:val="en-US" w:eastAsia="zh-CN" w:bidi="ar-SA"/>
        </w:rPr>
        <w:t>10.</w:t>
      </w:r>
      <w:r>
        <w:rPr>
          <w:rFonts w:hint="eastAsia" w:ascii="宋体" w:hAnsi="宋体" w:eastAsia="宋体" w:cs="宋体"/>
          <w:color w:val="auto"/>
          <w:kern w:val="2"/>
          <w:sz w:val="24"/>
          <w:szCs w:val="24"/>
          <w:lang w:val="en-US" w:eastAsia="zh-CN" w:bidi="ar-SA"/>
        </w:rPr>
        <w:t>专用工具</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成交供应商应向采购人提供一套维修所需的专用工具及清单(清单附在响应文件中)。</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2"/>
          <w:sz w:val="24"/>
          <w:szCs w:val="24"/>
          <w:lang w:val="en-US" w:eastAsia="zh-CN" w:bidi="ar-SA"/>
        </w:rPr>
      </w:pPr>
      <w:r>
        <w:rPr>
          <w:rFonts w:hint="eastAsia" w:hAnsi="宋体" w:cs="宋体"/>
          <w:color w:val="auto"/>
          <w:kern w:val="2"/>
          <w:sz w:val="24"/>
          <w:szCs w:val="24"/>
          <w:lang w:val="en-US" w:eastAsia="zh-CN" w:bidi="ar-SA"/>
        </w:rPr>
        <w:t>11.</w:t>
      </w:r>
      <w:r>
        <w:rPr>
          <w:rFonts w:hint="eastAsia" w:ascii="宋体" w:hAnsi="宋体" w:eastAsia="宋体" w:cs="宋体"/>
          <w:color w:val="auto"/>
          <w:kern w:val="2"/>
          <w:sz w:val="24"/>
          <w:szCs w:val="24"/>
          <w:lang w:val="en-US" w:eastAsia="zh-CN" w:bidi="ar-SA"/>
        </w:rPr>
        <w:t>技术资料要求（</w:t>
      </w:r>
      <w:r>
        <w:rPr>
          <w:rFonts w:hint="eastAsia" w:hAnsi="宋体" w:cs="宋体"/>
          <w:color w:val="auto"/>
          <w:kern w:val="2"/>
          <w:sz w:val="24"/>
          <w:szCs w:val="24"/>
          <w:lang w:val="en-US" w:eastAsia="zh-CN" w:bidi="ar-SA"/>
        </w:rPr>
        <w:t>中标人</w:t>
      </w:r>
      <w:r>
        <w:rPr>
          <w:rFonts w:hint="eastAsia" w:ascii="宋体" w:hAnsi="宋体" w:eastAsia="宋体" w:cs="宋体"/>
          <w:color w:val="auto"/>
          <w:kern w:val="2"/>
          <w:sz w:val="24"/>
          <w:szCs w:val="24"/>
          <w:lang w:val="en-US" w:eastAsia="zh-CN" w:bidi="ar-SA"/>
        </w:rPr>
        <w:t>应向采购人提供以下目录的技术资料壹套。各项指标和参数应符合验收标准，采购人有权委托中国有资格单位或机构对家具性能、精度进行校核。）</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2"/>
          <w:sz w:val="24"/>
          <w:szCs w:val="24"/>
          <w:lang w:val="en-US" w:eastAsia="zh-CN" w:bidi="ar-SA"/>
        </w:rPr>
      </w:pPr>
      <w:r>
        <w:rPr>
          <w:rFonts w:hint="eastAsia" w:hAnsi="宋体" w:cs="宋体"/>
          <w:color w:val="auto"/>
          <w:kern w:val="2"/>
          <w:sz w:val="24"/>
          <w:szCs w:val="24"/>
          <w:lang w:val="en-US" w:eastAsia="zh-CN" w:bidi="ar-SA"/>
        </w:rPr>
        <w:t>11</w:t>
      </w:r>
      <w:r>
        <w:rPr>
          <w:rFonts w:hint="eastAsia" w:ascii="宋体" w:hAnsi="宋体" w:eastAsia="宋体" w:cs="宋体"/>
          <w:color w:val="auto"/>
          <w:kern w:val="2"/>
          <w:sz w:val="24"/>
          <w:szCs w:val="24"/>
          <w:lang w:val="en-US" w:eastAsia="zh-CN" w:bidi="ar-SA"/>
        </w:rPr>
        <w:t>.1出厂明细表(装箱单)；</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2"/>
          <w:sz w:val="24"/>
          <w:szCs w:val="24"/>
          <w:lang w:val="en-US" w:eastAsia="zh-CN" w:bidi="ar-SA"/>
        </w:rPr>
      </w:pPr>
      <w:r>
        <w:rPr>
          <w:rFonts w:hint="eastAsia" w:hAnsi="宋体" w:cs="宋体"/>
          <w:color w:val="auto"/>
          <w:kern w:val="2"/>
          <w:sz w:val="24"/>
          <w:szCs w:val="24"/>
          <w:lang w:val="en-US" w:eastAsia="zh-CN" w:bidi="ar-SA"/>
        </w:rPr>
        <w:t>11</w:t>
      </w:r>
      <w:r>
        <w:rPr>
          <w:rFonts w:hint="eastAsia" w:ascii="宋体" w:hAnsi="宋体" w:eastAsia="宋体" w:cs="宋体"/>
          <w:color w:val="auto"/>
          <w:kern w:val="2"/>
          <w:sz w:val="24"/>
          <w:szCs w:val="24"/>
          <w:lang w:val="en-US" w:eastAsia="zh-CN" w:bidi="ar-SA"/>
        </w:rPr>
        <w:t>.2出厂检验报告和合格证书；</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2"/>
          <w:sz w:val="24"/>
          <w:szCs w:val="24"/>
          <w:lang w:val="en-US" w:eastAsia="zh-CN" w:bidi="ar-SA"/>
        </w:rPr>
      </w:pPr>
      <w:r>
        <w:rPr>
          <w:rFonts w:hint="eastAsia" w:hAnsi="宋体" w:cs="宋体"/>
          <w:color w:val="auto"/>
          <w:kern w:val="2"/>
          <w:sz w:val="24"/>
          <w:szCs w:val="24"/>
          <w:lang w:val="en-US" w:eastAsia="zh-CN" w:bidi="ar-SA"/>
        </w:rPr>
        <w:t>11.</w:t>
      </w:r>
      <w:r>
        <w:rPr>
          <w:rFonts w:hint="eastAsia" w:ascii="宋体" w:hAnsi="宋体" w:eastAsia="宋体" w:cs="宋体"/>
          <w:color w:val="auto"/>
          <w:kern w:val="2"/>
          <w:sz w:val="24"/>
          <w:szCs w:val="24"/>
          <w:lang w:val="en-US" w:eastAsia="zh-CN" w:bidi="ar-SA"/>
        </w:rPr>
        <w:t>3使用说明书或安装手册、操作手册、维修手册、保修卡等；</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2"/>
          <w:sz w:val="24"/>
          <w:szCs w:val="24"/>
          <w:lang w:val="en-US" w:eastAsia="zh-CN" w:bidi="ar-SA"/>
        </w:rPr>
      </w:pPr>
      <w:r>
        <w:rPr>
          <w:rFonts w:hint="eastAsia" w:hAnsi="宋体" w:cs="宋体"/>
          <w:color w:val="auto"/>
          <w:kern w:val="2"/>
          <w:sz w:val="24"/>
          <w:szCs w:val="24"/>
          <w:lang w:val="en-US" w:eastAsia="zh-CN" w:bidi="ar-SA"/>
        </w:rPr>
        <w:t>11</w:t>
      </w:r>
      <w:r>
        <w:rPr>
          <w:rFonts w:hint="eastAsia" w:ascii="宋体" w:hAnsi="宋体" w:eastAsia="宋体" w:cs="宋体"/>
          <w:color w:val="auto"/>
          <w:kern w:val="2"/>
          <w:sz w:val="24"/>
          <w:szCs w:val="24"/>
          <w:lang w:val="en-US" w:eastAsia="zh-CN" w:bidi="ar-SA"/>
        </w:rPr>
        <w:t>.4合同中要求的其它文件资料。</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2"/>
          <w:sz w:val="24"/>
          <w:szCs w:val="24"/>
          <w:lang w:val="en-US" w:eastAsia="zh-CN" w:bidi="ar-SA"/>
        </w:rPr>
      </w:pPr>
      <w:r>
        <w:rPr>
          <w:rFonts w:hint="eastAsia" w:hAnsi="宋体" w:cs="宋体"/>
          <w:color w:val="auto"/>
          <w:kern w:val="2"/>
          <w:sz w:val="24"/>
          <w:szCs w:val="24"/>
          <w:lang w:val="en-US" w:eastAsia="zh-CN" w:bidi="ar-SA"/>
        </w:rPr>
        <w:t>12.</w:t>
      </w:r>
      <w:r>
        <w:rPr>
          <w:rFonts w:hint="eastAsia" w:ascii="宋体" w:hAnsi="宋体" w:eastAsia="宋体" w:cs="宋体"/>
          <w:color w:val="auto"/>
          <w:kern w:val="2"/>
          <w:sz w:val="24"/>
          <w:szCs w:val="24"/>
          <w:lang w:val="en-US" w:eastAsia="zh-CN" w:bidi="ar-SA"/>
        </w:rPr>
        <w:t>售后服务及要求</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kern w:val="2"/>
          <w:sz w:val="24"/>
          <w:szCs w:val="24"/>
          <w:lang w:val="en-US" w:eastAsia="zh-CN" w:bidi="ar-SA"/>
        </w:rPr>
      </w:pPr>
      <w:r>
        <w:rPr>
          <w:rFonts w:hint="eastAsia" w:hAnsi="宋体" w:cs="宋体"/>
          <w:color w:val="auto"/>
          <w:kern w:val="2"/>
          <w:sz w:val="24"/>
          <w:szCs w:val="24"/>
          <w:lang w:val="en-US" w:eastAsia="zh-CN" w:bidi="ar-SA"/>
        </w:rPr>
        <w:t>12</w:t>
      </w:r>
      <w:r>
        <w:rPr>
          <w:rFonts w:hint="eastAsia" w:ascii="宋体" w:hAnsi="宋体" w:eastAsia="宋体" w:cs="宋体"/>
          <w:color w:val="auto"/>
          <w:kern w:val="2"/>
          <w:sz w:val="24"/>
          <w:szCs w:val="24"/>
          <w:lang w:val="en-US" w:eastAsia="zh-CN" w:bidi="ar-SA"/>
        </w:rPr>
        <w:t>.1成交供应商须提供免费质量保修期不低于</w:t>
      </w:r>
      <w:r>
        <w:rPr>
          <w:rFonts w:hint="eastAsia" w:hAnsi="宋体" w:cs="宋体"/>
          <w:color w:val="auto"/>
          <w:kern w:val="2"/>
          <w:sz w:val="24"/>
          <w:szCs w:val="24"/>
          <w:lang w:val="en-US" w:eastAsia="zh-CN" w:bidi="ar-SA"/>
        </w:rPr>
        <w:t>1</w:t>
      </w:r>
      <w:r>
        <w:rPr>
          <w:rFonts w:hint="eastAsia" w:ascii="宋体" w:hAnsi="宋体" w:eastAsia="宋体" w:cs="宋体"/>
          <w:color w:val="auto"/>
          <w:kern w:val="2"/>
          <w:sz w:val="24"/>
          <w:szCs w:val="24"/>
          <w:lang w:val="en-US" w:eastAsia="zh-CN" w:bidi="ar-SA"/>
        </w:rPr>
        <w:t>年（厂家或国家有更长免费质量保修期限规定的从其规定），免费保修期自验收合格交付使用之日算起；在质保期内家具出现故障，成交人应免费提供咨询、更换损坏的零件和维修服务。</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cs="宋体"/>
          <w:color w:val="auto"/>
          <w:kern w:val="2"/>
          <w:sz w:val="24"/>
          <w:szCs w:val="24"/>
          <w:lang w:val="en-US" w:eastAsia="zh-CN" w:bidi="ar-SA"/>
        </w:rPr>
        <w:t>12</w:t>
      </w:r>
      <w:r>
        <w:rPr>
          <w:rFonts w:hint="eastAsia" w:ascii="宋体" w:hAnsi="宋体" w:eastAsia="宋体" w:cs="宋体"/>
          <w:color w:val="auto"/>
          <w:kern w:val="2"/>
          <w:sz w:val="24"/>
          <w:szCs w:val="24"/>
          <w:lang w:val="en-US" w:eastAsia="zh-CN" w:bidi="ar-SA"/>
        </w:rPr>
        <w:t>.2质保期结束后，成交供应商仍有责任对货物提供维修服务，相关费用参照市场价格收取。</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cs="宋体"/>
          <w:color w:val="auto"/>
          <w:kern w:val="2"/>
          <w:sz w:val="24"/>
          <w:szCs w:val="24"/>
          <w:lang w:val="en-US" w:eastAsia="zh-CN" w:bidi="ar-SA"/>
        </w:rPr>
        <w:t>12</w:t>
      </w:r>
      <w:r>
        <w:rPr>
          <w:rFonts w:hint="eastAsia" w:ascii="宋体" w:hAnsi="宋体" w:eastAsia="宋体" w:cs="宋体"/>
          <w:color w:val="auto"/>
          <w:kern w:val="2"/>
          <w:sz w:val="24"/>
          <w:szCs w:val="24"/>
          <w:lang w:val="en-US" w:eastAsia="zh-CN" w:bidi="ar-SA"/>
        </w:rPr>
        <w:t>.3 成交供应商承诺成交后在项目所在地具有售后服务机构提供售后服务,应具备相应的维护保养服务能力，包括拥有本次所出售货物的备件、专用设备和专业技术人员，对家具进行终生维护和修理。成交供应商须有属本公司的可随时上门作维修的技术人员，维修人员接到报</w:t>
      </w:r>
      <w:r>
        <w:rPr>
          <w:rFonts w:hint="eastAsia" w:ascii="宋体" w:hAnsi="宋体" w:eastAsia="宋体" w:cs="宋体"/>
          <w:color w:val="auto"/>
          <w:sz w:val="24"/>
          <w:szCs w:val="24"/>
          <w:lang w:val="en-US" w:eastAsia="zh-CN"/>
        </w:rPr>
        <w:t>修通知后，响应时间不超过1小时，家具出现故障时</w:t>
      </w:r>
      <w:r>
        <w:rPr>
          <w:rFonts w:hint="eastAsia" w:ascii="宋体" w:hAnsi="宋体" w:eastAsia="宋体" w:cs="宋体"/>
          <w:color w:val="auto"/>
          <w:kern w:val="2"/>
          <w:sz w:val="24"/>
          <w:szCs w:val="24"/>
          <w:lang w:val="en-US" w:eastAsia="zh-CN" w:bidi="ar-SA"/>
        </w:rPr>
        <w:t>成交供应商</w:t>
      </w:r>
      <w:r>
        <w:rPr>
          <w:rFonts w:hint="eastAsia" w:ascii="宋体" w:hAnsi="宋体" w:eastAsia="宋体" w:cs="宋体"/>
          <w:color w:val="auto"/>
          <w:sz w:val="24"/>
          <w:szCs w:val="24"/>
          <w:lang w:val="en-US" w:eastAsia="zh-CN"/>
        </w:rPr>
        <w:t>能在8小时内上门维修。</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13.违约责任</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13.1如果成交供应商未能按合同规定的时间按时足额交货的（不可抗力除外），在成交供应商书面同意支付延期交货违约金的条件下采购人有权选择同意延长交货期还是不予延长交货期，采购人同意延长交货期的，延期交货的时间由双方另行确定。延期交货违约金的支付采购人有权从未付的合同货款中扣除。延期交货违约金比率为每迟交1 天，按迟交货物金额的 1 ％。</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13.2若成交供应商不能交货的（逾期15个工作日视为不能交货，因不可抗拒的因素除外）或交货不合格从而影响采购人正常使用的，成交供应商应向采购人偿付不能交货部分货款的20％的违约金。违约金不足以补偿损失的，采购人有权要求成交供应商赔偿损失。</w:t>
      </w:r>
    </w:p>
    <w:p>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default" w:ascii="宋体" w:hAnsi="宋体" w:eastAsia="宋体" w:cs="宋体"/>
          <w:b/>
          <w:bCs/>
          <w:color w:val="auto"/>
          <w:kern w:val="0"/>
          <w:sz w:val="21"/>
          <w:szCs w:val="21"/>
          <w:lang w:val="en-US" w:eastAsia="zh-CN" w:bidi="ar-SA"/>
        </w:rPr>
      </w:pPr>
    </w:p>
    <w:p>
      <w:pPr>
        <w:pStyle w:val="7"/>
        <w:pageBreakBefore w:val="0"/>
        <w:widowControl w:val="0"/>
        <w:numPr>
          <w:ilvl w:val="0"/>
          <w:numId w:val="0"/>
        </w:numPr>
        <w:kinsoku/>
        <w:wordWrap/>
        <w:topLinePunct w:val="0"/>
        <w:bidi w:val="0"/>
        <w:spacing w:line="360" w:lineRule="auto"/>
        <w:jc w:val="both"/>
        <w:rPr>
          <w:rFonts w:hint="eastAsia" w:ascii="宋体" w:eastAsia="宋体" w:cs="宋体"/>
          <w:b/>
          <w:bCs/>
          <w:color w:val="auto"/>
          <w:kern w:val="0"/>
          <w:sz w:val="21"/>
          <w:szCs w:val="21"/>
          <w:lang w:val="en-US" w:eastAsia="zh-CN" w:bidi="ar-SA"/>
        </w:rPr>
      </w:pPr>
    </w:p>
    <w:p>
      <w:pPr>
        <w:pageBreakBefore w:val="0"/>
        <w:kinsoku/>
        <w:wordWrap/>
        <w:topLinePunct w:val="0"/>
        <w:bidi w:val="0"/>
        <w:spacing w:line="360" w:lineRule="auto"/>
        <w:jc w:val="center"/>
        <w:rPr>
          <w:rFonts w:ascii="宋体"/>
          <w:b/>
          <w:color w:val="auto"/>
          <w:sz w:val="36"/>
        </w:rPr>
      </w:pPr>
    </w:p>
    <w:p>
      <w:pPr>
        <w:pageBreakBefore w:val="0"/>
        <w:kinsoku/>
        <w:wordWrap/>
        <w:topLinePunct w:val="0"/>
        <w:bidi w:val="0"/>
        <w:spacing w:line="360" w:lineRule="auto"/>
        <w:jc w:val="center"/>
        <w:rPr>
          <w:rFonts w:ascii="宋体"/>
          <w:b/>
          <w:color w:val="auto"/>
          <w:sz w:val="36"/>
        </w:rPr>
      </w:pPr>
    </w:p>
    <w:p>
      <w:pPr>
        <w:pageBreakBefore w:val="0"/>
        <w:kinsoku/>
        <w:wordWrap/>
        <w:topLinePunct w:val="0"/>
        <w:bidi w:val="0"/>
        <w:spacing w:line="360" w:lineRule="auto"/>
        <w:rPr>
          <w:rFonts w:hint="eastAsia"/>
          <w:color w:val="auto"/>
        </w:rPr>
      </w:pPr>
      <w:bookmarkStart w:id="9" w:name="_Toc13699"/>
      <w:r>
        <w:rPr>
          <w:rFonts w:hint="eastAsia"/>
          <w:color w:val="auto"/>
        </w:rPr>
        <w:br w:type="page"/>
      </w:r>
    </w:p>
    <w:p>
      <w:pPr>
        <w:pStyle w:val="25"/>
        <w:pageBreakBefore w:val="0"/>
        <w:kinsoku/>
        <w:wordWrap/>
        <w:topLinePunct w:val="0"/>
        <w:bidi w:val="0"/>
        <w:spacing w:line="360" w:lineRule="auto"/>
        <w:rPr>
          <w:rFonts w:hint="eastAsia"/>
          <w:color w:val="auto"/>
        </w:rPr>
      </w:pPr>
      <w:bookmarkStart w:id="10" w:name="_Toc4776"/>
      <w:r>
        <w:rPr>
          <w:rFonts w:hint="eastAsia"/>
          <w:color w:val="auto"/>
          <w:lang w:eastAsia="zh-CN"/>
        </w:rPr>
        <w:t>四、</w:t>
      </w:r>
      <w:r>
        <w:rPr>
          <w:rFonts w:hint="eastAsia"/>
          <w:color w:val="auto"/>
        </w:rPr>
        <w:t>报价文件</w:t>
      </w:r>
      <w:bookmarkEnd w:id="9"/>
      <w:bookmarkEnd w:id="10"/>
    </w:p>
    <w:p>
      <w:pPr>
        <w:pageBreakBefore w:val="0"/>
        <w:kinsoku/>
        <w:wordWrap/>
        <w:topLinePunct w:val="0"/>
        <w:bidi w:val="0"/>
        <w:spacing w:line="360" w:lineRule="auto"/>
        <w:rPr>
          <w:rFonts w:hint="eastAsia"/>
          <w:color w:val="auto"/>
        </w:rPr>
      </w:pPr>
    </w:p>
    <w:p>
      <w:pPr>
        <w:pageBreakBefore w:val="0"/>
        <w:kinsoku/>
        <w:wordWrap/>
        <w:topLinePunct w:val="0"/>
        <w:bidi w:val="0"/>
        <w:spacing w:line="360" w:lineRule="auto"/>
        <w:ind w:left="3403" w:leftChars="0" w:hanging="3403" w:firstLineChars="0"/>
        <w:jc w:val="center"/>
        <w:rPr>
          <w:rFonts w:hint="eastAsia" w:ascii="宋体" w:hAnsi="宋体" w:eastAsia="宋体" w:cs="宋体"/>
          <w:b/>
          <w:bCs/>
          <w:color w:val="auto"/>
          <w:sz w:val="44"/>
          <w:szCs w:val="32"/>
        </w:rPr>
      </w:pPr>
      <w:r>
        <w:rPr>
          <w:rFonts w:hint="eastAsia" w:ascii="宋体" w:hAnsi="宋体" w:eastAsia="宋体" w:cs="宋体"/>
          <w:b/>
          <w:bCs/>
          <w:color w:val="auto"/>
          <w:sz w:val="44"/>
          <w:szCs w:val="32"/>
        </w:rPr>
        <w:t>福建省莆田环境监测中心站办公家具</w:t>
      </w:r>
    </w:p>
    <w:p>
      <w:pPr>
        <w:pageBreakBefore w:val="0"/>
        <w:kinsoku/>
        <w:wordWrap/>
        <w:topLinePunct w:val="0"/>
        <w:bidi w:val="0"/>
        <w:spacing w:line="360" w:lineRule="auto"/>
        <w:ind w:left="3403" w:leftChars="0" w:hanging="3403" w:firstLineChars="0"/>
        <w:jc w:val="center"/>
        <w:rPr>
          <w:rFonts w:hint="eastAsia" w:ascii="宋体" w:eastAsia="宋体"/>
          <w:b/>
          <w:color w:val="auto"/>
          <w:sz w:val="36"/>
          <w:szCs w:val="20"/>
          <w:lang w:val="en-US" w:eastAsia="zh-CN"/>
        </w:rPr>
      </w:pPr>
      <w:r>
        <w:rPr>
          <w:rFonts w:hint="eastAsia" w:ascii="宋体" w:hAnsi="宋体" w:eastAsia="宋体" w:cs="宋体"/>
          <w:b/>
          <w:bCs/>
          <w:color w:val="auto"/>
          <w:sz w:val="44"/>
          <w:szCs w:val="32"/>
        </w:rPr>
        <w:t>采购</w:t>
      </w:r>
      <w:r>
        <w:rPr>
          <w:rFonts w:hint="eastAsia" w:ascii="宋体" w:hAnsi="宋体" w:eastAsia="宋体" w:cs="宋体"/>
          <w:b/>
          <w:bCs/>
          <w:color w:val="auto"/>
          <w:sz w:val="44"/>
          <w:szCs w:val="32"/>
          <w:lang w:eastAsia="zh-CN"/>
        </w:rPr>
        <w:t>项目</w:t>
      </w:r>
    </w:p>
    <w:p>
      <w:pPr>
        <w:pageBreakBefore w:val="0"/>
        <w:kinsoku/>
        <w:wordWrap/>
        <w:topLinePunct w:val="0"/>
        <w:bidi w:val="0"/>
        <w:spacing w:line="360" w:lineRule="auto"/>
        <w:jc w:val="center"/>
        <w:rPr>
          <w:rFonts w:ascii="宋体"/>
          <w:color w:val="auto"/>
          <w:sz w:val="30"/>
        </w:rPr>
      </w:pPr>
    </w:p>
    <w:p>
      <w:pPr>
        <w:pageBreakBefore w:val="0"/>
        <w:kinsoku/>
        <w:wordWrap/>
        <w:topLinePunct w:val="0"/>
        <w:bidi w:val="0"/>
        <w:spacing w:line="360" w:lineRule="auto"/>
        <w:jc w:val="center"/>
        <w:rPr>
          <w:rFonts w:ascii="宋体"/>
          <w:color w:val="auto"/>
          <w:sz w:val="30"/>
        </w:rPr>
      </w:pPr>
    </w:p>
    <w:p>
      <w:pPr>
        <w:pageBreakBefore w:val="0"/>
        <w:kinsoku/>
        <w:wordWrap/>
        <w:topLinePunct w:val="0"/>
        <w:bidi w:val="0"/>
        <w:spacing w:line="360" w:lineRule="auto"/>
        <w:jc w:val="center"/>
        <w:rPr>
          <w:rFonts w:ascii="宋体"/>
          <w:color w:val="auto"/>
          <w:sz w:val="30"/>
        </w:rPr>
      </w:pPr>
    </w:p>
    <w:p>
      <w:pPr>
        <w:pageBreakBefore w:val="0"/>
        <w:kinsoku/>
        <w:wordWrap/>
        <w:topLinePunct w:val="0"/>
        <w:bidi w:val="0"/>
        <w:spacing w:line="360" w:lineRule="auto"/>
        <w:ind w:firstLine="1608" w:firstLineChars="445"/>
        <w:rPr>
          <w:rFonts w:ascii="宋体"/>
          <w:b/>
          <w:color w:val="auto"/>
          <w:sz w:val="36"/>
          <w:szCs w:val="20"/>
        </w:rPr>
      </w:pPr>
    </w:p>
    <w:p>
      <w:pPr>
        <w:pageBreakBefore w:val="0"/>
        <w:kinsoku/>
        <w:wordWrap/>
        <w:topLinePunct w:val="0"/>
        <w:bidi w:val="0"/>
        <w:spacing w:line="360" w:lineRule="auto"/>
        <w:ind w:left="4413" w:hanging="2512"/>
        <w:rPr>
          <w:rFonts w:ascii="宋体"/>
          <w:b/>
          <w:color w:val="auto"/>
          <w:sz w:val="36"/>
          <w:szCs w:val="20"/>
        </w:rPr>
      </w:pPr>
    </w:p>
    <w:p>
      <w:pPr>
        <w:pageBreakBefore w:val="0"/>
        <w:kinsoku/>
        <w:wordWrap/>
        <w:topLinePunct w:val="0"/>
        <w:bidi w:val="0"/>
        <w:spacing w:line="360" w:lineRule="auto"/>
        <w:ind w:left="3749" w:leftChars="594" w:hanging="2502" w:hangingChars="695"/>
        <w:rPr>
          <w:rFonts w:ascii="宋体"/>
          <w:color w:val="auto"/>
          <w:sz w:val="36"/>
          <w:szCs w:val="36"/>
        </w:rPr>
      </w:pPr>
    </w:p>
    <w:p>
      <w:pPr>
        <w:pageBreakBefore w:val="0"/>
        <w:kinsoku/>
        <w:wordWrap/>
        <w:topLinePunct w:val="0"/>
        <w:bidi w:val="0"/>
        <w:spacing w:line="360" w:lineRule="auto"/>
        <w:ind w:left="2618" w:leftChars="602" w:hanging="1354" w:hangingChars="645"/>
        <w:rPr>
          <w:rFonts w:ascii="宋体"/>
          <w:color w:val="auto"/>
          <w:szCs w:val="20"/>
        </w:rPr>
      </w:pPr>
    </w:p>
    <w:p>
      <w:pPr>
        <w:pageBreakBefore w:val="0"/>
        <w:kinsoku/>
        <w:wordWrap/>
        <w:topLinePunct w:val="0"/>
        <w:bidi w:val="0"/>
        <w:spacing w:line="360" w:lineRule="auto"/>
        <w:jc w:val="center"/>
        <w:rPr>
          <w:rFonts w:ascii="宋体"/>
          <w:b/>
          <w:color w:val="auto"/>
          <w:sz w:val="36"/>
        </w:rPr>
      </w:pPr>
    </w:p>
    <w:p>
      <w:pPr>
        <w:pageBreakBefore w:val="0"/>
        <w:kinsoku/>
        <w:wordWrap/>
        <w:topLinePunct w:val="0"/>
        <w:bidi w:val="0"/>
        <w:spacing w:line="360" w:lineRule="auto"/>
        <w:rPr>
          <w:rFonts w:ascii="宋体"/>
          <w:b/>
          <w:color w:val="auto"/>
          <w:sz w:val="36"/>
        </w:rPr>
      </w:pPr>
    </w:p>
    <w:p>
      <w:pPr>
        <w:pageBreakBefore w:val="0"/>
        <w:kinsoku/>
        <w:wordWrap/>
        <w:topLinePunct w:val="0"/>
        <w:bidi w:val="0"/>
        <w:spacing w:line="360" w:lineRule="auto"/>
        <w:rPr>
          <w:rFonts w:ascii="宋体"/>
          <w:b/>
          <w:color w:val="auto"/>
          <w:sz w:val="36"/>
        </w:rPr>
      </w:pPr>
    </w:p>
    <w:p>
      <w:pPr>
        <w:pageBreakBefore w:val="0"/>
        <w:kinsoku/>
        <w:wordWrap/>
        <w:topLinePunct w:val="0"/>
        <w:bidi w:val="0"/>
        <w:spacing w:line="360" w:lineRule="auto"/>
        <w:rPr>
          <w:rFonts w:ascii="宋体"/>
          <w:b/>
          <w:color w:val="auto"/>
          <w:sz w:val="36"/>
        </w:rPr>
      </w:pPr>
    </w:p>
    <w:p>
      <w:pPr>
        <w:pageBreakBefore w:val="0"/>
        <w:kinsoku/>
        <w:wordWrap/>
        <w:topLinePunct w:val="0"/>
        <w:bidi w:val="0"/>
        <w:spacing w:line="360" w:lineRule="auto"/>
        <w:rPr>
          <w:rFonts w:ascii="宋体"/>
          <w:b/>
          <w:color w:val="auto"/>
          <w:sz w:val="32"/>
          <w:szCs w:val="32"/>
          <w:u w:val="single"/>
        </w:rPr>
      </w:pPr>
      <w:r>
        <w:rPr>
          <w:rFonts w:hint="eastAsia" w:ascii="宋体"/>
          <w:b/>
          <w:color w:val="auto"/>
          <w:sz w:val="36"/>
        </w:rPr>
        <w:t xml:space="preserve">  </w:t>
      </w:r>
      <w:r>
        <w:rPr>
          <w:rFonts w:hint="eastAsia" w:ascii="宋体"/>
          <w:b/>
          <w:color w:val="auto"/>
          <w:sz w:val="32"/>
          <w:szCs w:val="32"/>
        </w:rPr>
        <w:t xml:space="preserve">  </w:t>
      </w:r>
      <w:r>
        <w:rPr>
          <w:rFonts w:hint="eastAsia" w:ascii="宋体"/>
          <w:b/>
          <w:color w:val="auto"/>
          <w:sz w:val="32"/>
          <w:szCs w:val="32"/>
          <w:lang w:eastAsia="zh-CN"/>
        </w:rPr>
        <w:t>报价人</w:t>
      </w:r>
      <w:r>
        <w:rPr>
          <w:rFonts w:hint="eastAsia" w:ascii="宋体"/>
          <w:b/>
          <w:color w:val="auto"/>
          <w:sz w:val="32"/>
          <w:szCs w:val="32"/>
        </w:rPr>
        <w:t xml:space="preserve">（加盖公章）： </w:t>
      </w:r>
      <w:r>
        <w:rPr>
          <w:rFonts w:hint="eastAsia" w:ascii="宋体"/>
          <w:b/>
          <w:color w:val="auto"/>
          <w:sz w:val="32"/>
          <w:szCs w:val="32"/>
          <w:u w:val="single"/>
        </w:rPr>
        <w:t xml:space="preserve">    </w:t>
      </w:r>
      <w:r>
        <w:rPr>
          <w:rFonts w:hint="eastAsia" w:ascii="宋体"/>
          <w:b/>
          <w:color w:val="auto"/>
          <w:sz w:val="32"/>
          <w:szCs w:val="32"/>
          <w:u w:val="single"/>
          <w:lang w:val="en-US" w:eastAsia="zh-CN"/>
        </w:rPr>
        <w:t xml:space="preserve">      </w:t>
      </w:r>
      <w:r>
        <w:rPr>
          <w:rFonts w:hint="eastAsia" w:ascii="宋体"/>
          <w:b/>
          <w:color w:val="auto"/>
          <w:sz w:val="32"/>
          <w:szCs w:val="32"/>
          <w:u w:val="single"/>
        </w:rPr>
        <w:t xml:space="preserve">      </w:t>
      </w:r>
    </w:p>
    <w:p>
      <w:pPr>
        <w:pageBreakBefore w:val="0"/>
        <w:kinsoku/>
        <w:wordWrap/>
        <w:topLinePunct w:val="0"/>
        <w:bidi w:val="0"/>
        <w:spacing w:line="360" w:lineRule="auto"/>
        <w:rPr>
          <w:rFonts w:ascii="宋体"/>
          <w:b/>
          <w:color w:val="auto"/>
          <w:sz w:val="32"/>
          <w:szCs w:val="32"/>
        </w:rPr>
      </w:pPr>
      <w:r>
        <w:rPr>
          <w:rFonts w:hint="eastAsia" w:ascii="宋体"/>
          <w:b/>
          <w:color w:val="auto"/>
          <w:sz w:val="32"/>
          <w:szCs w:val="32"/>
        </w:rPr>
        <w:t xml:space="preserve">    日期 ：</w:t>
      </w:r>
      <w:r>
        <w:rPr>
          <w:rFonts w:hint="eastAsia" w:ascii="宋体"/>
          <w:b/>
          <w:color w:val="auto"/>
          <w:sz w:val="32"/>
          <w:szCs w:val="32"/>
          <w:u w:val="single"/>
        </w:rPr>
        <w:t xml:space="preserve">           </w:t>
      </w:r>
      <w:r>
        <w:rPr>
          <w:rFonts w:hint="eastAsia" w:ascii="宋体"/>
          <w:b/>
          <w:color w:val="auto"/>
          <w:sz w:val="32"/>
          <w:szCs w:val="32"/>
          <w:u w:val="single"/>
          <w:lang w:val="en-US" w:eastAsia="zh-CN"/>
        </w:rPr>
        <w:t xml:space="preserve">               </w:t>
      </w:r>
      <w:r>
        <w:rPr>
          <w:rFonts w:hint="eastAsia" w:ascii="宋体"/>
          <w:b/>
          <w:color w:val="auto"/>
          <w:sz w:val="32"/>
          <w:szCs w:val="32"/>
          <w:u w:val="single"/>
        </w:rPr>
        <w:t xml:space="preserve">    </w:t>
      </w:r>
    </w:p>
    <w:p>
      <w:pPr>
        <w:pageBreakBefore w:val="0"/>
        <w:kinsoku/>
        <w:wordWrap/>
        <w:topLinePunct w:val="0"/>
        <w:bidi w:val="0"/>
        <w:spacing w:line="360" w:lineRule="auto"/>
        <w:jc w:val="left"/>
        <w:outlineLvl w:val="4"/>
        <w:rPr>
          <w:rFonts w:ascii="宋体"/>
          <w:color w:val="auto"/>
          <w:sz w:val="32"/>
          <w:szCs w:val="20"/>
        </w:rPr>
      </w:pPr>
      <w:r>
        <w:rPr>
          <w:rFonts w:hint="eastAsia" w:ascii="宋体"/>
          <w:b/>
          <w:color w:val="auto"/>
          <w:sz w:val="36"/>
          <w:szCs w:val="20"/>
        </w:rPr>
        <w:br w:type="page"/>
      </w:r>
      <w:bookmarkStart w:id="11" w:name="_Toc64885134"/>
      <w:r>
        <w:rPr>
          <w:rFonts w:hint="eastAsia" w:ascii="宋体"/>
          <w:color w:val="auto"/>
          <w:sz w:val="32"/>
          <w:szCs w:val="20"/>
        </w:rPr>
        <w:t>附件1</w:t>
      </w:r>
      <w:bookmarkEnd w:id="11"/>
    </w:p>
    <w:p>
      <w:pPr>
        <w:pageBreakBefore w:val="0"/>
        <w:kinsoku/>
        <w:wordWrap/>
        <w:topLinePunct w:val="0"/>
        <w:bidi w:val="0"/>
        <w:spacing w:line="360" w:lineRule="auto"/>
        <w:jc w:val="center"/>
        <w:rPr>
          <w:rFonts w:hint="eastAsia" w:eastAsia="宋体"/>
          <w:b/>
          <w:color w:val="auto"/>
          <w:sz w:val="36"/>
          <w:szCs w:val="36"/>
          <w:lang w:eastAsia="zh-CN"/>
        </w:rPr>
      </w:pPr>
      <w:bookmarkStart w:id="12" w:name="_Toc64885135"/>
      <w:r>
        <w:rPr>
          <w:rFonts w:hint="eastAsia"/>
          <w:b/>
          <w:color w:val="auto"/>
          <w:sz w:val="36"/>
          <w:szCs w:val="36"/>
        </w:rPr>
        <w:t xml:space="preserve">报 价 </w:t>
      </w:r>
      <w:bookmarkEnd w:id="12"/>
      <w:r>
        <w:rPr>
          <w:rFonts w:hint="eastAsia"/>
          <w:b/>
          <w:color w:val="auto"/>
          <w:sz w:val="36"/>
          <w:szCs w:val="36"/>
          <w:lang w:eastAsia="zh-CN"/>
        </w:rPr>
        <w:t>函</w:t>
      </w:r>
    </w:p>
    <w:p>
      <w:pPr>
        <w:pageBreakBefore w:val="0"/>
        <w:kinsoku/>
        <w:wordWrap/>
        <w:topLinePunct w:val="0"/>
        <w:bidi w:val="0"/>
        <w:spacing w:line="360" w:lineRule="auto"/>
        <w:rPr>
          <w:rFonts w:ascii="宋体" w:hAnsi="宋体"/>
          <w:color w:val="auto"/>
          <w:sz w:val="24"/>
        </w:rPr>
      </w:pPr>
    </w:p>
    <w:p>
      <w:pPr>
        <w:pageBreakBefore w:val="0"/>
        <w:kinsoku/>
        <w:wordWrap/>
        <w:topLinePunct w:val="0"/>
        <w:bidi w:val="0"/>
        <w:spacing w:line="360" w:lineRule="auto"/>
        <w:rPr>
          <w:rFonts w:hint="eastAsia" w:ascii="宋体" w:hAnsi="宋体" w:eastAsia="宋体"/>
          <w:color w:val="auto"/>
          <w:sz w:val="24"/>
          <w:lang w:eastAsia="zh-CN"/>
        </w:rPr>
      </w:pPr>
      <w:r>
        <w:rPr>
          <w:rFonts w:hint="eastAsia" w:ascii="宋体" w:hAnsi="宋体"/>
          <w:color w:val="auto"/>
          <w:sz w:val="24"/>
        </w:rPr>
        <w:t>致：</w:t>
      </w:r>
      <w:r>
        <w:rPr>
          <w:rFonts w:hint="eastAsia" w:ascii="宋体" w:cs="宋体"/>
          <w:color w:val="auto"/>
          <w:sz w:val="24"/>
          <w:lang w:eastAsia="zh-CN"/>
        </w:rPr>
        <w:t>福建省莆田环境监测中心站</w:t>
      </w: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 xml:space="preserve">    根据贵方为</w:t>
      </w:r>
      <w:r>
        <w:rPr>
          <w:rFonts w:hint="eastAsia" w:ascii="宋体" w:hAnsi="宋体"/>
          <w:color w:val="auto"/>
          <w:sz w:val="24"/>
          <w:u w:val="single"/>
        </w:rPr>
        <w:t xml:space="preserve">  </w:t>
      </w:r>
      <w:r>
        <w:rPr>
          <w:rFonts w:hint="eastAsia" w:ascii="宋体" w:hAnsi="宋体"/>
          <w:color w:val="auto"/>
          <w:sz w:val="24"/>
          <w:u w:val="single"/>
          <w:lang w:val="en-US" w:eastAsia="zh-CN"/>
        </w:rPr>
        <w:t>办公家具采购</w:t>
      </w:r>
      <w:r>
        <w:rPr>
          <w:rFonts w:hint="eastAsia" w:ascii="宋体" w:hAnsi="宋体"/>
          <w:color w:val="auto"/>
          <w:sz w:val="24"/>
          <w:u w:val="single"/>
        </w:rPr>
        <w:t xml:space="preserve">  </w:t>
      </w:r>
      <w:r>
        <w:rPr>
          <w:rFonts w:hint="eastAsia" w:ascii="宋体" w:hAnsi="宋体"/>
          <w:color w:val="auto"/>
          <w:sz w:val="24"/>
        </w:rPr>
        <w:t>项目采购的邀请函（采购编号：</w:t>
      </w:r>
      <w:r>
        <w:rPr>
          <w:rFonts w:hint="eastAsia" w:ascii="宋体" w:hAnsi="宋体"/>
          <w:color w:val="auto"/>
          <w:sz w:val="24"/>
          <w:u w:val="single"/>
        </w:rPr>
        <w:t xml:space="preserve"> </w:t>
      </w:r>
      <w:r>
        <w:rPr>
          <w:rFonts w:hint="eastAsia" w:ascii="宋体" w:hAnsi="宋体"/>
          <w:color w:val="auto"/>
          <w:sz w:val="24"/>
          <w:u w:val="single"/>
          <w:lang w:val="en-US" w:eastAsia="zh-CN"/>
        </w:rPr>
        <w:t>PTHJJC202302</w:t>
      </w:r>
      <w:r>
        <w:rPr>
          <w:rFonts w:hint="eastAsia" w:ascii="宋体" w:hAnsi="宋体"/>
          <w:color w:val="auto"/>
          <w:sz w:val="24"/>
          <w:u w:val="single"/>
        </w:rPr>
        <w:t xml:space="preserve"> </w:t>
      </w:r>
      <w:r>
        <w:rPr>
          <w:rFonts w:hint="eastAsia" w:ascii="宋体" w:hAnsi="宋体"/>
          <w:color w:val="auto"/>
          <w:sz w:val="24"/>
        </w:rPr>
        <w:t>），签字代表</w:t>
      </w:r>
      <w:r>
        <w:rPr>
          <w:rFonts w:hint="eastAsia" w:ascii="宋体" w:hAnsi="宋体"/>
          <w:color w:val="auto"/>
          <w:sz w:val="24"/>
          <w:u w:val="single"/>
        </w:rPr>
        <w:t xml:space="preserve">          （全名）</w:t>
      </w:r>
      <w:r>
        <w:rPr>
          <w:rFonts w:hint="eastAsia" w:ascii="宋体" w:hAnsi="宋体"/>
          <w:color w:val="auto"/>
          <w:sz w:val="24"/>
        </w:rPr>
        <w:t>经正式授权并代表</w:t>
      </w:r>
      <w:r>
        <w:rPr>
          <w:rFonts w:hint="eastAsia" w:ascii="宋体" w:hAnsi="宋体"/>
          <w:color w:val="auto"/>
          <w:sz w:val="24"/>
          <w:u w:val="single"/>
        </w:rPr>
        <w:t xml:space="preserve">             （报价人全称）</w:t>
      </w:r>
      <w:r>
        <w:rPr>
          <w:rFonts w:hint="eastAsia" w:ascii="宋体" w:hAnsi="宋体"/>
          <w:color w:val="auto"/>
          <w:sz w:val="24"/>
        </w:rPr>
        <w:t>提交下述文件正本一份和副本三份。</w:t>
      </w:r>
    </w:p>
    <w:p>
      <w:pPr>
        <w:pageBreakBefore w:val="0"/>
        <w:kinsoku/>
        <w:wordWrap/>
        <w:topLinePunct w:val="0"/>
        <w:bidi w:val="0"/>
        <w:spacing w:line="360" w:lineRule="auto"/>
        <w:rPr>
          <w:rFonts w:ascii="宋体" w:hAnsi="宋体"/>
          <w:color w:val="auto"/>
          <w:sz w:val="24"/>
        </w:rPr>
      </w:pPr>
      <w:r>
        <w:rPr>
          <w:rFonts w:ascii="宋体" w:hAnsi="宋体"/>
          <w:color w:val="auto"/>
          <w:sz w:val="24"/>
        </w:rPr>
        <w:t xml:space="preserve"> </w:t>
      </w:r>
      <w:r>
        <w:rPr>
          <w:rFonts w:hint="eastAsia" w:ascii="宋体" w:hAnsi="宋体"/>
          <w:color w:val="auto"/>
          <w:sz w:val="24"/>
        </w:rPr>
        <w:t xml:space="preserve"> （1）采购内容响应情况及报价一览表</w:t>
      </w: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 xml:space="preserve">  （2）报价人资格证明文件</w:t>
      </w: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 xml:space="preserve">  （</w:t>
      </w:r>
      <w:r>
        <w:rPr>
          <w:rFonts w:hint="eastAsia" w:ascii="宋体" w:hAnsi="宋体"/>
          <w:color w:val="auto"/>
          <w:sz w:val="24"/>
          <w:lang w:val="en-US" w:eastAsia="zh-CN"/>
        </w:rPr>
        <w:t>3</w:t>
      </w:r>
      <w:r>
        <w:rPr>
          <w:rFonts w:hint="eastAsia" w:ascii="宋体" w:hAnsi="宋体"/>
          <w:color w:val="auto"/>
          <w:sz w:val="24"/>
        </w:rPr>
        <w:t>）</w:t>
      </w:r>
      <w:r>
        <w:rPr>
          <w:rFonts w:hint="eastAsia" w:ascii="宋体" w:hAnsi="宋体"/>
          <w:color w:val="auto"/>
          <w:sz w:val="24"/>
          <w:lang w:eastAsia="zh-CN"/>
        </w:rPr>
        <w:t>参数证明等</w:t>
      </w:r>
      <w:r>
        <w:rPr>
          <w:rFonts w:hint="eastAsia" w:ascii="宋体" w:hAnsi="宋体"/>
          <w:color w:val="auto"/>
          <w:sz w:val="24"/>
        </w:rPr>
        <w:t>其他资料</w:t>
      </w: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 xml:space="preserve">    据此函，签字代表宣布同意如下：</w:t>
      </w:r>
    </w:p>
    <w:p>
      <w:pPr>
        <w:pageBreakBefore w:val="0"/>
        <w:kinsoku/>
        <w:wordWrap/>
        <w:topLinePunct w:val="0"/>
        <w:bidi w:val="0"/>
        <w:spacing w:line="360" w:lineRule="auto"/>
        <w:ind w:left="959" w:leftChars="228" w:hanging="480" w:hangingChars="200"/>
        <w:rPr>
          <w:rFonts w:hint="eastAsia" w:ascii="宋体" w:hAnsi="宋体"/>
          <w:color w:val="auto"/>
          <w:sz w:val="24"/>
        </w:rPr>
      </w:pPr>
      <w:r>
        <w:rPr>
          <w:rFonts w:hint="eastAsia" w:ascii="宋体" w:hAnsi="宋体"/>
          <w:color w:val="auto"/>
          <w:sz w:val="24"/>
        </w:rPr>
        <w:t>1．所附报价一览表中项目报价总价为人民币_________（小写），即</w:t>
      </w:r>
    </w:p>
    <w:p>
      <w:pPr>
        <w:pageBreakBefore w:val="0"/>
        <w:kinsoku/>
        <w:wordWrap/>
        <w:topLinePunct w:val="0"/>
        <w:bidi w:val="0"/>
        <w:spacing w:line="360" w:lineRule="auto"/>
        <w:ind w:left="958" w:leftChars="342" w:hanging="240" w:hangingChars="100"/>
        <w:rPr>
          <w:rFonts w:ascii="宋体" w:hAnsi="宋体"/>
          <w:color w:val="auto"/>
          <w:sz w:val="24"/>
        </w:rPr>
      </w:pP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rPr>
        <w:t>（大写）。</w:t>
      </w:r>
    </w:p>
    <w:p>
      <w:pPr>
        <w:pageBreakBefore w:val="0"/>
        <w:kinsoku/>
        <w:wordWrap/>
        <w:topLinePunct w:val="0"/>
        <w:bidi w:val="0"/>
        <w:spacing w:line="360" w:lineRule="auto"/>
        <w:ind w:firstLine="480" w:firstLineChars="200"/>
        <w:rPr>
          <w:rFonts w:ascii="宋体" w:hAnsi="宋体"/>
          <w:color w:val="auto"/>
          <w:sz w:val="24"/>
        </w:rPr>
      </w:pPr>
      <w:r>
        <w:rPr>
          <w:rFonts w:hint="eastAsia" w:ascii="宋体" w:hAnsi="宋体"/>
          <w:color w:val="auto"/>
          <w:sz w:val="24"/>
        </w:rPr>
        <w:t>2．报价人将按采购文件的规定履行合同责任和义务。</w:t>
      </w:r>
    </w:p>
    <w:p>
      <w:pPr>
        <w:pageBreakBefore w:val="0"/>
        <w:kinsoku/>
        <w:wordWrap/>
        <w:topLinePunct w:val="0"/>
        <w:bidi w:val="0"/>
        <w:spacing w:line="360" w:lineRule="auto"/>
        <w:ind w:firstLine="480" w:firstLineChars="200"/>
        <w:rPr>
          <w:rFonts w:ascii="宋体" w:hAnsi="宋体"/>
          <w:color w:val="auto"/>
          <w:sz w:val="24"/>
        </w:rPr>
      </w:pPr>
      <w:r>
        <w:rPr>
          <w:rFonts w:hint="eastAsia" w:ascii="宋体" w:hAnsi="宋体"/>
          <w:color w:val="auto"/>
          <w:sz w:val="24"/>
        </w:rPr>
        <w:t>3．报价人同意提供按照采购方可能要求的与其报价有关的一切数据或资料，完全理解贵方不一定要接受最低的报价或收到的任何报价。</w:t>
      </w:r>
    </w:p>
    <w:p>
      <w:pPr>
        <w:pageBreakBefore w:val="0"/>
        <w:kinsoku/>
        <w:wordWrap/>
        <w:topLinePunct w:val="0"/>
        <w:bidi w:val="0"/>
        <w:spacing w:line="360" w:lineRule="auto"/>
        <w:ind w:firstLine="480" w:firstLineChars="200"/>
        <w:rPr>
          <w:rFonts w:ascii="宋体" w:hAnsi="宋体"/>
          <w:color w:val="auto"/>
          <w:sz w:val="24"/>
        </w:rPr>
      </w:pPr>
      <w:r>
        <w:rPr>
          <w:rFonts w:hint="eastAsia" w:ascii="宋体" w:hAnsi="宋体"/>
          <w:color w:val="auto"/>
          <w:sz w:val="24"/>
        </w:rPr>
        <w:t>与本采购项目有关的一切正式往来通讯请寄：</w:t>
      </w:r>
    </w:p>
    <w:p>
      <w:pPr>
        <w:pageBreakBefore w:val="0"/>
        <w:kinsoku/>
        <w:wordWrap/>
        <w:topLinePunct w:val="0"/>
        <w:bidi w:val="0"/>
        <w:spacing w:line="360" w:lineRule="auto"/>
        <w:rPr>
          <w:rFonts w:ascii="宋体" w:hAnsi="宋体"/>
          <w:color w:val="auto"/>
          <w:sz w:val="24"/>
        </w:rPr>
      </w:pPr>
    </w:p>
    <w:p>
      <w:pPr>
        <w:pStyle w:val="2"/>
        <w:pageBreakBefore w:val="0"/>
        <w:kinsoku/>
        <w:wordWrap/>
        <w:topLinePunct w:val="0"/>
        <w:bidi w:val="0"/>
        <w:spacing w:line="360" w:lineRule="auto"/>
        <w:rPr>
          <w:color w:val="auto"/>
        </w:rPr>
      </w:pP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 xml:space="preserve">报价人名称(全称并加盖公章)：_______________ </w:t>
      </w:r>
    </w:p>
    <w:p>
      <w:pPr>
        <w:pageBreakBefore w:val="0"/>
        <w:kinsoku/>
        <w:wordWrap/>
        <w:topLinePunct w:val="0"/>
        <w:bidi w:val="0"/>
        <w:spacing w:line="360" w:lineRule="auto"/>
        <w:rPr>
          <w:rFonts w:ascii="宋体" w:hAnsi="宋体"/>
          <w:color w:val="auto"/>
          <w:sz w:val="24"/>
          <w:u w:val="single"/>
        </w:rPr>
      </w:pPr>
      <w:r>
        <w:rPr>
          <w:rFonts w:hint="eastAsia" w:ascii="宋体" w:hAnsi="宋体"/>
          <w:color w:val="auto"/>
          <w:sz w:val="24"/>
        </w:rPr>
        <w:t>报价人地址：</w:t>
      </w:r>
      <w:r>
        <w:rPr>
          <w:rFonts w:hint="eastAsia" w:ascii="宋体" w:hAnsi="宋体"/>
          <w:color w:val="auto"/>
          <w:sz w:val="24"/>
          <w:u w:val="single"/>
        </w:rPr>
        <w:t xml:space="preserve">                   </w:t>
      </w: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传真：__________________</w:t>
      </w: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报价人授权代表姓名：_____________</w:t>
      </w: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报价人授权代表（签字）：____________</w:t>
      </w: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电话/手机：_________________</w:t>
      </w: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 xml:space="preserve">日     期：_____年___月___日 </w:t>
      </w:r>
    </w:p>
    <w:p>
      <w:pPr>
        <w:pageBreakBefore w:val="0"/>
        <w:kinsoku/>
        <w:wordWrap/>
        <w:topLinePunct w:val="0"/>
        <w:bidi w:val="0"/>
        <w:spacing w:line="360" w:lineRule="auto"/>
        <w:rPr>
          <w:rFonts w:ascii="宋体" w:hAnsi="宋体"/>
          <w:color w:val="auto"/>
          <w:sz w:val="24"/>
        </w:rPr>
        <w:sectPr>
          <w:pgSz w:w="11905" w:h="16838"/>
          <w:pgMar w:top="1440" w:right="1803" w:bottom="1440" w:left="1803" w:header="851" w:footer="992" w:gutter="0"/>
          <w:pgNumType w:fmt="numberInDash"/>
          <w:cols w:space="0" w:num="1"/>
          <w:rtlGutter w:val="0"/>
          <w:docGrid w:type="lines" w:linePitch="319" w:charSpace="0"/>
        </w:sectPr>
      </w:pPr>
    </w:p>
    <w:p>
      <w:pPr>
        <w:pageBreakBefore w:val="0"/>
        <w:kinsoku/>
        <w:wordWrap/>
        <w:topLinePunct w:val="0"/>
        <w:bidi w:val="0"/>
        <w:spacing w:line="360" w:lineRule="auto"/>
        <w:jc w:val="left"/>
        <w:outlineLvl w:val="4"/>
        <w:rPr>
          <w:rFonts w:ascii="宋体"/>
          <w:color w:val="auto"/>
          <w:sz w:val="32"/>
          <w:szCs w:val="20"/>
        </w:rPr>
      </w:pPr>
      <w:bookmarkStart w:id="13" w:name="_Toc64885136"/>
      <w:r>
        <w:rPr>
          <w:rFonts w:hint="eastAsia" w:ascii="宋体"/>
          <w:color w:val="auto"/>
          <w:sz w:val="32"/>
          <w:szCs w:val="20"/>
        </w:rPr>
        <w:t>附件2</w:t>
      </w:r>
      <w:bookmarkEnd w:id="13"/>
    </w:p>
    <w:p>
      <w:pPr>
        <w:pageBreakBefore w:val="0"/>
        <w:kinsoku/>
        <w:wordWrap/>
        <w:topLinePunct w:val="0"/>
        <w:bidi w:val="0"/>
        <w:spacing w:line="360" w:lineRule="auto"/>
        <w:jc w:val="center"/>
        <w:outlineLvl w:val="4"/>
        <w:rPr>
          <w:rFonts w:hint="default" w:ascii="宋体"/>
          <w:color w:val="auto"/>
          <w:sz w:val="32"/>
          <w:szCs w:val="20"/>
          <w:lang w:val="en-US" w:eastAsia="zh-CN"/>
        </w:rPr>
      </w:pPr>
      <w:bookmarkStart w:id="14" w:name="_Toc64885137"/>
      <w:r>
        <w:rPr>
          <w:rFonts w:hint="eastAsia"/>
          <w:b/>
          <w:color w:val="auto"/>
          <w:sz w:val="36"/>
          <w:szCs w:val="36"/>
        </w:rPr>
        <w:t>采购内容响应情况</w:t>
      </w:r>
      <w:bookmarkEnd w:id="14"/>
      <w:r>
        <w:rPr>
          <w:rFonts w:hint="eastAsia"/>
          <w:b/>
          <w:color w:val="auto"/>
          <w:sz w:val="36"/>
          <w:szCs w:val="36"/>
          <w:lang w:val="en-US" w:eastAsia="zh-CN"/>
        </w:rPr>
        <w:t>偏离表</w:t>
      </w:r>
    </w:p>
    <w:p>
      <w:pPr>
        <w:pageBreakBefore w:val="0"/>
        <w:kinsoku/>
        <w:wordWrap/>
        <w:topLinePunct w:val="0"/>
        <w:bidi w:val="0"/>
        <w:spacing w:line="360" w:lineRule="auto"/>
        <w:rPr>
          <w:rFonts w:ascii="宋体" w:hAnsi="宋体"/>
          <w:color w:val="auto"/>
          <w:sz w:val="24"/>
        </w:rPr>
      </w:pP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报价人名称</w:t>
      </w:r>
      <w:r>
        <w:rPr>
          <w:rFonts w:hint="eastAsia" w:ascii="宋体" w:hAnsi="宋体"/>
          <w:color w:val="auto"/>
          <w:sz w:val="24"/>
          <w:lang w:val="en-US" w:eastAsia="zh-CN"/>
        </w:rPr>
        <w:t>：</w:t>
      </w:r>
      <w:r>
        <w:rPr>
          <w:rFonts w:hint="eastAsia" w:ascii="宋体" w:hAnsi="宋体"/>
          <w:color w:val="auto"/>
          <w:sz w:val="24"/>
        </w:rPr>
        <w:t>（加盖公章）</w:t>
      </w:r>
      <w:r>
        <w:rPr>
          <w:rFonts w:hint="eastAsia" w:ascii="宋体" w:hAnsi="宋体"/>
          <w:color w:val="auto"/>
          <w:sz w:val="24"/>
          <w:lang w:val="en-US" w:eastAsia="zh-CN"/>
        </w:rPr>
        <w:t xml:space="preserve">                           </w:t>
      </w:r>
      <w:r>
        <w:rPr>
          <w:rFonts w:hint="eastAsia" w:ascii="宋体" w:hAnsi="宋体"/>
          <w:color w:val="auto"/>
          <w:sz w:val="24"/>
        </w:rPr>
        <w:t>货币单位：元人民币</w:t>
      </w:r>
    </w:p>
    <w:tbl>
      <w:tblPr>
        <w:tblStyle w:val="13"/>
        <w:tblpPr w:leftFromText="180" w:rightFromText="180" w:vertAnchor="text" w:tblpY="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8"/>
        <w:gridCol w:w="1441"/>
        <w:gridCol w:w="1121"/>
        <w:gridCol w:w="1540"/>
        <w:gridCol w:w="592"/>
        <w:gridCol w:w="556"/>
        <w:gridCol w:w="1642"/>
        <w:gridCol w:w="10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shd w:val="clear" w:color="auto" w:fill="auto"/>
            <w:vAlign w:val="center"/>
          </w:tcPr>
          <w:p>
            <w:pPr>
              <w:pageBreakBefore w:val="0"/>
              <w:widowControl/>
              <w:kinsoku/>
              <w:wordWrap/>
              <w:topLinePunct w:val="0"/>
              <w:bidi w:val="0"/>
              <w:spacing w:line="360" w:lineRule="auto"/>
              <w:jc w:val="center"/>
              <w:rPr>
                <w:rFonts w:ascii="宋体" w:hAnsi="宋体"/>
                <w:b/>
                <w:color w:val="auto"/>
                <w:kern w:val="0"/>
                <w:szCs w:val="21"/>
              </w:rPr>
            </w:pPr>
          </w:p>
        </w:tc>
        <w:tc>
          <w:tcPr>
            <w:tcW w:w="2467" w:type="dxa"/>
            <w:shd w:val="clear" w:color="auto" w:fill="auto"/>
            <w:vAlign w:val="center"/>
          </w:tcPr>
          <w:p>
            <w:pPr>
              <w:pageBreakBefore w:val="0"/>
              <w:kinsoku/>
              <w:wordWrap/>
              <w:topLinePunct w:val="0"/>
              <w:bidi w:val="0"/>
              <w:spacing w:line="360" w:lineRule="auto"/>
              <w:jc w:val="center"/>
              <w:rPr>
                <w:rFonts w:ascii="宋体" w:hAnsi="宋体"/>
                <w:b/>
                <w:color w:val="auto"/>
                <w:kern w:val="0"/>
                <w:szCs w:val="21"/>
              </w:rPr>
            </w:pPr>
            <w:r>
              <w:rPr>
                <w:rFonts w:hint="eastAsia" w:ascii="宋体" w:hAnsi="宋体"/>
                <w:b/>
                <w:color w:val="auto"/>
                <w:kern w:val="0"/>
                <w:szCs w:val="21"/>
              </w:rPr>
              <w:t>采购内容</w:t>
            </w:r>
          </w:p>
        </w:tc>
        <w:tc>
          <w:tcPr>
            <w:tcW w:w="1845" w:type="dxa"/>
            <w:shd w:val="clear" w:color="auto" w:fill="auto"/>
            <w:vAlign w:val="center"/>
          </w:tcPr>
          <w:p>
            <w:pPr>
              <w:pageBreakBefore w:val="0"/>
              <w:kinsoku/>
              <w:wordWrap/>
              <w:topLinePunct w:val="0"/>
              <w:bidi w:val="0"/>
              <w:spacing w:line="360" w:lineRule="auto"/>
              <w:jc w:val="center"/>
              <w:rPr>
                <w:rFonts w:hint="eastAsia" w:ascii="宋体" w:hAnsi="宋体"/>
                <w:b/>
                <w:color w:val="auto"/>
                <w:kern w:val="0"/>
                <w:szCs w:val="21"/>
              </w:rPr>
            </w:pPr>
          </w:p>
        </w:tc>
        <w:tc>
          <w:tcPr>
            <w:tcW w:w="7035" w:type="dxa"/>
            <w:gridSpan w:val="4"/>
            <w:shd w:val="clear" w:color="auto" w:fill="auto"/>
            <w:vAlign w:val="center"/>
          </w:tcPr>
          <w:p>
            <w:pPr>
              <w:pageBreakBefore w:val="0"/>
              <w:kinsoku/>
              <w:wordWrap/>
              <w:topLinePunct w:val="0"/>
              <w:bidi w:val="0"/>
              <w:spacing w:line="360" w:lineRule="auto"/>
              <w:jc w:val="center"/>
              <w:rPr>
                <w:rFonts w:ascii="宋体" w:hAnsi="宋体"/>
                <w:b/>
                <w:color w:val="auto"/>
                <w:kern w:val="0"/>
                <w:szCs w:val="21"/>
              </w:rPr>
            </w:pPr>
            <w:r>
              <w:rPr>
                <w:rFonts w:hint="eastAsia" w:ascii="宋体" w:hAnsi="宋体"/>
                <w:b/>
                <w:color w:val="auto"/>
                <w:kern w:val="0"/>
                <w:szCs w:val="21"/>
              </w:rPr>
              <w:t>响应内容</w:t>
            </w:r>
          </w:p>
        </w:tc>
        <w:tc>
          <w:tcPr>
            <w:tcW w:w="1650" w:type="dxa"/>
            <w:shd w:val="clear" w:color="auto" w:fill="auto"/>
            <w:vAlign w:val="center"/>
          </w:tcPr>
          <w:p>
            <w:pPr>
              <w:pageBreakBefore w:val="0"/>
              <w:kinsoku/>
              <w:wordWrap/>
              <w:topLinePunct w:val="0"/>
              <w:bidi w:val="0"/>
              <w:spacing w:line="360" w:lineRule="auto"/>
              <w:jc w:val="center"/>
              <w:rPr>
                <w:rFonts w:ascii="宋体" w:hAnsi="宋体"/>
                <w:b/>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shd w:val="clear" w:color="auto" w:fill="auto"/>
            <w:vAlign w:val="center"/>
          </w:tcPr>
          <w:p>
            <w:pPr>
              <w:pageBreakBefore w:val="0"/>
              <w:widowControl/>
              <w:kinsoku/>
              <w:wordWrap/>
              <w:topLinePunct w:val="0"/>
              <w:bidi w:val="0"/>
              <w:spacing w:line="360" w:lineRule="auto"/>
              <w:jc w:val="center"/>
              <w:rPr>
                <w:rFonts w:ascii="宋体" w:hAnsi="宋体"/>
                <w:b/>
                <w:color w:val="auto"/>
                <w:kern w:val="0"/>
                <w:szCs w:val="21"/>
              </w:rPr>
            </w:pPr>
            <w:r>
              <w:rPr>
                <w:rFonts w:hint="eastAsia" w:ascii="宋体" w:hAnsi="宋体"/>
                <w:b/>
                <w:color w:val="auto"/>
                <w:kern w:val="0"/>
                <w:szCs w:val="21"/>
              </w:rPr>
              <w:t>序号</w:t>
            </w:r>
          </w:p>
        </w:tc>
        <w:tc>
          <w:tcPr>
            <w:tcW w:w="2467" w:type="dxa"/>
            <w:shd w:val="clear" w:color="auto" w:fill="auto"/>
            <w:vAlign w:val="center"/>
          </w:tcPr>
          <w:p>
            <w:pPr>
              <w:pageBreakBefore w:val="0"/>
              <w:widowControl/>
              <w:kinsoku/>
              <w:wordWrap/>
              <w:topLinePunct w:val="0"/>
              <w:bidi w:val="0"/>
              <w:spacing w:line="360" w:lineRule="auto"/>
              <w:jc w:val="center"/>
              <w:rPr>
                <w:rFonts w:ascii="宋体" w:hAnsi="宋体"/>
                <w:b/>
                <w:color w:val="auto"/>
                <w:kern w:val="0"/>
                <w:szCs w:val="21"/>
              </w:rPr>
            </w:pPr>
            <w:r>
              <w:rPr>
                <w:rFonts w:hint="eastAsia" w:ascii="宋体" w:hAnsi="宋体" w:cs="宋体"/>
                <w:b/>
                <w:bCs/>
                <w:color w:val="auto"/>
                <w:kern w:val="0"/>
                <w:sz w:val="24"/>
              </w:rPr>
              <w:t>商品全名</w:t>
            </w:r>
          </w:p>
        </w:tc>
        <w:tc>
          <w:tcPr>
            <w:tcW w:w="1845" w:type="dxa"/>
            <w:shd w:val="clear" w:color="auto" w:fill="auto"/>
            <w:vAlign w:val="center"/>
          </w:tcPr>
          <w:p>
            <w:pPr>
              <w:pageBreakBefore w:val="0"/>
              <w:widowControl/>
              <w:kinsoku/>
              <w:wordWrap/>
              <w:topLinePunct w:val="0"/>
              <w:bidi w:val="0"/>
              <w:spacing w:line="360" w:lineRule="auto"/>
              <w:jc w:val="center"/>
              <w:rPr>
                <w:rFonts w:hint="eastAsia" w:ascii="宋体" w:hAnsi="宋体" w:eastAsia="宋体"/>
                <w:b/>
                <w:color w:val="auto"/>
                <w:kern w:val="0"/>
                <w:szCs w:val="21"/>
                <w:lang w:eastAsia="zh-CN"/>
              </w:rPr>
            </w:pPr>
            <w:r>
              <w:rPr>
                <w:rFonts w:hint="eastAsia" w:ascii="宋体" w:hAnsi="宋体"/>
                <w:b/>
                <w:color w:val="auto"/>
                <w:kern w:val="0"/>
                <w:szCs w:val="21"/>
                <w:lang w:val="en-US" w:eastAsia="zh-CN"/>
              </w:rPr>
              <w:t>数量</w:t>
            </w:r>
          </w:p>
        </w:tc>
        <w:tc>
          <w:tcPr>
            <w:tcW w:w="2670" w:type="dxa"/>
            <w:shd w:val="clear" w:color="auto" w:fill="auto"/>
            <w:vAlign w:val="center"/>
          </w:tcPr>
          <w:p>
            <w:pPr>
              <w:pageBreakBefore w:val="0"/>
              <w:widowControl/>
              <w:kinsoku/>
              <w:wordWrap/>
              <w:topLinePunct w:val="0"/>
              <w:bidi w:val="0"/>
              <w:spacing w:line="360" w:lineRule="auto"/>
              <w:jc w:val="center"/>
              <w:rPr>
                <w:rFonts w:ascii="宋体" w:hAnsi="宋体"/>
                <w:b/>
                <w:color w:val="auto"/>
                <w:kern w:val="0"/>
                <w:szCs w:val="21"/>
              </w:rPr>
            </w:pPr>
            <w:r>
              <w:rPr>
                <w:rFonts w:hint="eastAsia" w:ascii="宋体" w:hAnsi="宋体" w:cs="宋体"/>
                <w:b/>
                <w:bCs/>
                <w:color w:val="auto"/>
                <w:kern w:val="0"/>
                <w:sz w:val="24"/>
              </w:rPr>
              <w:t>商品全名</w:t>
            </w:r>
          </w:p>
        </w:tc>
        <w:tc>
          <w:tcPr>
            <w:tcW w:w="765" w:type="dxa"/>
            <w:shd w:val="clear" w:color="auto" w:fill="auto"/>
            <w:vAlign w:val="center"/>
          </w:tcPr>
          <w:p>
            <w:pPr>
              <w:pageBreakBefore w:val="0"/>
              <w:widowControl/>
              <w:kinsoku/>
              <w:wordWrap/>
              <w:topLinePunct w:val="0"/>
              <w:bidi w:val="0"/>
              <w:spacing w:line="360" w:lineRule="auto"/>
              <w:jc w:val="center"/>
              <w:rPr>
                <w:rFonts w:hint="eastAsia" w:ascii="宋体" w:hAnsi="宋体" w:eastAsia="宋体"/>
                <w:b/>
                <w:color w:val="auto"/>
                <w:kern w:val="0"/>
                <w:szCs w:val="21"/>
                <w:lang w:eastAsia="zh-CN"/>
              </w:rPr>
            </w:pPr>
            <w:r>
              <w:rPr>
                <w:rFonts w:hint="eastAsia" w:ascii="宋体" w:hAnsi="宋体"/>
                <w:b/>
                <w:color w:val="auto"/>
                <w:kern w:val="0"/>
                <w:szCs w:val="21"/>
                <w:lang w:val="en-US" w:eastAsia="zh-CN"/>
              </w:rPr>
              <w:t>数量</w:t>
            </w:r>
          </w:p>
        </w:tc>
        <w:tc>
          <w:tcPr>
            <w:tcW w:w="690" w:type="dxa"/>
            <w:shd w:val="clear" w:color="auto" w:fill="auto"/>
            <w:vAlign w:val="center"/>
          </w:tcPr>
          <w:p>
            <w:pPr>
              <w:pageBreakBefore w:val="0"/>
              <w:kinsoku/>
              <w:wordWrap/>
              <w:topLinePunct w:val="0"/>
              <w:bidi w:val="0"/>
              <w:spacing w:line="360" w:lineRule="auto"/>
              <w:jc w:val="center"/>
              <w:rPr>
                <w:rFonts w:ascii="宋体" w:hAnsi="宋体"/>
                <w:b/>
                <w:color w:val="auto"/>
                <w:kern w:val="0"/>
                <w:szCs w:val="21"/>
              </w:rPr>
            </w:pPr>
            <w:r>
              <w:rPr>
                <w:rFonts w:hint="eastAsia" w:ascii="宋体" w:hAnsi="宋体"/>
                <w:b/>
                <w:color w:val="auto"/>
                <w:kern w:val="0"/>
                <w:szCs w:val="21"/>
              </w:rPr>
              <w:t>单价</w:t>
            </w:r>
          </w:p>
        </w:tc>
        <w:tc>
          <w:tcPr>
            <w:tcW w:w="2910" w:type="dxa"/>
            <w:shd w:val="clear" w:color="auto" w:fill="auto"/>
            <w:vAlign w:val="center"/>
          </w:tcPr>
          <w:p>
            <w:pPr>
              <w:pageBreakBefore w:val="0"/>
              <w:kinsoku/>
              <w:wordWrap/>
              <w:topLinePunct w:val="0"/>
              <w:bidi w:val="0"/>
              <w:spacing w:line="360" w:lineRule="auto"/>
              <w:jc w:val="center"/>
              <w:rPr>
                <w:rFonts w:ascii="宋体" w:hAnsi="宋体"/>
                <w:b/>
                <w:color w:val="auto"/>
                <w:kern w:val="0"/>
                <w:szCs w:val="21"/>
              </w:rPr>
            </w:pPr>
            <w:r>
              <w:rPr>
                <w:rFonts w:hint="eastAsia" w:ascii="宋体" w:hAnsi="宋体"/>
                <w:b/>
                <w:color w:val="auto"/>
                <w:kern w:val="0"/>
                <w:szCs w:val="21"/>
              </w:rPr>
              <w:t>偏离说明</w:t>
            </w:r>
          </w:p>
        </w:tc>
        <w:tc>
          <w:tcPr>
            <w:tcW w:w="1650" w:type="dxa"/>
            <w:shd w:val="clear" w:color="auto" w:fill="auto"/>
            <w:vAlign w:val="center"/>
          </w:tcPr>
          <w:p>
            <w:pPr>
              <w:pageBreakBefore w:val="0"/>
              <w:kinsoku/>
              <w:wordWrap/>
              <w:topLinePunct w:val="0"/>
              <w:bidi w:val="0"/>
              <w:spacing w:line="360" w:lineRule="auto"/>
              <w:jc w:val="center"/>
              <w:rPr>
                <w:rFonts w:ascii="宋体" w:hAnsi="宋体"/>
                <w:b/>
                <w:color w:val="auto"/>
                <w:kern w:val="0"/>
                <w:szCs w:val="21"/>
              </w:rPr>
            </w:pPr>
            <w:r>
              <w:rPr>
                <w:rFonts w:hint="eastAsia" w:ascii="宋体" w:hAnsi="宋体"/>
                <w:b/>
                <w:color w:val="auto"/>
                <w:kern w:val="0"/>
                <w:szCs w:val="21"/>
              </w:rPr>
              <w:t>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shd w:val="clear" w:color="auto" w:fill="auto"/>
            <w:vAlign w:val="center"/>
          </w:tcPr>
          <w:p>
            <w:pPr>
              <w:pStyle w:val="19"/>
              <w:pageBreakBefore w:val="0"/>
              <w:numPr>
                <w:ilvl w:val="0"/>
                <w:numId w:val="4"/>
              </w:numPr>
              <w:kinsoku/>
              <w:wordWrap/>
              <w:topLinePunct w:val="0"/>
              <w:bidi w:val="0"/>
              <w:spacing w:line="360" w:lineRule="auto"/>
              <w:ind w:firstLineChars="0"/>
              <w:jc w:val="center"/>
              <w:rPr>
                <w:rFonts w:ascii="宋体" w:hAnsi="宋体"/>
                <w:color w:val="auto"/>
                <w:kern w:val="0"/>
                <w:szCs w:val="21"/>
              </w:rPr>
            </w:pPr>
          </w:p>
        </w:tc>
        <w:tc>
          <w:tcPr>
            <w:tcW w:w="2467" w:type="dxa"/>
            <w:shd w:val="clear" w:color="auto" w:fill="auto"/>
            <w:vAlign w:val="center"/>
          </w:tcPr>
          <w:p>
            <w:pPr>
              <w:pageBreakBefore w:val="0"/>
              <w:widowControl/>
              <w:kinsoku/>
              <w:wordWrap/>
              <w:topLinePunct w:val="0"/>
              <w:bidi w:val="0"/>
              <w:spacing w:line="360" w:lineRule="auto"/>
              <w:jc w:val="center"/>
              <w:rPr>
                <w:rFonts w:hint="default" w:ascii="宋体" w:hAnsi="宋体" w:eastAsia="宋体"/>
                <w:color w:val="auto"/>
                <w:kern w:val="0"/>
                <w:szCs w:val="21"/>
                <w:lang w:val="en-US" w:eastAsia="zh-CN"/>
              </w:rPr>
            </w:pPr>
          </w:p>
        </w:tc>
        <w:tc>
          <w:tcPr>
            <w:tcW w:w="1845" w:type="dxa"/>
            <w:shd w:val="clear" w:color="auto" w:fill="auto"/>
            <w:vAlign w:val="center"/>
          </w:tcPr>
          <w:p>
            <w:pPr>
              <w:pageBreakBefore w:val="0"/>
              <w:widowControl/>
              <w:kinsoku/>
              <w:wordWrap/>
              <w:topLinePunct w:val="0"/>
              <w:bidi w:val="0"/>
              <w:spacing w:line="360" w:lineRule="auto"/>
              <w:jc w:val="center"/>
              <w:rPr>
                <w:rFonts w:hint="eastAsia" w:ascii="宋体" w:hAnsi="宋体" w:eastAsia="宋体"/>
                <w:color w:val="auto"/>
                <w:kern w:val="0"/>
                <w:szCs w:val="21"/>
                <w:lang w:val="en-US" w:eastAsia="zh-CN"/>
              </w:rPr>
            </w:pPr>
          </w:p>
        </w:tc>
        <w:tc>
          <w:tcPr>
            <w:tcW w:w="2670"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765"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69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291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165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shd w:val="clear" w:color="auto" w:fill="auto"/>
            <w:vAlign w:val="center"/>
          </w:tcPr>
          <w:p>
            <w:pPr>
              <w:pStyle w:val="19"/>
              <w:pageBreakBefore w:val="0"/>
              <w:numPr>
                <w:ilvl w:val="0"/>
                <w:numId w:val="4"/>
              </w:numPr>
              <w:kinsoku/>
              <w:wordWrap/>
              <w:topLinePunct w:val="0"/>
              <w:bidi w:val="0"/>
              <w:spacing w:line="360" w:lineRule="auto"/>
              <w:ind w:firstLineChars="0"/>
              <w:jc w:val="center"/>
              <w:rPr>
                <w:rFonts w:ascii="宋体" w:hAnsi="宋体"/>
                <w:color w:val="auto"/>
                <w:kern w:val="0"/>
                <w:szCs w:val="21"/>
              </w:rPr>
            </w:pPr>
          </w:p>
        </w:tc>
        <w:tc>
          <w:tcPr>
            <w:tcW w:w="2467" w:type="dxa"/>
            <w:shd w:val="clear" w:color="auto" w:fill="auto"/>
            <w:vAlign w:val="center"/>
          </w:tcPr>
          <w:p>
            <w:pPr>
              <w:pageBreakBefore w:val="0"/>
              <w:widowControl/>
              <w:kinsoku/>
              <w:wordWrap/>
              <w:topLinePunct w:val="0"/>
              <w:bidi w:val="0"/>
              <w:spacing w:line="360" w:lineRule="auto"/>
              <w:jc w:val="center"/>
              <w:rPr>
                <w:rFonts w:hint="default" w:ascii="宋体" w:hAnsi="宋体" w:eastAsia="宋体"/>
                <w:color w:val="auto"/>
                <w:kern w:val="0"/>
                <w:szCs w:val="21"/>
                <w:lang w:val="en-US" w:eastAsia="zh-CN"/>
              </w:rPr>
            </w:pPr>
          </w:p>
        </w:tc>
        <w:tc>
          <w:tcPr>
            <w:tcW w:w="1845" w:type="dxa"/>
            <w:shd w:val="clear" w:color="auto" w:fill="auto"/>
            <w:vAlign w:val="center"/>
          </w:tcPr>
          <w:p>
            <w:pPr>
              <w:pageBreakBefore w:val="0"/>
              <w:widowControl/>
              <w:kinsoku/>
              <w:wordWrap/>
              <w:topLinePunct w:val="0"/>
              <w:bidi w:val="0"/>
              <w:spacing w:line="360" w:lineRule="auto"/>
              <w:jc w:val="center"/>
              <w:rPr>
                <w:rFonts w:hint="eastAsia" w:ascii="宋体" w:hAnsi="宋体" w:eastAsia="宋体"/>
                <w:color w:val="auto"/>
                <w:kern w:val="0"/>
                <w:szCs w:val="21"/>
                <w:lang w:val="en-US" w:eastAsia="zh-CN"/>
              </w:rPr>
            </w:pPr>
          </w:p>
        </w:tc>
        <w:tc>
          <w:tcPr>
            <w:tcW w:w="2670"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765"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69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291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165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shd w:val="clear" w:color="auto" w:fill="auto"/>
            <w:vAlign w:val="center"/>
          </w:tcPr>
          <w:p>
            <w:pPr>
              <w:pStyle w:val="19"/>
              <w:pageBreakBefore w:val="0"/>
              <w:numPr>
                <w:ilvl w:val="0"/>
                <w:numId w:val="4"/>
              </w:numPr>
              <w:kinsoku/>
              <w:wordWrap/>
              <w:topLinePunct w:val="0"/>
              <w:bidi w:val="0"/>
              <w:spacing w:line="360" w:lineRule="auto"/>
              <w:ind w:firstLineChars="0"/>
              <w:jc w:val="center"/>
              <w:rPr>
                <w:rFonts w:ascii="宋体" w:hAnsi="宋体"/>
                <w:color w:val="auto"/>
                <w:kern w:val="0"/>
                <w:szCs w:val="21"/>
              </w:rPr>
            </w:pPr>
          </w:p>
        </w:tc>
        <w:tc>
          <w:tcPr>
            <w:tcW w:w="2467"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1845"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2670"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765"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69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291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165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shd w:val="clear" w:color="auto" w:fill="auto"/>
            <w:vAlign w:val="center"/>
          </w:tcPr>
          <w:p>
            <w:pPr>
              <w:pStyle w:val="19"/>
              <w:pageBreakBefore w:val="0"/>
              <w:numPr>
                <w:ilvl w:val="0"/>
                <w:numId w:val="4"/>
              </w:numPr>
              <w:kinsoku/>
              <w:wordWrap/>
              <w:topLinePunct w:val="0"/>
              <w:bidi w:val="0"/>
              <w:spacing w:line="360" w:lineRule="auto"/>
              <w:ind w:firstLineChars="0"/>
              <w:jc w:val="center"/>
              <w:rPr>
                <w:rFonts w:ascii="宋体" w:hAnsi="宋体"/>
                <w:color w:val="auto"/>
                <w:kern w:val="0"/>
                <w:szCs w:val="21"/>
              </w:rPr>
            </w:pPr>
          </w:p>
        </w:tc>
        <w:tc>
          <w:tcPr>
            <w:tcW w:w="2467"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1845"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2670"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765"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69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291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165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shd w:val="clear" w:color="auto" w:fill="auto"/>
            <w:vAlign w:val="center"/>
          </w:tcPr>
          <w:p>
            <w:pPr>
              <w:pStyle w:val="19"/>
              <w:pageBreakBefore w:val="0"/>
              <w:numPr>
                <w:ilvl w:val="0"/>
                <w:numId w:val="0"/>
              </w:numPr>
              <w:kinsoku/>
              <w:wordWrap/>
              <w:topLinePunct w:val="0"/>
              <w:bidi w:val="0"/>
              <w:spacing w:line="360" w:lineRule="auto"/>
              <w:ind w:leftChars="0"/>
              <w:jc w:val="both"/>
              <w:rPr>
                <w:rFonts w:hint="default" w:ascii="宋体" w:hAnsi="宋体" w:eastAsia="宋体"/>
                <w:color w:val="auto"/>
                <w:kern w:val="0"/>
                <w:szCs w:val="21"/>
                <w:lang w:val="en-US" w:eastAsia="zh-CN"/>
              </w:rPr>
            </w:pPr>
            <w:r>
              <w:rPr>
                <w:rFonts w:hint="eastAsia" w:ascii="宋体" w:hAnsi="宋体"/>
                <w:color w:val="auto"/>
                <w:kern w:val="0"/>
                <w:szCs w:val="21"/>
                <w:lang w:val="en-US" w:eastAsia="zh-CN"/>
              </w:rPr>
              <w:t>...</w:t>
            </w:r>
          </w:p>
        </w:tc>
        <w:tc>
          <w:tcPr>
            <w:tcW w:w="2467"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1845"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2670" w:type="dxa"/>
            <w:shd w:val="clear" w:color="auto" w:fill="auto"/>
            <w:vAlign w:val="center"/>
          </w:tcPr>
          <w:p>
            <w:pPr>
              <w:pageBreakBefore w:val="0"/>
              <w:widowControl/>
              <w:kinsoku/>
              <w:wordWrap/>
              <w:topLinePunct w:val="0"/>
              <w:bidi w:val="0"/>
              <w:spacing w:line="360" w:lineRule="auto"/>
              <w:jc w:val="center"/>
              <w:rPr>
                <w:rFonts w:ascii="宋体" w:hAnsi="宋体"/>
                <w:color w:val="auto"/>
                <w:kern w:val="0"/>
                <w:szCs w:val="21"/>
              </w:rPr>
            </w:pPr>
          </w:p>
        </w:tc>
        <w:tc>
          <w:tcPr>
            <w:tcW w:w="765"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69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291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c>
          <w:tcPr>
            <w:tcW w:w="1650" w:type="dxa"/>
            <w:shd w:val="clear" w:color="auto" w:fill="auto"/>
            <w:vAlign w:val="center"/>
          </w:tcPr>
          <w:p>
            <w:pPr>
              <w:pageBreakBefore w:val="0"/>
              <w:kinsoku/>
              <w:wordWrap/>
              <w:topLinePunct w:val="0"/>
              <w:bidi w:val="0"/>
              <w:spacing w:line="360" w:lineRule="auto"/>
              <w:jc w:val="center"/>
              <w:rPr>
                <w:rFonts w:ascii="宋体" w:hAnsi="宋体"/>
                <w:color w:val="auto"/>
                <w:kern w:val="0"/>
                <w:szCs w:val="21"/>
              </w:rPr>
            </w:pPr>
          </w:p>
        </w:tc>
      </w:tr>
    </w:tbl>
    <w:p>
      <w:pPr>
        <w:pageBreakBefore w:val="0"/>
        <w:kinsoku/>
        <w:wordWrap/>
        <w:topLinePunct w:val="0"/>
        <w:bidi w:val="0"/>
        <w:spacing w:line="360" w:lineRule="auto"/>
        <w:rPr>
          <w:rFonts w:hint="eastAsia" w:ascii="宋体" w:hAnsi="宋体"/>
          <w:color w:val="auto"/>
          <w:sz w:val="24"/>
        </w:rPr>
      </w:pPr>
      <w:r>
        <w:rPr>
          <w:rFonts w:hint="eastAsia" w:ascii="宋体" w:hAnsi="宋体"/>
          <w:color w:val="auto"/>
          <w:sz w:val="24"/>
        </w:rPr>
        <w:t>注：本报价是最终报价。</w:t>
      </w:r>
    </w:p>
    <w:p>
      <w:pPr>
        <w:pStyle w:val="7"/>
        <w:pageBreakBefore w:val="0"/>
        <w:kinsoku/>
        <w:wordWrap/>
        <w:topLinePunct w:val="0"/>
        <w:bidi w:val="0"/>
        <w:spacing w:line="360" w:lineRule="auto"/>
        <w:rPr>
          <w:color w:val="auto"/>
        </w:rPr>
      </w:pP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合计：            人民币。</w:t>
      </w:r>
    </w:p>
    <w:p>
      <w:pPr>
        <w:pageBreakBefore w:val="0"/>
        <w:kinsoku/>
        <w:wordWrap/>
        <w:topLinePunct w:val="0"/>
        <w:bidi w:val="0"/>
        <w:spacing w:line="360" w:lineRule="auto"/>
        <w:rPr>
          <w:rFonts w:ascii="宋体" w:hAnsi="宋体"/>
          <w:color w:val="auto"/>
          <w:sz w:val="24"/>
        </w:rPr>
      </w:pP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“偏离说明”栏只填写“正偏离”、“负偏离”、“无偏离”。</w:t>
      </w:r>
    </w:p>
    <w:p>
      <w:pPr>
        <w:pageBreakBefore w:val="0"/>
        <w:kinsoku/>
        <w:wordWrap/>
        <w:topLinePunct w:val="0"/>
        <w:bidi w:val="0"/>
        <w:spacing w:line="360" w:lineRule="auto"/>
        <w:rPr>
          <w:rFonts w:ascii="宋体" w:hAnsi="宋体"/>
          <w:color w:val="auto"/>
          <w:sz w:val="24"/>
        </w:rPr>
      </w:pPr>
      <w:r>
        <w:rPr>
          <w:rFonts w:hint="eastAsia" w:ascii="宋体" w:hAnsi="宋体"/>
          <w:color w:val="auto"/>
          <w:sz w:val="24"/>
        </w:rPr>
        <w:t xml:space="preserve">                                                                                     报价人代表（签字）：          </w:t>
      </w:r>
    </w:p>
    <w:p>
      <w:pPr>
        <w:pageBreakBefore w:val="0"/>
        <w:kinsoku/>
        <w:wordWrap/>
        <w:topLinePunct w:val="0"/>
        <w:bidi w:val="0"/>
        <w:spacing w:line="360" w:lineRule="auto"/>
        <w:rPr>
          <w:rFonts w:ascii="宋体" w:hAnsi="宋体"/>
          <w:color w:val="auto"/>
          <w:sz w:val="24"/>
        </w:rPr>
        <w:sectPr>
          <w:pgSz w:w="11905" w:h="16838"/>
          <w:pgMar w:top="1440" w:right="1803" w:bottom="1440" w:left="1803" w:header="851" w:footer="992" w:gutter="0"/>
          <w:pgNumType w:fmt="numberInDash"/>
          <w:cols w:space="0" w:num="1"/>
          <w:rtlGutter w:val="0"/>
          <w:docGrid w:type="lines" w:linePitch="319" w:charSpace="0"/>
        </w:sectPr>
      </w:pPr>
    </w:p>
    <w:p>
      <w:pPr>
        <w:pageBreakBefore w:val="0"/>
        <w:kinsoku/>
        <w:wordWrap/>
        <w:topLinePunct w:val="0"/>
        <w:bidi w:val="0"/>
        <w:spacing w:line="360" w:lineRule="auto"/>
        <w:jc w:val="center"/>
        <w:outlineLvl w:val="4"/>
        <w:rPr>
          <w:rFonts w:hint="eastAsia" w:ascii="宋体"/>
          <w:color w:val="auto"/>
          <w:sz w:val="32"/>
          <w:szCs w:val="20"/>
          <w:lang w:val="en-US" w:eastAsia="zh-CN"/>
        </w:rPr>
      </w:pPr>
      <w:bookmarkStart w:id="15" w:name="_Toc64885138"/>
      <w:r>
        <w:rPr>
          <w:rFonts w:hint="eastAsia"/>
          <w:b/>
          <w:color w:val="auto"/>
          <w:sz w:val="36"/>
          <w:szCs w:val="36"/>
          <w:lang w:val="en-US" w:eastAsia="zh-CN"/>
        </w:rPr>
        <w:t>报价一览表</w:t>
      </w:r>
    </w:p>
    <w:p>
      <w:pPr>
        <w:pStyle w:val="2"/>
        <w:pageBreakBefore w:val="0"/>
        <w:kinsoku/>
        <w:wordWrap/>
        <w:topLinePunct w:val="0"/>
        <w:bidi w:val="0"/>
        <w:spacing w:line="360" w:lineRule="auto"/>
        <w:rPr>
          <w:rFonts w:hint="eastAsia"/>
          <w:color w:val="auto"/>
          <w:lang w:val="en-US" w:eastAsia="zh-CN"/>
        </w:rPr>
      </w:pPr>
    </w:p>
    <w:p>
      <w:pPr>
        <w:pStyle w:val="2"/>
        <w:pageBreakBefore w:val="0"/>
        <w:kinsoku/>
        <w:wordWrap/>
        <w:topLinePunct w:val="0"/>
        <w:bidi w:val="0"/>
        <w:spacing w:line="360" w:lineRule="auto"/>
        <w:rPr>
          <w:rFonts w:hint="default"/>
          <w:color w:val="auto"/>
          <w:lang w:val="en-US" w:eastAsia="zh-CN"/>
        </w:rPr>
      </w:pPr>
      <w:r>
        <w:rPr>
          <w:rFonts w:hint="eastAsia" w:ascii="宋体" w:hAnsi="宋体"/>
          <w:color w:val="auto"/>
          <w:sz w:val="24"/>
        </w:rPr>
        <w:t xml:space="preserve">报价人名称（加盖公章）                </w:t>
      </w:r>
    </w:p>
    <w:tbl>
      <w:tblPr>
        <w:tblStyle w:val="13"/>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65"/>
        <w:gridCol w:w="1532"/>
        <w:gridCol w:w="1430"/>
        <w:gridCol w:w="1211"/>
        <w:gridCol w:w="809"/>
        <w:gridCol w:w="1333"/>
        <w:gridCol w:w="14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4" w:hRule="exact"/>
        </w:trPr>
        <w:tc>
          <w:tcPr>
            <w:tcW w:w="4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序号</w:t>
            </w:r>
          </w:p>
        </w:tc>
        <w:tc>
          <w:tcPr>
            <w:tcW w:w="9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货物名称</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cs="宋体"/>
                <w:b/>
                <w:bCs/>
                <w:i w:val="0"/>
                <w:iCs w:val="0"/>
                <w:color w:val="auto"/>
                <w:kern w:val="0"/>
                <w:sz w:val="22"/>
                <w:szCs w:val="22"/>
                <w:u w:val="none"/>
                <w:lang w:val="en-US" w:eastAsia="zh-CN" w:bidi="ar"/>
              </w:rPr>
              <w:t>制造商</w:t>
            </w:r>
          </w:p>
        </w:tc>
        <w:tc>
          <w:tcPr>
            <w:tcW w:w="7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b/>
                <w:bCs/>
                <w:i w:val="0"/>
                <w:iCs w:val="0"/>
                <w:color w:val="auto"/>
                <w:sz w:val="22"/>
                <w:szCs w:val="22"/>
                <w:u w:val="none"/>
                <w:lang w:val="en-US"/>
              </w:rPr>
            </w:pPr>
            <w:r>
              <w:rPr>
                <w:rFonts w:hint="eastAsia" w:ascii="宋体" w:hAnsi="宋体" w:cs="宋体"/>
                <w:b/>
                <w:bCs/>
                <w:i w:val="0"/>
                <w:iCs w:val="0"/>
                <w:color w:val="auto"/>
                <w:kern w:val="0"/>
                <w:sz w:val="22"/>
                <w:szCs w:val="22"/>
                <w:u w:val="none"/>
                <w:lang w:val="en-US" w:eastAsia="zh-CN" w:bidi="ar"/>
              </w:rPr>
              <w:t>品牌/型号</w:t>
            </w:r>
          </w:p>
        </w:tc>
        <w:tc>
          <w:tcPr>
            <w:tcW w:w="475"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数量</w:t>
            </w:r>
          </w:p>
        </w:tc>
        <w:tc>
          <w:tcPr>
            <w:tcW w:w="782"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b/>
                <w:bCs/>
                <w:i w:val="0"/>
                <w:iCs w:val="0"/>
                <w:color w:val="auto"/>
                <w:kern w:val="0"/>
                <w:sz w:val="22"/>
                <w:szCs w:val="22"/>
                <w:u w:val="none"/>
                <w:lang w:val="en-US" w:eastAsia="zh-CN" w:bidi="ar"/>
              </w:rPr>
            </w:pPr>
            <w:r>
              <w:rPr>
                <w:rFonts w:hint="eastAsia" w:ascii="宋体" w:hAnsi="宋体" w:cs="宋体"/>
                <w:b/>
                <w:bCs/>
                <w:i w:val="0"/>
                <w:iCs w:val="0"/>
                <w:color w:val="auto"/>
                <w:kern w:val="0"/>
                <w:sz w:val="22"/>
                <w:szCs w:val="22"/>
                <w:u w:val="none"/>
                <w:lang w:val="en-US" w:eastAsia="zh-CN" w:bidi="ar"/>
              </w:rPr>
              <w:t>单价（元）</w:t>
            </w:r>
          </w:p>
        </w:tc>
        <w:tc>
          <w:tcPr>
            <w:tcW w:w="840"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b/>
                <w:bCs/>
                <w:i w:val="0"/>
                <w:iCs w:val="0"/>
                <w:color w:val="auto"/>
                <w:kern w:val="0"/>
                <w:sz w:val="22"/>
                <w:szCs w:val="22"/>
                <w:u w:val="none"/>
                <w:lang w:val="en-US" w:eastAsia="zh-CN" w:bidi="ar"/>
              </w:rPr>
            </w:pPr>
            <w:r>
              <w:rPr>
                <w:rFonts w:hint="eastAsia" w:ascii="宋体" w:hAnsi="宋体" w:cs="宋体"/>
                <w:b/>
                <w:bCs/>
                <w:i w:val="0"/>
                <w:iCs w:val="0"/>
                <w:color w:val="auto"/>
                <w:kern w:val="0"/>
                <w:sz w:val="22"/>
                <w:szCs w:val="22"/>
                <w:u w:val="none"/>
                <w:lang w:val="en-US" w:eastAsia="zh-CN" w:bidi="ar"/>
              </w:rPr>
              <w:t>总价（元）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exact"/>
        </w:trPr>
        <w:tc>
          <w:tcPr>
            <w:tcW w:w="4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9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宋体" w:hAnsi="宋体" w:cs="宋体"/>
                <w:i w:val="0"/>
                <w:iCs w:val="0"/>
                <w:color w:val="auto"/>
                <w:kern w:val="0"/>
                <w:sz w:val="22"/>
                <w:szCs w:val="22"/>
                <w:u w:val="none"/>
                <w:lang w:val="en-US" w:eastAsia="zh-CN" w:bidi="ar"/>
              </w:rPr>
              <w:t>会议桌</w:t>
            </w:r>
          </w:p>
        </w:tc>
        <w:tc>
          <w:tcPr>
            <w:tcW w:w="8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475"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82"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p>
        </w:tc>
        <w:tc>
          <w:tcPr>
            <w:tcW w:w="840"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cs="宋体"/>
                <w:i w:val="0"/>
                <w:iCs w:val="0"/>
                <w:color w:val="auto"/>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exact"/>
        </w:trPr>
        <w:tc>
          <w:tcPr>
            <w:tcW w:w="4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9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sz w:val="22"/>
                <w:szCs w:val="22"/>
                <w:u w:val="none"/>
                <w:lang w:val="en-US"/>
              </w:rPr>
            </w:pPr>
            <w:r>
              <w:rPr>
                <w:rFonts w:hint="eastAsia" w:ascii="宋体" w:hAnsi="宋体" w:cs="宋体"/>
                <w:i w:val="0"/>
                <w:iCs w:val="0"/>
                <w:color w:val="auto"/>
                <w:kern w:val="0"/>
                <w:sz w:val="22"/>
                <w:szCs w:val="22"/>
                <w:u w:val="none"/>
                <w:lang w:val="en-US" w:eastAsia="zh-CN" w:bidi="ar"/>
              </w:rPr>
              <w:t>条桌</w:t>
            </w:r>
          </w:p>
        </w:tc>
        <w:tc>
          <w:tcPr>
            <w:tcW w:w="8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475"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82"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p>
        </w:tc>
        <w:tc>
          <w:tcPr>
            <w:tcW w:w="840"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cs="宋体"/>
                <w:i w:val="0"/>
                <w:iCs w:val="0"/>
                <w:color w:val="auto"/>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exact"/>
        </w:trPr>
        <w:tc>
          <w:tcPr>
            <w:tcW w:w="4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3</w:t>
            </w:r>
          </w:p>
        </w:tc>
        <w:tc>
          <w:tcPr>
            <w:tcW w:w="9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2"/>
                <w:sz w:val="22"/>
                <w:szCs w:val="22"/>
                <w:u w:val="none"/>
                <w:lang w:val="en-US" w:eastAsia="zh-CN" w:bidi="ar-SA"/>
              </w:rPr>
            </w:pPr>
            <w:r>
              <w:rPr>
                <w:rFonts w:hint="eastAsia" w:ascii="宋体" w:hAnsi="宋体" w:cs="宋体"/>
                <w:i w:val="0"/>
                <w:iCs w:val="0"/>
                <w:color w:val="auto"/>
                <w:kern w:val="0"/>
                <w:sz w:val="22"/>
                <w:szCs w:val="22"/>
                <w:u w:val="none"/>
                <w:lang w:val="en-US" w:eastAsia="zh-CN" w:bidi="ar"/>
              </w:rPr>
              <w:t>会议椅1</w:t>
            </w:r>
          </w:p>
        </w:tc>
        <w:tc>
          <w:tcPr>
            <w:tcW w:w="8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475"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82"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p>
        </w:tc>
        <w:tc>
          <w:tcPr>
            <w:tcW w:w="840"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cs="宋体"/>
                <w:i w:val="0"/>
                <w:iCs w:val="0"/>
                <w:color w:val="auto"/>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exact"/>
        </w:trPr>
        <w:tc>
          <w:tcPr>
            <w:tcW w:w="4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lang w:val="en-US" w:eastAsia="zh-CN"/>
              </w:rPr>
            </w:pPr>
            <w:r>
              <w:rPr>
                <w:rFonts w:hint="eastAsia" w:ascii="宋体" w:hAnsi="宋体" w:cs="宋体"/>
                <w:i w:val="0"/>
                <w:iCs w:val="0"/>
                <w:color w:val="auto"/>
                <w:sz w:val="22"/>
                <w:szCs w:val="22"/>
                <w:u w:val="none"/>
                <w:lang w:val="en-US" w:eastAsia="zh-CN"/>
              </w:rPr>
              <w:t>4</w:t>
            </w:r>
          </w:p>
        </w:tc>
        <w:tc>
          <w:tcPr>
            <w:tcW w:w="9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会议椅2</w:t>
            </w:r>
          </w:p>
        </w:tc>
        <w:tc>
          <w:tcPr>
            <w:tcW w:w="8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475"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82"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p>
        </w:tc>
        <w:tc>
          <w:tcPr>
            <w:tcW w:w="840"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cs="宋体"/>
                <w:i w:val="0"/>
                <w:iCs w:val="0"/>
                <w:color w:val="auto"/>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exact"/>
        </w:trPr>
        <w:tc>
          <w:tcPr>
            <w:tcW w:w="4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5</w:t>
            </w:r>
          </w:p>
        </w:tc>
        <w:tc>
          <w:tcPr>
            <w:tcW w:w="9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2"/>
                <w:sz w:val="22"/>
                <w:szCs w:val="22"/>
                <w:u w:val="none"/>
                <w:lang w:val="en-US" w:eastAsia="zh-CN" w:bidi="ar-SA"/>
              </w:rPr>
            </w:pPr>
            <w:r>
              <w:rPr>
                <w:rFonts w:hint="eastAsia" w:ascii="宋体" w:hAnsi="宋体" w:cs="宋体"/>
                <w:i w:val="0"/>
                <w:iCs w:val="0"/>
                <w:color w:val="auto"/>
                <w:kern w:val="0"/>
                <w:sz w:val="22"/>
                <w:szCs w:val="22"/>
                <w:u w:val="none"/>
                <w:lang w:val="en-US" w:eastAsia="zh-CN" w:bidi="ar"/>
              </w:rPr>
              <w:t>办公桌</w:t>
            </w:r>
          </w:p>
        </w:tc>
        <w:tc>
          <w:tcPr>
            <w:tcW w:w="8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475"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82"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p>
        </w:tc>
        <w:tc>
          <w:tcPr>
            <w:tcW w:w="840"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cs="宋体"/>
                <w:i w:val="0"/>
                <w:iCs w:val="0"/>
                <w:color w:val="auto"/>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exact"/>
        </w:trPr>
        <w:tc>
          <w:tcPr>
            <w:tcW w:w="4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lang w:val="en-US" w:eastAsia="zh-CN"/>
              </w:rPr>
            </w:pPr>
            <w:r>
              <w:rPr>
                <w:rFonts w:hint="eastAsia" w:ascii="宋体" w:hAnsi="宋体" w:cs="宋体"/>
                <w:i w:val="0"/>
                <w:iCs w:val="0"/>
                <w:color w:val="auto"/>
                <w:sz w:val="22"/>
                <w:szCs w:val="22"/>
                <w:u w:val="none"/>
                <w:lang w:val="en-US" w:eastAsia="zh-CN"/>
              </w:rPr>
              <w:t>6</w:t>
            </w:r>
          </w:p>
        </w:tc>
        <w:tc>
          <w:tcPr>
            <w:tcW w:w="9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宋体" w:hAnsi="宋体" w:eastAsia="宋体" w:cs="宋体"/>
                <w:i w:val="0"/>
                <w:iCs w:val="0"/>
                <w:color w:val="auto"/>
                <w:kern w:val="0"/>
                <w:sz w:val="22"/>
                <w:szCs w:val="22"/>
                <w:u w:val="none"/>
                <w:lang w:val="en-US" w:eastAsia="zh-CN" w:bidi="ar"/>
              </w:rPr>
              <w:t>办公椅</w:t>
            </w:r>
          </w:p>
        </w:tc>
        <w:tc>
          <w:tcPr>
            <w:tcW w:w="8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475"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82"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p>
        </w:tc>
        <w:tc>
          <w:tcPr>
            <w:tcW w:w="840"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cs="宋体"/>
                <w:i w:val="0"/>
                <w:iCs w:val="0"/>
                <w:color w:val="auto"/>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exact"/>
        </w:trPr>
        <w:tc>
          <w:tcPr>
            <w:tcW w:w="4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lang w:val="en-US" w:eastAsia="zh-CN"/>
              </w:rPr>
            </w:pPr>
            <w:r>
              <w:rPr>
                <w:rFonts w:hint="eastAsia" w:ascii="宋体" w:hAnsi="宋体" w:cs="宋体"/>
                <w:i w:val="0"/>
                <w:iCs w:val="0"/>
                <w:color w:val="auto"/>
                <w:sz w:val="22"/>
                <w:szCs w:val="22"/>
                <w:u w:val="none"/>
                <w:lang w:val="en-US" w:eastAsia="zh-CN"/>
              </w:rPr>
              <w:t>7</w:t>
            </w:r>
          </w:p>
        </w:tc>
        <w:tc>
          <w:tcPr>
            <w:tcW w:w="9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宋体" w:hAnsi="宋体" w:cs="宋体"/>
                <w:i w:val="0"/>
                <w:iCs w:val="0"/>
                <w:color w:val="auto"/>
                <w:kern w:val="0"/>
                <w:sz w:val="22"/>
                <w:szCs w:val="22"/>
                <w:u w:val="none"/>
                <w:lang w:val="en-US" w:eastAsia="zh-CN" w:bidi="ar"/>
              </w:rPr>
              <w:t>文件柜1</w:t>
            </w:r>
          </w:p>
        </w:tc>
        <w:tc>
          <w:tcPr>
            <w:tcW w:w="8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475"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82"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p>
        </w:tc>
        <w:tc>
          <w:tcPr>
            <w:tcW w:w="840"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cs="宋体"/>
                <w:i w:val="0"/>
                <w:iCs w:val="0"/>
                <w:color w:val="auto"/>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exact"/>
        </w:trPr>
        <w:tc>
          <w:tcPr>
            <w:tcW w:w="4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lang w:val="en-US" w:eastAsia="zh-CN"/>
              </w:rPr>
            </w:pPr>
            <w:r>
              <w:rPr>
                <w:rFonts w:hint="eastAsia" w:ascii="宋体" w:hAnsi="宋体" w:cs="宋体"/>
                <w:i w:val="0"/>
                <w:iCs w:val="0"/>
                <w:color w:val="auto"/>
                <w:sz w:val="22"/>
                <w:szCs w:val="22"/>
                <w:u w:val="none"/>
                <w:lang w:val="en-US" w:eastAsia="zh-CN"/>
              </w:rPr>
              <w:t>8</w:t>
            </w:r>
          </w:p>
        </w:tc>
        <w:tc>
          <w:tcPr>
            <w:tcW w:w="9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2"/>
                <w:sz w:val="22"/>
                <w:szCs w:val="22"/>
                <w:u w:val="none"/>
                <w:lang w:val="en-US" w:eastAsia="zh-CN" w:bidi="ar-SA"/>
              </w:rPr>
            </w:pPr>
            <w:r>
              <w:rPr>
                <w:rFonts w:hint="eastAsia" w:ascii="宋体" w:hAnsi="宋体" w:cs="宋体"/>
                <w:i w:val="0"/>
                <w:iCs w:val="0"/>
                <w:color w:val="auto"/>
                <w:kern w:val="0"/>
                <w:sz w:val="22"/>
                <w:szCs w:val="22"/>
                <w:u w:val="none"/>
                <w:lang w:val="en-US" w:eastAsia="zh-CN" w:bidi="ar"/>
              </w:rPr>
              <w:t>文件柜</w:t>
            </w:r>
            <w:r>
              <w:rPr>
                <w:rFonts w:hint="eastAsia" w:ascii="宋体" w:hAnsi="宋体" w:eastAsia="宋体" w:cs="宋体"/>
                <w:i w:val="0"/>
                <w:iCs w:val="0"/>
                <w:color w:val="auto"/>
                <w:kern w:val="0"/>
                <w:sz w:val="22"/>
                <w:szCs w:val="22"/>
                <w:u w:val="none"/>
                <w:lang w:val="en-US" w:eastAsia="zh-CN" w:bidi="ar"/>
              </w:rPr>
              <w:t>2</w:t>
            </w:r>
          </w:p>
        </w:tc>
        <w:tc>
          <w:tcPr>
            <w:tcW w:w="8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475"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eastAsia="宋体" w:cs="宋体"/>
                <w:i w:val="0"/>
                <w:iCs w:val="0"/>
                <w:color w:val="auto"/>
                <w:sz w:val="22"/>
                <w:szCs w:val="22"/>
                <w:u w:val="none"/>
              </w:rPr>
            </w:pPr>
          </w:p>
        </w:tc>
        <w:tc>
          <w:tcPr>
            <w:tcW w:w="782"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default" w:ascii="宋体" w:hAnsi="宋体" w:eastAsia="宋体" w:cs="宋体"/>
                <w:i w:val="0"/>
                <w:iCs w:val="0"/>
                <w:color w:val="auto"/>
                <w:kern w:val="0"/>
                <w:sz w:val="22"/>
                <w:szCs w:val="22"/>
                <w:u w:val="none"/>
                <w:lang w:val="en-US" w:eastAsia="zh-CN" w:bidi="ar"/>
              </w:rPr>
            </w:pPr>
          </w:p>
        </w:tc>
        <w:tc>
          <w:tcPr>
            <w:tcW w:w="840"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cs="宋体"/>
                <w:i w:val="0"/>
                <w:iCs w:val="0"/>
                <w:color w:val="auto"/>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exact"/>
        </w:trPr>
        <w:tc>
          <w:tcPr>
            <w:tcW w:w="4159"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both"/>
              <w:textAlignment w:val="center"/>
              <w:rPr>
                <w:rFonts w:hint="default" w:ascii="宋体" w:hAnsi="宋体" w:eastAsia="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合计</w:t>
            </w:r>
          </w:p>
        </w:tc>
        <w:tc>
          <w:tcPr>
            <w:tcW w:w="840" w:type="pct"/>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bidi w:val="0"/>
              <w:spacing w:line="360" w:lineRule="auto"/>
              <w:jc w:val="center"/>
              <w:textAlignment w:val="center"/>
              <w:rPr>
                <w:rFonts w:hint="eastAsia" w:ascii="宋体" w:hAnsi="宋体" w:cs="宋体"/>
                <w:i w:val="0"/>
                <w:iCs w:val="0"/>
                <w:color w:val="auto"/>
                <w:kern w:val="0"/>
                <w:sz w:val="22"/>
                <w:szCs w:val="22"/>
                <w:u w:val="none"/>
                <w:lang w:val="en-US" w:eastAsia="zh-CN" w:bidi="ar"/>
              </w:rPr>
            </w:pPr>
          </w:p>
        </w:tc>
      </w:tr>
    </w:tbl>
    <w:p>
      <w:pPr>
        <w:pageBreakBefore w:val="0"/>
        <w:kinsoku/>
        <w:wordWrap/>
        <w:topLinePunct w:val="0"/>
        <w:bidi w:val="0"/>
        <w:spacing w:line="360" w:lineRule="auto"/>
        <w:jc w:val="left"/>
        <w:outlineLvl w:val="4"/>
        <w:rPr>
          <w:rFonts w:hint="eastAsia" w:ascii="宋体"/>
          <w:color w:val="auto"/>
          <w:sz w:val="32"/>
          <w:szCs w:val="20"/>
        </w:rPr>
      </w:pPr>
    </w:p>
    <w:p>
      <w:pPr>
        <w:pageBreakBefore w:val="0"/>
        <w:kinsoku/>
        <w:wordWrap/>
        <w:topLinePunct w:val="0"/>
        <w:bidi w:val="0"/>
        <w:spacing w:line="360" w:lineRule="auto"/>
        <w:jc w:val="left"/>
        <w:outlineLvl w:val="4"/>
        <w:rPr>
          <w:rFonts w:hint="eastAsia" w:ascii="宋体"/>
          <w:color w:val="auto"/>
          <w:sz w:val="32"/>
          <w:szCs w:val="20"/>
        </w:rPr>
      </w:pPr>
    </w:p>
    <w:p>
      <w:pPr>
        <w:pageBreakBefore w:val="0"/>
        <w:kinsoku/>
        <w:wordWrap/>
        <w:topLinePunct w:val="0"/>
        <w:bidi w:val="0"/>
        <w:spacing w:line="360" w:lineRule="auto"/>
        <w:jc w:val="left"/>
        <w:outlineLvl w:val="4"/>
        <w:rPr>
          <w:rFonts w:hint="eastAsia" w:ascii="宋体"/>
          <w:color w:val="auto"/>
          <w:sz w:val="32"/>
          <w:szCs w:val="20"/>
        </w:rPr>
      </w:pPr>
    </w:p>
    <w:p>
      <w:pPr>
        <w:pStyle w:val="2"/>
        <w:pageBreakBefore w:val="0"/>
        <w:kinsoku/>
        <w:wordWrap/>
        <w:topLinePunct w:val="0"/>
        <w:bidi w:val="0"/>
        <w:spacing w:line="360" w:lineRule="auto"/>
        <w:rPr>
          <w:rFonts w:hint="eastAsia"/>
          <w:color w:val="auto"/>
        </w:rPr>
      </w:pPr>
    </w:p>
    <w:p>
      <w:pPr>
        <w:pageBreakBefore w:val="0"/>
        <w:kinsoku/>
        <w:wordWrap/>
        <w:topLinePunct w:val="0"/>
        <w:bidi w:val="0"/>
        <w:spacing w:line="360" w:lineRule="auto"/>
        <w:jc w:val="left"/>
        <w:outlineLvl w:val="4"/>
        <w:rPr>
          <w:rFonts w:hint="eastAsia" w:ascii="宋体"/>
          <w:color w:val="auto"/>
          <w:sz w:val="32"/>
          <w:szCs w:val="20"/>
        </w:rPr>
      </w:pPr>
    </w:p>
    <w:p>
      <w:pPr>
        <w:pageBreakBefore w:val="0"/>
        <w:kinsoku/>
        <w:wordWrap/>
        <w:topLinePunct w:val="0"/>
        <w:bidi w:val="0"/>
        <w:spacing w:line="360" w:lineRule="auto"/>
        <w:jc w:val="left"/>
        <w:outlineLvl w:val="4"/>
        <w:rPr>
          <w:rFonts w:ascii="宋体"/>
          <w:color w:val="auto"/>
          <w:sz w:val="32"/>
          <w:szCs w:val="20"/>
        </w:rPr>
      </w:pPr>
      <w:r>
        <w:rPr>
          <w:rFonts w:hint="eastAsia" w:ascii="宋体"/>
          <w:color w:val="auto"/>
          <w:sz w:val="32"/>
          <w:szCs w:val="20"/>
        </w:rPr>
        <w:t>附件3</w:t>
      </w:r>
      <w:bookmarkEnd w:id="15"/>
      <w:r>
        <w:rPr>
          <w:rFonts w:hint="eastAsia" w:ascii="宋体"/>
          <w:color w:val="auto"/>
          <w:sz w:val="32"/>
          <w:szCs w:val="20"/>
        </w:rPr>
        <w:t xml:space="preserve">         </w:t>
      </w:r>
    </w:p>
    <w:p>
      <w:pPr>
        <w:pageBreakBefore w:val="0"/>
        <w:kinsoku/>
        <w:wordWrap/>
        <w:topLinePunct w:val="0"/>
        <w:bidi w:val="0"/>
        <w:spacing w:line="360" w:lineRule="auto"/>
        <w:jc w:val="center"/>
        <w:rPr>
          <w:b/>
          <w:color w:val="auto"/>
          <w:sz w:val="36"/>
          <w:szCs w:val="36"/>
        </w:rPr>
      </w:pPr>
      <w:bookmarkStart w:id="16" w:name="_Toc361311160"/>
      <w:bookmarkStart w:id="17" w:name="_Toc64885141"/>
      <w:r>
        <w:rPr>
          <w:rFonts w:hint="eastAsia"/>
          <w:b/>
          <w:color w:val="auto"/>
          <w:sz w:val="36"/>
          <w:szCs w:val="36"/>
        </w:rPr>
        <w:t>法定代表人授权书</w:t>
      </w:r>
      <w:bookmarkEnd w:id="16"/>
      <w:bookmarkEnd w:id="17"/>
    </w:p>
    <w:p>
      <w:pPr>
        <w:pageBreakBefore w:val="0"/>
        <w:kinsoku/>
        <w:wordWrap/>
        <w:topLinePunct w:val="0"/>
        <w:bidi w:val="0"/>
        <w:spacing w:line="360" w:lineRule="auto"/>
        <w:rPr>
          <w:color w:val="auto"/>
        </w:rPr>
      </w:pPr>
    </w:p>
    <w:p>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ascii="宋体"/>
          <w:color w:val="auto"/>
          <w:sz w:val="24"/>
          <w:szCs w:val="20"/>
        </w:rPr>
      </w:pPr>
      <w:r>
        <w:rPr>
          <w:rFonts w:hint="eastAsia" w:ascii="宋体" w:cs="宋体"/>
          <w:color w:val="auto"/>
          <w:sz w:val="24"/>
          <w:lang w:eastAsia="zh-CN"/>
        </w:rPr>
        <w:t>福建省莆田环境监测中心站</w:t>
      </w:r>
      <w:r>
        <w:rPr>
          <w:rFonts w:hint="eastAsia" w:ascii="宋体"/>
          <w:color w:val="auto"/>
          <w:sz w:val="24"/>
          <w:szCs w:val="20"/>
        </w:rPr>
        <w:t>：</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ascii="宋体"/>
          <w:color w:val="auto"/>
          <w:sz w:val="24"/>
          <w:szCs w:val="20"/>
        </w:rPr>
      </w:pPr>
      <w:r>
        <w:rPr>
          <w:rFonts w:hint="eastAsia" w:ascii="宋体"/>
          <w:color w:val="auto"/>
          <w:sz w:val="24"/>
          <w:szCs w:val="28"/>
          <w:u w:val="single"/>
        </w:rPr>
        <w:t xml:space="preserve">（单位全称）                           </w:t>
      </w:r>
      <w:r>
        <w:rPr>
          <w:rFonts w:hint="eastAsia" w:ascii="宋体"/>
          <w:color w:val="auto"/>
          <w:sz w:val="24"/>
          <w:szCs w:val="20"/>
        </w:rPr>
        <w:t>法定代表人</w:t>
      </w:r>
      <w:r>
        <w:rPr>
          <w:rFonts w:hint="eastAsia" w:ascii="宋体"/>
          <w:color w:val="auto"/>
          <w:sz w:val="24"/>
          <w:szCs w:val="20"/>
          <w:u w:val="single"/>
        </w:rPr>
        <w:t xml:space="preserve">                </w:t>
      </w:r>
      <w:r>
        <w:rPr>
          <w:rFonts w:hint="eastAsia" w:ascii="宋体"/>
          <w:color w:val="auto"/>
          <w:sz w:val="24"/>
          <w:szCs w:val="20"/>
        </w:rPr>
        <w:t>授权</w:t>
      </w:r>
      <w:r>
        <w:rPr>
          <w:rFonts w:hint="eastAsia" w:ascii="宋体"/>
          <w:color w:val="auto"/>
          <w:sz w:val="24"/>
          <w:szCs w:val="20"/>
          <w:u w:val="single"/>
        </w:rPr>
        <w:t xml:space="preserve">                  </w:t>
      </w:r>
      <w:r>
        <w:rPr>
          <w:rFonts w:hint="eastAsia" w:ascii="宋体"/>
          <w:color w:val="auto"/>
          <w:sz w:val="24"/>
          <w:szCs w:val="28"/>
          <w:u w:val="single"/>
        </w:rPr>
        <w:t>（报价人代表）</w:t>
      </w:r>
      <w:r>
        <w:rPr>
          <w:rFonts w:hint="eastAsia" w:ascii="宋体"/>
          <w:color w:val="auto"/>
          <w:sz w:val="24"/>
          <w:szCs w:val="20"/>
        </w:rPr>
        <w:t>为报价人授权代表，代表本公司参加贵</w:t>
      </w:r>
      <w:r>
        <w:rPr>
          <w:rFonts w:hint="eastAsia" w:ascii="宋体"/>
          <w:color w:val="auto"/>
          <w:sz w:val="24"/>
          <w:szCs w:val="20"/>
          <w:lang w:eastAsia="zh-CN"/>
        </w:rPr>
        <w:t>站</w:t>
      </w:r>
      <w:r>
        <w:rPr>
          <w:rFonts w:hint="eastAsia" w:ascii="宋体"/>
          <w:color w:val="auto"/>
          <w:sz w:val="24"/>
          <w:szCs w:val="20"/>
        </w:rPr>
        <w:t>组织的</w:t>
      </w:r>
      <w:r>
        <w:rPr>
          <w:rFonts w:hint="eastAsia" w:ascii="宋体"/>
          <w:color w:val="auto"/>
          <w:sz w:val="24"/>
          <w:u w:val="single"/>
        </w:rPr>
        <w:t xml:space="preserve">    </w:t>
      </w:r>
      <w:r>
        <w:rPr>
          <w:rFonts w:hint="eastAsia" w:ascii="宋体"/>
          <w:color w:val="auto"/>
          <w:sz w:val="24"/>
          <w:u w:val="single"/>
          <w:lang w:val="en-US" w:eastAsia="zh-CN"/>
        </w:rPr>
        <w:t>办公家具采购</w:t>
      </w:r>
      <w:r>
        <w:rPr>
          <w:rFonts w:hint="eastAsia" w:ascii="宋体"/>
          <w:color w:val="auto"/>
          <w:sz w:val="24"/>
          <w:u w:val="single"/>
        </w:rPr>
        <w:t xml:space="preserve">        </w:t>
      </w:r>
      <w:r>
        <w:rPr>
          <w:rFonts w:hint="eastAsia" w:ascii="宋体"/>
          <w:color w:val="auto"/>
          <w:sz w:val="24"/>
          <w:szCs w:val="20"/>
        </w:rPr>
        <w:t>项目</w:t>
      </w:r>
      <w:r>
        <w:rPr>
          <w:rFonts w:hint="eastAsia" w:ascii="宋体"/>
          <w:color w:val="auto"/>
          <w:sz w:val="24"/>
          <w:szCs w:val="20"/>
          <w:lang w:val="en-US" w:eastAsia="zh-CN"/>
        </w:rPr>
        <w:t>(项目编号：</w:t>
      </w:r>
      <w:r>
        <w:rPr>
          <w:rFonts w:hint="eastAsia" w:ascii="宋体"/>
          <w:color w:val="auto"/>
          <w:sz w:val="24"/>
          <w:szCs w:val="20"/>
          <w:u w:val="single"/>
          <w:lang w:val="en-US" w:eastAsia="zh-CN"/>
        </w:rPr>
        <w:t xml:space="preserve">PTHJJC202302 </w:t>
      </w:r>
      <w:r>
        <w:rPr>
          <w:rFonts w:hint="eastAsia" w:ascii="宋体"/>
          <w:color w:val="auto"/>
          <w:sz w:val="24"/>
          <w:szCs w:val="20"/>
          <w:lang w:val="en-US" w:eastAsia="zh-CN"/>
        </w:rPr>
        <w:t>)</w:t>
      </w:r>
      <w:r>
        <w:rPr>
          <w:rFonts w:hint="eastAsia" w:ascii="宋体"/>
          <w:color w:val="auto"/>
          <w:sz w:val="24"/>
          <w:szCs w:val="20"/>
        </w:rPr>
        <w:t>投标活动，全权代表我方处理投标活动的一切事宜。报价人授权代表在投标活动过程中所签署的一切文件和处理与之有关的一切事务，我</w:t>
      </w:r>
      <w:r>
        <w:rPr>
          <w:rFonts w:hint="eastAsia" w:ascii="宋体"/>
          <w:color w:val="auto"/>
          <w:sz w:val="24"/>
          <w:szCs w:val="20"/>
          <w:lang w:eastAsia="zh-CN"/>
        </w:rPr>
        <w:t>方</w:t>
      </w:r>
      <w:r>
        <w:rPr>
          <w:rFonts w:hint="eastAsia" w:ascii="宋体"/>
          <w:color w:val="auto"/>
          <w:sz w:val="24"/>
          <w:szCs w:val="20"/>
        </w:rPr>
        <w:t>均予以承认。特此授权。</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ascii="宋体"/>
          <w:color w:val="auto"/>
          <w:sz w:val="24"/>
        </w:rPr>
      </w:pPr>
    </w:p>
    <w:p>
      <w:pPr>
        <w:keepNext w:val="0"/>
        <w:keepLines w:val="0"/>
        <w:pageBreakBefore w:val="0"/>
        <w:widowControl w:val="0"/>
        <w:kinsoku/>
        <w:wordWrap/>
        <w:overflowPunct/>
        <w:topLinePunct w:val="0"/>
        <w:autoSpaceDE/>
        <w:autoSpaceDN/>
        <w:bidi w:val="0"/>
        <w:adjustRightInd/>
        <w:spacing w:line="360" w:lineRule="auto"/>
        <w:textAlignment w:val="auto"/>
        <w:rPr>
          <w:rFonts w:ascii="宋体"/>
          <w:color w:val="auto"/>
          <w:sz w:val="24"/>
        </w:rPr>
      </w:pPr>
      <w:r>
        <w:rPr>
          <w:rFonts w:hint="eastAsia" w:ascii="宋体"/>
          <w:color w:val="auto"/>
          <w:sz w:val="24"/>
        </w:rPr>
        <w:t>报价人代表：</w:t>
      </w:r>
      <w:r>
        <w:rPr>
          <w:rFonts w:hint="eastAsia" w:ascii="宋体"/>
          <w:color w:val="auto"/>
          <w:sz w:val="24"/>
          <w:u w:val="single"/>
        </w:rPr>
        <w:t xml:space="preserve">            </w:t>
      </w:r>
      <w:r>
        <w:rPr>
          <w:rFonts w:hint="eastAsia" w:ascii="宋体"/>
          <w:color w:val="auto"/>
          <w:sz w:val="24"/>
        </w:rPr>
        <w:t xml:space="preserve">  性别：</w:t>
      </w:r>
      <w:r>
        <w:rPr>
          <w:rFonts w:hint="eastAsia" w:ascii="宋体"/>
          <w:color w:val="auto"/>
          <w:sz w:val="24"/>
          <w:u w:val="single"/>
        </w:rPr>
        <w:t xml:space="preserve">       </w:t>
      </w:r>
      <w:r>
        <w:rPr>
          <w:rFonts w:hint="eastAsia" w:ascii="宋体"/>
          <w:color w:val="auto"/>
          <w:sz w:val="24"/>
        </w:rPr>
        <w:t>身份证号：</w:t>
      </w:r>
      <w:r>
        <w:rPr>
          <w:rFonts w:hint="eastAsia" w:ascii="宋体"/>
          <w:color w:val="auto"/>
          <w:sz w:val="24"/>
          <w:u w:val="single"/>
        </w:rPr>
        <w:t xml:space="preserve">                  </w:t>
      </w:r>
    </w:p>
    <w:p>
      <w:pPr>
        <w:keepNext w:val="0"/>
        <w:keepLines w:val="0"/>
        <w:pageBreakBefore w:val="0"/>
        <w:widowControl w:val="0"/>
        <w:kinsoku/>
        <w:wordWrap/>
        <w:overflowPunct/>
        <w:topLinePunct w:val="0"/>
        <w:autoSpaceDE/>
        <w:autoSpaceDN/>
        <w:bidi w:val="0"/>
        <w:adjustRightInd/>
        <w:spacing w:line="360" w:lineRule="auto"/>
        <w:textAlignment w:val="auto"/>
        <w:rPr>
          <w:rFonts w:ascii="宋体"/>
          <w:color w:val="auto"/>
          <w:sz w:val="24"/>
        </w:rPr>
      </w:pPr>
      <w:r>
        <w:rPr>
          <w:rFonts w:hint="eastAsia" w:ascii="宋体"/>
          <w:color w:val="auto"/>
          <w:sz w:val="24"/>
        </w:rPr>
        <w:t>单位：</w:t>
      </w:r>
      <w:r>
        <w:rPr>
          <w:rFonts w:hint="eastAsia" w:ascii="宋体"/>
          <w:color w:val="auto"/>
          <w:sz w:val="24"/>
          <w:u w:val="single"/>
        </w:rPr>
        <w:t xml:space="preserve">                  </w:t>
      </w:r>
      <w:r>
        <w:rPr>
          <w:rFonts w:hint="eastAsia" w:ascii="宋体"/>
          <w:color w:val="auto"/>
          <w:sz w:val="24"/>
        </w:rPr>
        <w:t xml:space="preserve">  部门：</w:t>
      </w:r>
      <w:r>
        <w:rPr>
          <w:rFonts w:hint="eastAsia" w:ascii="宋体"/>
          <w:color w:val="auto"/>
          <w:sz w:val="24"/>
          <w:u w:val="single"/>
        </w:rPr>
        <w:t xml:space="preserve">       </w:t>
      </w:r>
      <w:r>
        <w:rPr>
          <w:rFonts w:hint="eastAsia" w:ascii="宋体"/>
          <w:color w:val="auto"/>
          <w:sz w:val="24"/>
        </w:rPr>
        <w:t xml:space="preserve">    电话：</w:t>
      </w:r>
      <w:r>
        <w:rPr>
          <w:rFonts w:hint="eastAsia" w:ascii="宋体"/>
          <w:color w:val="auto"/>
          <w:sz w:val="24"/>
          <w:u w:val="single"/>
        </w:rPr>
        <w:t xml:space="preserve">       </w:t>
      </w:r>
      <w:r>
        <w:rPr>
          <w:rFonts w:hint="eastAsia" w:ascii="宋体"/>
          <w:color w:val="auto"/>
          <w:sz w:val="24"/>
          <w:u w:val="single"/>
          <w:lang w:val="en-US" w:eastAsia="zh-CN"/>
        </w:rPr>
        <w:t xml:space="preserve">     </w:t>
      </w:r>
      <w:r>
        <w:rPr>
          <w:rFonts w:hint="eastAsia" w:ascii="宋体"/>
          <w:color w:val="auto"/>
          <w:sz w:val="24"/>
          <w:u w:val="single"/>
        </w:rPr>
        <w:t xml:space="preserve">       </w:t>
      </w:r>
    </w:p>
    <w:p>
      <w:pPr>
        <w:keepNext w:val="0"/>
        <w:keepLines w:val="0"/>
        <w:pageBreakBefore w:val="0"/>
        <w:widowControl w:val="0"/>
        <w:kinsoku/>
        <w:wordWrap/>
        <w:overflowPunct/>
        <w:topLinePunct w:val="0"/>
        <w:autoSpaceDE/>
        <w:autoSpaceDN/>
        <w:bidi w:val="0"/>
        <w:adjustRightInd/>
        <w:spacing w:line="360" w:lineRule="auto"/>
        <w:textAlignment w:val="auto"/>
        <w:rPr>
          <w:rFonts w:ascii="宋体"/>
          <w:color w:val="auto"/>
          <w:sz w:val="24"/>
        </w:rPr>
      </w:pPr>
    </w:p>
    <w:p>
      <w:pPr>
        <w:keepNext w:val="0"/>
        <w:keepLines w:val="0"/>
        <w:pageBreakBefore w:val="0"/>
        <w:widowControl w:val="0"/>
        <w:kinsoku/>
        <w:wordWrap/>
        <w:overflowPunct/>
        <w:topLinePunct w:val="0"/>
        <w:autoSpaceDE/>
        <w:autoSpaceDN/>
        <w:bidi w:val="0"/>
        <w:adjustRightInd/>
        <w:spacing w:line="360" w:lineRule="auto"/>
        <w:textAlignment w:val="auto"/>
        <w:rPr>
          <w:rFonts w:ascii="宋体"/>
          <w:color w:val="auto"/>
          <w:sz w:val="24"/>
        </w:rPr>
      </w:pPr>
      <w:r>
        <w:rPr>
          <w:rFonts w:hint="eastAsia" w:ascii="宋体"/>
          <w:color w:val="auto"/>
          <w:sz w:val="24"/>
        </w:rPr>
        <w:t>授权方                                        接受授权方</w:t>
      </w:r>
    </w:p>
    <w:p>
      <w:pPr>
        <w:keepNext w:val="0"/>
        <w:keepLines w:val="0"/>
        <w:pageBreakBefore w:val="0"/>
        <w:widowControl w:val="0"/>
        <w:kinsoku/>
        <w:wordWrap/>
        <w:overflowPunct/>
        <w:topLinePunct w:val="0"/>
        <w:autoSpaceDE/>
        <w:autoSpaceDN/>
        <w:bidi w:val="0"/>
        <w:adjustRightInd/>
        <w:spacing w:line="360" w:lineRule="auto"/>
        <w:textAlignment w:val="auto"/>
        <w:rPr>
          <w:rFonts w:ascii="宋体"/>
          <w:color w:val="auto"/>
          <w:sz w:val="24"/>
        </w:rPr>
      </w:pPr>
      <w:r>
        <w:rPr>
          <w:rFonts w:hint="eastAsia" w:ascii="宋体"/>
          <w:color w:val="auto"/>
          <w:sz w:val="24"/>
        </w:rPr>
        <w:t>报价人（全称并加盖公章）：</w:t>
      </w:r>
      <w:r>
        <w:rPr>
          <w:rFonts w:hint="eastAsia" w:ascii="宋体"/>
          <w:color w:val="auto"/>
          <w:sz w:val="24"/>
          <w:u w:val="single"/>
        </w:rPr>
        <w:t xml:space="preserve">          </w:t>
      </w:r>
    </w:p>
    <w:p>
      <w:pPr>
        <w:keepNext w:val="0"/>
        <w:keepLines w:val="0"/>
        <w:pageBreakBefore w:val="0"/>
        <w:widowControl w:val="0"/>
        <w:kinsoku/>
        <w:wordWrap/>
        <w:overflowPunct/>
        <w:topLinePunct w:val="0"/>
        <w:autoSpaceDE/>
        <w:autoSpaceDN/>
        <w:bidi w:val="0"/>
        <w:adjustRightInd/>
        <w:spacing w:line="360" w:lineRule="auto"/>
        <w:textAlignment w:val="auto"/>
        <w:rPr>
          <w:rFonts w:ascii="宋体"/>
          <w:color w:val="auto"/>
          <w:sz w:val="24"/>
        </w:rPr>
      </w:pPr>
      <w:r>
        <w:rPr>
          <w:rFonts w:hint="eastAsia" w:ascii="宋体"/>
          <w:color w:val="auto"/>
          <w:sz w:val="24"/>
        </w:rPr>
        <w:t>法定代表人（签字或签章）：</w:t>
      </w:r>
      <w:r>
        <w:rPr>
          <w:rFonts w:hint="eastAsia" w:ascii="宋体"/>
          <w:color w:val="auto"/>
          <w:sz w:val="24"/>
          <w:u w:val="single"/>
        </w:rPr>
        <w:t xml:space="preserve">           </w:t>
      </w:r>
      <w:r>
        <w:rPr>
          <w:rFonts w:hint="eastAsia" w:ascii="宋体"/>
          <w:color w:val="auto"/>
          <w:sz w:val="24"/>
        </w:rPr>
        <w:t xml:space="preserve">          报价人代表（签字）：</w:t>
      </w:r>
      <w:r>
        <w:rPr>
          <w:rFonts w:hint="eastAsia" w:ascii="宋体"/>
          <w:color w:val="auto"/>
          <w:sz w:val="24"/>
          <w:u w:val="single"/>
        </w:rPr>
        <w:t xml:space="preserve">            </w:t>
      </w:r>
    </w:p>
    <w:p>
      <w:pPr>
        <w:keepNext w:val="0"/>
        <w:keepLines w:val="0"/>
        <w:pageBreakBefore w:val="0"/>
        <w:widowControl w:val="0"/>
        <w:kinsoku/>
        <w:wordWrap/>
        <w:overflowPunct/>
        <w:topLinePunct w:val="0"/>
        <w:autoSpaceDE/>
        <w:autoSpaceDN/>
        <w:bidi w:val="0"/>
        <w:adjustRightInd/>
        <w:spacing w:line="360" w:lineRule="auto"/>
        <w:textAlignment w:val="auto"/>
        <w:rPr>
          <w:rFonts w:ascii="宋体"/>
          <w:color w:val="auto"/>
          <w:sz w:val="24"/>
        </w:rPr>
      </w:pPr>
      <w:bookmarkStart w:id="18" w:name="_Toc341088049"/>
      <w:bookmarkStart w:id="19" w:name="_Toc361311161"/>
      <w:r>
        <w:rPr>
          <w:rFonts w:hint="eastAsia"/>
          <w:color w:val="auto"/>
          <w:sz w:val="24"/>
        </w:rPr>
        <w:t>日</w:t>
      </w:r>
      <w:r>
        <w:rPr>
          <w:color w:val="auto"/>
          <w:sz w:val="24"/>
        </w:rPr>
        <w:t xml:space="preserve">     </w:t>
      </w:r>
      <w:r>
        <w:rPr>
          <w:rFonts w:hint="eastAsia"/>
          <w:color w:val="auto"/>
          <w:sz w:val="24"/>
        </w:rPr>
        <w:t>期：</w:t>
      </w:r>
      <w:r>
        <w:rPr>
          <w:color w:val="auto"/>
          <w:sz w:val="24"/>
          <w:u w:val="single"/>
        </w:rPr>
        <w:t xml:space="preserve">         </w:t>
      </w:r>
      <w:r>
        <w:rPr>
          <w:color w:val="auto"/>
          <w:sz w:val="24"/>
        </w:rPr>
        <w:t xml:space="preserve">                          </w:t>
      </w:r>
      <w:r>
        <w:rPr>
          <w:rFonts w:hint="eastAsia"/>
          <w:color w:val="auto"/>
          <w:sz w:val="24"/>
        </w:rPr>
        <w:t>日</w:t>
      </w:r>
      <w:r>
        <w:rPr>
          <w:color w:val="auto"/>
          <w:sz w:val="24"/>
        </w:rPr>
        <w:t xml:space="preserve">     </w:t>
      </w:r>
      <w:r>
        <w:rPr>
          <w:rFonts w:hint="eastAsia"/>
          <w:color w:val="auto"/>
          <w:sz w:val="24"/>
        </w:rPr>
        <w:t>期：</w:t>
      </w:r>
      <w:bookmarkEnd w:id="18"/>
      <w:bookmarkEnd w:id="19"/>
      <w:r>
        <w:rPr>
          <w:color w:val="auto"/>
          <w:sz w:val="24"/>
          <w:u w:val="single"/>
        </w:rPr>
        <w:t xml:space="preserve">              </w:t>
      </w:r>
    </w:p>
    <w:p>
      <w:pPr>
        <w:keepNext w:val="0"/>
        <w:keepLines w:val="0"/>
        <w:pageBreakBefore w:val="0"/>
        <w:widowControl w:val="0"/>
        <w:kinsoku/>
        <w:wordWrap/>
        <w:overflowPunct/>
        <w:topLinePunct w:val="0"/>
        <w:autoSpaceDE/>
        <w:autoSpaceDN/>
        <w:bidi w:val="0"/>
        <w:adjustRightInd/>
        <w:spacing w:line="360" w:lineRule="auto"/>
        <w:textAlignment w:val="auto"/>
        <w:rPr>
          <w:rFonts w:ascii="宋体"/>
          <w:color w:val="auto"/>
          <w:sz w:val="24"/>
        </w:rPr>
      </w:pPr>
    </w:p>
    <w:p>
      <w:pPr>
        <w:keepNext w:val="0"/>
        <w:keepLines w:val="0"/>
        <w:pageBreakBefore w:val="0"/>
        <w:widowControl w:val="0"/>
        <w:kinsoku/>
        <w:wordWrap/>
        <w:overflowPunct/>
        <w:topLinePunct w:val="0"/>
        <w:autoSpaceDE/>
        <w:autoSpaceDN/>
        <w:bidi w:val="0"/>
        <w:adjustRightInd/>
        <w:spacing w:line="360" w:lineRule="auto"/>
        <w:textAlignment w:val="auto"/>
        <w:rPr>
          <w:rFonts w:ascii="宋体"/>
          <w:color w:val="auto"/>
          <w:sz w:val="24"/>
        </w:rPr>
      </w:pPr>
      <w:r>
        <w:rPr>
          <w:rFonts w:hint="eastAsia" w:ascii="宋体"/>
          <w:color w:val="auto"/>
          <w:sz w:val="24"/>
        </w:rPr>
        <w:t>附：授权人及被授权人身份证件复印件（正、反两面）</w:t>
      </w:r>
    </w:p>
    <w:p>
      <w:pPr>
        <w:keepNext w:val="0"/>
        <w:keepLines w:val="0"/>
        <w:pageBreakBefore w:val="0"/>
        <w:widowControl w:val="0"/>
        <w:kinsoku/>
        <w:wordWrap/>
        <w:overflowPunct/>
        <w:topLinePunct w:val="0"/>
        <w:autoSpaceDE/>
        <w:autoSpaceDN/>
        <w:bidi w:val="0"/>
        <w:adjustRightInd/>
        <w:spacing w:line="360" w:lineRule="auto"/>
        <w:textAlignment w:val="auto"/>
        <w:rPr>
          <w:rFonts w:ascii="宋体"/>
          <w:color w:val="auto"/>
          <w:sz w:val="24"/>
          <w:szCs w:val="20"/>
        </w:rPr>
      </w:pPr>
      <w:r>
        <w:rPr>
          <w:color w:val="auto"/>
        </w:rPr>
        <w:t xml:space="preserve"> </w:t>
      </w:r>
      <w:r>
        <w:rPr>
          <w:rFonts w:hint="eastAsia" w:ascii="宋体"/>
          <w:color w:val="auto"/>
          <w:sz w:val="24"/>
        </w:rPr>
        <w:t>（若为法定代表人直接参加报价可不需此件，但需提供法定代表人身份证）</w:t>
      </w:r>
    </w:p>
    <w:sectPr>
      <w:pgSz w:w="11905" w:h="16838"/>
      <w:pgMar w:top="1440" w:right="1803" w:bottom="1440" w:left="1803"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PAGE   \* MERGEFORMAT</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3 -</w:t>
    </w:r>
    <w:r>
      <w:rPr>
        <w:rFonts w:hint="eastAsia" w:ascii="仿宋_GB2312" w:eastAsia="仿宋_GB2312"/>
        <w:sz w:val="28"/>
        <w:szCs w:val="28"/>
      </w:rPr>
      <w:fldChar w:fldCharType="end"/>
    </w:r>
  </w:p>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2BF9EA"/>
    <w:multiLevelType w:val="singleLevel"/>
    <w:tmpl w:val="902BF9EA"/>
    <w:lvl w:ilvl="0" w:tentative="0">
      <w:start w:val="2"/>
      <w:numFmt w:val="decimal"/>
      <w:suff w:val="nothing"/>
      <w:lvlText w:val="%1、"/>
      <w:lvlJc w:val="left"/>
    </w:lvl>
  </w:abstractNum>
  <w:abstractNum w:abstractNumId="1">
    <w:nsid w:val="A99D9E2A"/>
    <w:multiLevelType w:val="singleLevel"/>
    <w:tmpl w:val="A99D9E2A"/>
    <w:lvl w:ilvl="0" w:tentative="0">
      <w:start w:val="4"/>
      <w:numFmt w:val="decimal"/>
      <w:suff w:val="nothing"/>
      <w:lvlText w:val="%1、"/>
      <w:lvlJc w:val="left"/>
    </w:lvl>
  </w:abstractNum>
  <w:abstractNum w:abstractNumId="2">
    <w:nsid w:val="326531A0"/>
    <w:multiLevelType w:val="singleLevel"/>
    <w:tmpl w:val="326531A0"/>
    <w:lvl w:ilvl="0" w:tentative="0">
      <w:start w:val="3"/>
      <w:numFmt w:val="decimal"/>
      <w:suff w:val="nothing"/>
      <w:lvlText w:val="（%1）"/>
      <w:lvlJc w:val="left"/>
    </w:lvl>
  </w:abstractNum>
  <w:abstractNum w:abstractNumId="3">
    <w:nsid w:val="42FA3763"/>
    <w:multiLevelType w:val="multilevel"/>
    <w:tmpl w:val="42FA3763"/>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UwMmI5YjdmNGQwOGE0NzBmMTA1MjJjNThmMDM3ODkifQ=="/>
  </w:docVars>
  <w:rsids>
    <w:rsidRoot w:val="40687595"/>
    <w:rsid w:val="009904EA"/>
    <w:rsid w:val="041D3D76"/>
    <w:rsid w:val="04237451"/>
    <w:rsid w:val="06043DB9"/>
    <w:rsid w:val="06960735"/>
    <w:rsid w:val="06BC1144"/>
    <w:rsid w:val="0733430F"/>
    <w:rsid w:val="07BF3933"/>
    <w:rsid w:val="08247CCB"/>
    <w:rsid w:val="08346591"/>
    <w:rsid w:val="08BF22FE"/>
    <w:rsid w:val="09B5725D"/>
    <w:rsid w:val="0B267687"/>
    <w:rsid w:val="0E4D7EE2"/>
    <w:rsid w:val="111B4D7B"/>
    <w:rsid w:val="11360C84"/>
    <w:rsid w:val="14BA7BC1"/>
    <w:rsid w:val="14C64A14"/>
    <w:rsid w:val="17285513"/>
    <w:rsid w:val="185008B8"/>
    <w:rsid w:val="18C1401B"/>
    <w:rsid w:val="199844EA"/>
    <w:rsid w:val="1AC27A2C"/>
    <w:rsid w:val="1AE9461B"/>
    <w:rsid w:val="1B59213E"/>
    <w:rsid w:val="1CF11734"/>
    <w:rsid w:val="1DBA0969"/>
    <w:rsid w:val="1DF517C5"/>
    <w:rsid w:val="21100D8D"/>
    <w:rsid w:val="21A34659"/>
    <w:rsid w:val="271853A7"/>
    <w:rsid w:val="27233A0E"/>
    <w:rsid w:val="28BF01C3"/>
    <w:rsid w:val="29543F45"/>
    <w:rsid w:val="298F6F39"/>
    <w:rsid w:val="2A571F3F"/>
    <w:rsid w:val="2CD82A6E"/>
    <w:rsid w:val="2E365A75"/>
    <w:rsid w:val="32A41B9F"/>
    <w:rsid w:val="35BA56C4"/>
    <w:rsid w:val="365B3BEF"/>
    <w:rsid w:val="36E318FF"/>
    <w:rsid w:val="36E75F23"/>
    <w:rsid w:val="37606D64"/>
    <w:rsid w:val="38DC4CEC"/>
    <w:rsid w:val="39565A73"/>
    <w:rsid w:val="3A130856"/>
    <w:rsid w:val="3AE23094"/>
    <w:rsid w:val="3E4E1A73"/>
    <w:rsid w:val="3ECB4852"/>
    <w:rsid w:val="40687595"/>
    <w:rsid w:val="40D44622"/>
    <w:rsid w:val="410D1152"/>
    <w:rsid w:val="41E50BAA"/>
    <w:rsid w:val="42BC01C3"/>
    <w:rsid w:val="434A67F1"/>
    <w:rsid w:val="43BA2BA5"/>
    <w:rsid w:val="44094CAA"/>
    <w:rsid w:val="45B47174"/>
    <w:rsid w:val="49740978"/>
    <w:rsid w:val="49BD157A"/>
    <w:rsid w:val="49BF23E2"/>
    <w:rsid w:val="4A622179"/>
    <w:rsid w:val="4AA93AD0"/>
    <w:rsid w:val="4AE47D45"/>
    <w:rsid w:val="4EDE412D"/>
    <w:rsid w:val="5112698A"/>
    <w:rsid w:val="51D96C4C"/>
    <w:rsid w:val="545B31CB"/>
    <w:rsid w:val="546F13A9"/>
    <w:rsid w:val="54F151E6"/>
    <w:rsid w:val="55AF0C6A"/>
    <w:rsid w:val="580A4762"/>
    <w:rsid w:val="58780847"/>
    <w:rsid w:val="587B68A4"/>
    <w:rsid w:val="59C15070"/>
    <w:rsid w:val="5B101B01"/>
    <w:rsid w:val="5B703073"/>
    <w:rsid w:val="5C4A2E02"/>
    <w:rsid w:val="5C8F06CA"/>
    <w:rsid w:val="60F27941"/>
    <w:rsid w:val="614C5D65"/>
    <w:rsid w:val="61D1369E"/>
    <w:rsid w:val="627457EA"/>
    <w:rsid w:val="62D358FF"/>
    <w:rsid w:val="636E0972"/>
    <w:rsid w:val="64EF2635"/>
    <w:rsid w:val="65707958"/>
    <w:rsid w:val="659A2704"/>
    <w:rsid w:val="6693190F"/>
    <w:rsid w:val="6717410E"/>
    <w:rsid w:val="68BE3207"/>
    <w:rsid w:val="6C846764"/>
    <w:rsid w:val="6D0B038C"/>
    <w:rsid w:val="6D94212F"/>
    <w:rsid w:val="6E921C2D"/>
    <w:rsid w:val="6FCA1AB3"/>
    <w:rsid w:val="6FEC1DAE"/>
    <w:rsid w:val="700C41FF"/>
    <w:rsid w:val="705610BB"/>
    <w:rsid w:val="733028FA"/>
    <w:rsid w:val="75AD6F02"/>
    <w:rsid w:val="76C203D4"/>
    <w:rsid w:val="77A15B74"/>
    <w:rsid w:val="77AF7564"/>
    <w:rsid w:val="797153CF"/>
    <w:rsid w:val="7BD227A0"/>
    <w:rsid w:val="7D2D12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4"/>
    <w:basedOn w:val="1"/>
    <w:next w:val="1"/>
    <w:unhideWhenUsed/>
    <w:qFormat/>
    <w:uiPriority w:val="0"/>
    <w:pPr>
      <w:keepNext/>
      <w:keepLines/>
      <w:spacing w:before="280" w:after="290" w:line="376" w:lineRule="auto"/>
      <w:outlineLvl w:val="3"/>
    </w:pPr>
    <w:rPr>
      <w:rFonts w:ascii="Cambria" w:hAnsi="Cambria"/>
      <w:b/>
      <w:bCs/>
      <w:sz w:val="28"/>
      <w:szCs w:val="28"/>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rPr>
      <w:rFonts w:ascii="黑体" w:eastAsia="黑体"/>
      <w:sz w:val="30"/>
      <w:shd w:val="pct10" w:color="auto" w:fill="FFFFFF"/>
    </w:rPr>
  </w:style>
  <w:style w:type="paragraph" w:styleId="5">
    <w:name w:val="Body Text Indent"/>
    <w:basedOn w:val="1"/>
    <w:qFormat/>
    <w:uiPriority w:val="0"/>
    <w:pPr>
      <w:spacing w:after="120"/>
      <w:ind w:left="420" w:leftChars="200"/>
    </w:pPr>
  </w:style>
  <w:style w:type="paragraph" w:styleId="6">
    <w:name w:val="Plain Text"/>
    <w:qFormat/>
    <w:uiPriority w:val="0"/>
    <w:pPr>
      <w:widowControl w:val="0"/>
      <w:jc w:val="both"/>
    </w:pPr>
    <w:rPr>
      <w:rFonts w:ascii="宋体" w:hAnsi="Times New Roman" w:eastAsia="宋体" w:cs="Times New Roman"/>
      <w:kern w:val="2"/>
      <w:sz w:val="21"/>
      <w:lang w:val="en-US" w:eastAsia="zh-CN" w:bidi="ar-SA"/>
    </w:rPr>
  </w:style>
  <w:style w:type="paragraph" w:styleId="7">
    <w:name w:val="Balloon Text"/>
    <w:basedOn w:val="1"/>
    <w:semiHidden/>
    <w:unhideWhenUsed/>
    <w:qFormat/>
    <w:uiPriority w:val="99"/>
    <w:rPr>
      <w:sz w:val="18"/>
      <w:szCs w:val="18"/>
    </w:rPr>
  </w:style>
  <w:style w:type="paragraph" w:styleId="8">
    <w:name w:val="footer"/>
    <w:basedOn w:val="1"/>
    <w:qFormat/>
    <w:uiPriority w:val="99"/>
    <w:pPr>
      <w:tabs>
        <w:tab w:val="center" w:pos="4153"/>
        <w:tab w:val="right" w:pos="8306"/>
      </w:tabs>
      <w:snapToGrid w:val="0"/>
      <w:jc w:val="left"/>
    </w:pPr>
    <w:rPr>
      <w:sz w:val="18"/>
      <w:szCs w:val="18"/>
    </w:rPr>
  </w:style>
  <w:style w:type="paragraph" w:styleId="9">
    <w:name w:val="toc 1"/>
    <w:basedOn w:val="1"/>
    <w:next w:val="1"/>
    <w:qFormat/>
    <w:uiPriority w:val="0"/>
  </w:style>
  <w:style w:type="paragraph" w:styleId="10">
    <w:name w:val="toc 2"/>
    <w:basedOn w:val="1"/>
    <w:next w:val="1"/>
    <w:unhideWhenUsed/>
    <w:qFormat/>
    <w:uiPriority w:val="39"/>
    <w:pPr>
      <w:ind w:left="420"/>
    </w:pPr>
    <w:rPr>
      <w:rFonts w:ascii="Calibri" w:hAnsi="Calibri" w:eastAsia="仿宋" w:cs="Arial"/>
      <w:sz w:val="32"/>
      <w:szCs w:val="22"/>
    </w:rPr>
  </w:style>
  <w:style w:type="paragraph" w:styleId="11">
    <w:name w:val="Normal (Web)"/>
    <w:basedOn w:val="1"/>
    <w:qFormat/>
    <w:uiPriority w:val="0"/>
    <w:pPr>
      <w:widowControl/>
      <w:spacing w:before="100" w:beforeAutospacing="1" w:after="100" w:afterAutospacing="1"/>
      <w:jc w:val="left"/>
    </w:pPr>
    <w:rPr>
      <w:rFonts w:ascii="宋体"/>
      <w:color w:val="000000"/>
      <w:kern w:val="0"/>
      <w:sz w:val="24"/>
    </w:rPr>
  </w:style>
  <w:style w:type="paragraph" w:styleId="12">
    <w:name w:val="Body Text First Indent 2"/>
    <w:basedOn w:val="5"/>
    <w:next w:val="1"/>
    <w:qFormat/>
    <w:uiPriority w:val="0"/>
    <w:pPr>
      <w:spacing w:before="100" w:beforeAutospacing="1" w:after="100" w:afterAutospacing="1"/>
      <w:ind w:firstLine="420" w:firstLineChars="200"/>
    </w:pPr>
    <w:rPr>
      <w:rFonts w:ascii="Calibri" w:hAnsi="Calibri"/>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bCs/>
    </w:rPr>
  </w:style>
  <w:style w:type="character" w:styleId="17">
    <w:name w:val="Hyperlink"/>
    <w:unhideWhenUsed/>
    <w:qFormat/>
    <w:uiPriority w:val="99"/>
    <w:rPr>
      <w:color w:val="0000FF"/>
      <w:u w:val="single"/>
    </w:rPr>
  </w:style>
  <w:style w:type="paragraph" w:customStyle="1" w:styleId="18">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19">
    <w:name w:val="List Paragraph"/>
    <w:basedOn w:val="1"/>
    <w:qFormat/>
    <w:uiPriority w:val="34"/>
    <w:pPr>
      <w:spacing w:line="560" w:lineRule="atLeast"/>
      <w:ind w:firstLine="420" w:firstLineChars="200"/>
    </w:pPr>
    <w:rPr>
      <w:rFonts w:ascii="Calibri" w:hAnsi="Calibri"/>
      <w:szCs w:val="22"/>
    </w:rPr>
  </w:style>
  <w:style w:type="paragraph" w:customStyle="1" w:styleId="20">
    <w:name w:val="Table Paragraph"/>
    <w:basedOn w:val="1"/>
    <w:unhideWhenUsed/>
    <w:qFormat/>
    <w:uiPriority w:val="1"/>
    <w:pPr>
      <w:spacing w:before="162" w:beforeLines="0" w:afterLines="0"/>
    </w:pPr>
    <w:rPr>
      <w:rFonts w:hint="eastAsia"/>
      <w:sz w:val="24"/>
      <w:szCs w:val="24"/>
    </w:rPr>
  </w:style>
  <w:style w:type="paragraph" w:customStyle="1" w:styleId="21">
    <w:name w:val="Fließtext2"/>
    <w:basedOn w:val="1"/>
    <w:qFormat/>
    <w:uiPriority w:val="0"/>
    <w:pPr>
      <w:overflowPunct w:val="0"/>
      <w:autoSpaceDE w:val="0"/>
      <w:autoSpaceDN w:val="0"/>
      <w:adjustRightInd w:val="0"/>
      <w:textAlignment w:val="baseline"/>
    </w:pPr>
    <w:rPr>
      <w:kern w:val="28"/>
      <w:szCs w:val="20"/>
    </w:rPr>
  </w:style>
  <w:style w:type="character" w:customStyle="1" w:styleId="22">
    <w:name w:val="font31"/>
    <w:basedOn w:val="15"/>
    <w:qFormat/>
    <w:uiPriority w:val="0"/>
    <w:rPr>
      <w:rFonts w:hint="eastAsia" w:ascii="宋体" w:hAnsi="宋体" w:eastAsia="宋体" w:cs="宋体"/>
      <w:b/>
      <w:bCs/>
      <w:color w:val="000000"/>
      <w:sz w:val="22"/>
      <w:szCs w:val="22"/>
      <w:u w:val="none"/>
    </w:rPr>
  </w:style>
  <w:style w:type="character" w:customStyle="1" w:styleId="23">
    <w:name w:val="font21"/>
    <w:basedOn w:val="15"/>
    <w:qFormat/>
    <w:uiPriority w:val="0"/>
    <w:rPr>
      <w:rFonts w:hint="eastAsia" w:ascii="宋体" w:hAnsi="宋体" w:eastAsia="宋体" w:cs="宋体"/>
      <w:color w:val="000000"/>
      <w:sz w:val="22"/>
      <w:szCs w:val="22"/>
      <w:u w:val="none"/>
    </w:rPr>
  </w:style>
  <w:style w:type="character" w:customStyle="1" w:styleId="24">
    <w:name w:val="font11"/>
    <w:basedOn w:val="15"/>
    <w:qFormat/>
    <w:uiPriority w:val="0"/>
    <w:rPr>
      <w:rFonts w:hint="default" w:ascii="Times New Roman" w:hAnsi="Times New Roman" w:cs="Times New Roman"/>
      <w:color w:val="000000"/>
      <w:sz w:val="24"/>
      <w:szCs w:val="24"/>
      <w:u w:val="none"/>
    </w:rPr>
  </w:style>
  <w:style w:type="paragraph" w:customStyle="1" w:styleId="25">
    <w:name w:val="标题8"/>
    <w:basedOn w:val="1"/>
    <w:next w:val="1"/>
    <w:qFormat/>
    <w:uiPriority w:val="0"/>
    <w:pPr>
      <w:keepNext/>
      <w:keepLines/>
      <w:spacing w:before="340" w:beforeLines="0" w:after="330" w:afterLines="0" w:line="576" w:lineRule="auto"/>
      <w:jc w:val="center"/>
      <w:outlineLvl w:val="0"/>
    </w:pPr>
    <w:rPr>
      <w:rFonts w:hint="eastAsia" w:ascii="黑体" w:hAnsi="黑体" w:eastAsia="黑体" w:cs="黑体"/>
      <w:bCs/>
      <w:kern w:val="44"/>
      <w:sz w:val="44"/>
    </w:rPr>
  </w:style>
  <w:style w:type="paragraph" w:customStyle="1" w:styleId="26">
    <w:name w:val="Fließtext"/>
    <w:basedOn w:val="1"/>
    <w:qFormat/>
    <w:uiPriority w:val="0"/>
    <w:pPr>
      <w:overflowPunct w:val="0"/>
      <w:autoSpaceDE w:val="0"/>
      <w:autoSpaceDN w:val="0"/>
      <w:adjustRightInd w:val="0"/>
      <w:textAlignment w:val="baseline"/>
    </w:pPr>
    <w:rPr>
      <w:kern w:val="28"/>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22</Pages>
  <Words>8443</Words>
  <Characters>9570</Characters>
  <Lines>0</Lines>
  <Paragraphs>0</Paragraphs>
  <TotalTime>13</TotalTime>
  <ScaleCrop>false</ScaleCrop>
  <LinksUpToDate>false</LinksUpToDate>
  <CharactersWithSpaces>10303</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2022-10-09T06:27:00Z</dcterms:created>
  <dc:creator>52980</dc:creator>
  <cp:lastModifiedBy>Administrator</cp:lastModifiedBy>
  <cp:lastPrinted>2022-11-25T02:00:00Z</cp:lastPrinted>
  <dcterms:modified xsi:type="dcterms:W3CDTF">2023-09-27T03:19:25Z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A28188C20E484C9B83F8708A0D264FFA_13</vt:lpwstr>
  </property>
</Properties>
</file>