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kinsoku/>
        <w:wordWrap/>
        <w:overflowPunct/>
        <w:topLinePunct w:val="0"/>
        <w:autoSpaceDE/>
        <w:autoSpaceDN/>
        <w:bidi w:val="0"/>
        <w:adjustRightInd/>
        <w:snapToGrid/>
        <w:spacing w:beforeAutospacing="0" w:afterAutospacing="0" w:line="520" w:lineRule="exact"/>
        <w:jc w:val="center"/>
        <w:textAlignment w:val="auto"/>
        <w:rPr>
          <w:rFonts w:hint="eastAsia" w:ascii="黑体" w:hAnsi="黑体" w:eastAsia="黑体" w:cs="黑体"/>
          <w:b w:val="0"/>
          <w:bCs/>
          <w:color w:val="333333"/>
          <w:sz w:val="44"/>
          <w:szCs w:val="44"/>
          <w:highlight w:val="none"/>
          <w:lang w:val="en-US" w:eastAsia="zh-CN"/>
        </w:rPr>
      </w:pPr>
      <w:r>
        <w:rPr>
          <w:rFonts w:hint="eastAsia" w:ascii="黑体" w:hAnsi="黑体" w:eastAsia="黑体" w:cs="黑体"/>
          <w:b w:val="0"/>
          <w:bCs/>
          <w:color w:val="333333"/>
          <w:sz w:val="44"/>
          <w:szCs w:val="44"/>
          <w:highlight w:val="none"/>
          <w:lang w:val="en-US" w:eastAsia="zh-CN"/>
        </w:rPr>
        <w:t>福建省莆田环境监测中心站</w:t>
      </w:r>
    </w:p>
    <w:p>
      <w:pPr>
        <w:pStyle w:val="3"/>
        <w:keepNext w:val="0"/>
        <w:keepLines w:val="0"/>
        <w:pageBreakBefore w:val="0"/>
        <w:widowControl/>
        <w:kinsoku/>
        <w:wordWrap/>
        <w:overflowPunct/>
        <w:topLinePunct w:val="0"/>
        <w:autoSpaceDE/>
        <w:autoSpaceDN/>
        <w:bidi w:val="0"/>
        <w:adjustRightInd/>
        <w:snapToGrid/>
        <w:spacing w:beforeAutospacing="0" w:afterAutospacing="0" w:line="520" w:lineRule="exact"/>
        <w:jc w:val="center"/>
        <w:textAlignment w:val="auto"/>
        <w:rPr>
          <w:rFonts w:hint="eastAsia" w:ascii="黑体" w:hAnsi="黑体" w:eastAsia="黑体" w:cs="黑体"/>
          <w:b w:val="0"/>
          <w:bCs/>
          <w:color w:val="333333"/>
          <w:sz w:val="44"/>
          <w:szCs w:val="44"/>
          <w:highlight w:val="none"/>
          <w:lang w:val="en-US" w:eastAsia="zh-CN"/>
        </w:rPr>
      </w:pPr>
      <w:r>
        <w:rPr>
          <w:rFonts w:hint="eastAsia" w:ascii="黑体" w:hAnsi="黑体" w:eastAsia="黑体" w:cs="黑体"/>
          <w:b w:val="0"/>
          <w:bCs/>
          <w:color w:val="333333"/>
          <w:sz w:val="44"/>
          <w:szCs w:val="44"/>
          <w:highlight w:val="none"/>
          <w:lang w:val="en-US" w:eastAsia="zh-CN"/>
        </w:rPr>
        <w:t>关于莆田市2023年11月水环境质量</w:t>
      </w:r>
    </w:p>
    <w:p>
      <w:pPr>
        <w:pStyle w:val="3"/>
        <w:keepNext w:val="0"/>
        <w:keepLines w:val="0"/>
        <w:pageBreakBefore w:val="0"/>
        <w:widowControl/>
        <w:kinsoku/>
        <w:wordWrap/>
        <w:overflowPunct/>
        <w:topLinePunct w:val="0"/>
        <w:autoSpaceDE/>
        <w:autoSpaceDN/>
        <w:bidi w:val="0"/>
        <w:adjustRightInd/>
        <w:snapToGrid/>
        <w:spacing w:beforeAutospacing="0" w:afterAutospacing="0" w:line="520" w:lineRule="exact"/>
        <w:jc w:val="center"/>
        <w:textAlignment w:val="auto"/>
        <w:rPr>
          <w:rFonts w:hint="eastAsia" w:ascii="黑体" w:hAnsi="黑体" w:eastAsia="黑体" w:cs="黑体"/>
          <w:color w:val="333333"/>
          <w:sz w:val="44"/>
          <w:szCs w:val="44"/>
          <w:highlight w:val="none"/>
        </w:rPr>
      </w:pPr>
      <w:r>
        <w:rPr>
          <w:rFonts w:hint="eastAsia" w:ascii="黑体" w:hAnsi="黑体" w:eastAsia="黑体" w:cs="黑体"/>
          <w:b w:val="0"/>
          <w:bCs/>
          <w:color w:val="333333"/>
          <w:sz w:val="44"/>
          <w:szCs w:val="44"/>
          <w:highlight w:val="none"/>
          <w:lang w:val="en-US" w:eastAsia="zh-CN"/>
        </w:rPr>
        <w:t>监测任务实验室分析委托监测的</w:t>
      </w:r>
      <w:r>
        <w:rPr>
          <w:rFonts w:hint="eastAsia" w:ascii="黑体" w:hAnsi="黑体" w:eastAsia="黑体" w:cs="黑体"/>
          <w:b w:val="0"/>
          <w:bCs/>
          <w:color w:val="333333"/>
          <w:sz w:val="44"/>
          <w:szCs w:val="44"/>
          <w:highlight w:val="none"/>
          <w:lang w:eastAsia="zh-CN"/>
        </w:rPr>
        <w:t>采购文件</w:t>
      </w:r>
    </w:p>
    <w:p>
      <w:pPr>
        <w:rPr>
          <w:rFonts w:hint="eastAsia"/>
        </w:rPr>
      </w:pP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FangSong_GB2312" w:hAnsi="FangSong_GB2312" w:eastAsia="FangSong_GB2312" w:cs="FangSong_GB2312"/>
          <w:b/>
          <w:bCs/>
          <w:kern w:val="2"/>
          <w:sz w:val="32"/>
          <w:szCs w:val="24"/>
          <w:highlight w:val="none"/>
          <w:lang w:val="en-US" w:eastAsia="zh-CN" w:bidi="ar-SA"/>
        </w:rPr>
      </w:pPr>
      <w:r>
        <w:rPr>
          <w:rFonts w:hint="eastAsia" w:ascii="FangSong_GB2312" w:hAnsi="FangSong_GB2312" w:eastAsia="FangSong_GB2312" w:cs="FangSong_GB2312"/>
          <w:b/>
          <w:bCs/>
          <w:kern w:val="2"/>
          <w:sz w:val="32"/>
          <w:szCs w:val="24"/>
          <w:highlight w:val="none"/>
          <w:lang w:val="en-US" w:eastAsia="zh-CN" w:bidi="ar-SA"/>
        </w:rPr>
        <w:t>一、项目概述</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宋体" w:hAnsi="宋体" w:eastAsia="宋体" w:cs="宋体"/>
          <w:i w:val="0"/>
          <w:iCs w:val="0"/>
          <w:caps w:val="0"/>
          <w:color w:val="333333"/>
          <w:spacing w:val="0"/>
          <w:sz w:val="25"/>
          <w:szCs w:val="25"/>
          <w:highlight w:val="none"/>
        </w:rPr>
      </w:pPr>
      <w:r>
        <w:rPr>
          <w:rFonts w:hint="eastAsia" w:ascii="FangSong_GB2312" w:hAnsi="FangSong_GB2312" w:eastAsia="FangSong_GB2312" w:cs="FangSong_GB2312"/>
          <w:kern w:val="2"/>
          <w:sz w:val="32"/>
          <w:szCs w:val="24"/>
          <w:highlight w:val="none"/>
          <w:lang w:val="en-US" w:eastAsia="zh-CN" w:bidi="ar-SA"/>
        </w:rPr>
        <w:t>　　福建省莆田环境监测中心站（以下称我站）拟于2023年10月起进行实验室整体搬迁，搬迁后需重新申请检测机构资质认定，在取得新的检测机构资质认定证书前无法开展公正性检测工作。按照《福建省生态环境厅关于印发〈2023年福建省生态环境监测方案〉的通知》（闽环保监测〔2020〕2号）要求，我站拟将莆田市2023年11月水环境质量监测任务实验室分析工作委托第三方检测机构开展，具体委托内容详见附件1。</w:t>
      </w:r>
    </w:p>
    <w:p>
      <w:pPr>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b/>
          <w:bCs/>
          <w:kern w:val="2"/>
          <w:sz w:val="32"/>
          <w:szCs w:val="24"/>
          <w:highlight w:val="none"/>
          <w:lang w:val="en-US" w:eastAsia="zh-CN" w:bidi="ar-SA"/>
        </w:rPr>
        <w:t>二、服务要求</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　　根据我站监测计划安排，由我站负责现场采样，采样完成后进行样品交接，由中标方负责进行项目分析，分析方法要符合标准规范要求，分析实验室在约定时间内出具检测报告。</w:t>
      </w:r>
      <w:r>
        <w:rPr>
          <w:rFonts w:ascii="仿宋_GB2312" w:hAnsi="仿宋" w:eastAsia="仿宋_GB2312" w:cs="宋体"/>
          <w:sz w:val="32"/>
          <w:szCs w:val="32"/>
          <w:highlight w:val="none"/>
        </w:rPr>
        <w:t>在合同期内或合同终止后，未征得委托方同意，</w:t>
      </w:r>
      <w:r>
        <w:rPr>
          <w:rFonts w:hint="eastAsia" w:ascii="FangSong_GB2312" w:hAnsi="FangSong_GB2312" w:eastAsia="FangSong_GB2312" w:cs="FangSong_GB2312"/>
          <w:kern w:val="2"/>
          <w:sz w:val="32"/>
          <w:szCs w:val="24"/>
          <w:highlight w:val="none"/>
          <w:lang w:val="en-US" w:eastAsia="zh-CN" w:bidi="ar-SA"/>
        </w:rPr>
        <w:t>项目分析结果数据必须保密，不得外泄。</w:t>
      </w:r>
    </w:p>
    <w:p>
      <w:pPr>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宋体" w:hAnsi="宋体" w:eastAsia="宋体" w:cs="宋体"/>
          <w:i w:val="0"/>
          <w:iCs w:val="0"/>
          <w:caps w:val="0"/>
          <w:color w:val="333333"/>
          <w:spacing w:val="0"/>
          <w:sz w:val="25"/>
          <w:szCs w:val="25"/>
          <w:highlight w:val="none"/>
        </w:rPr>
      </w:pPr>
      <w:r>
        <w:rPr>
          <w:rFonts w:hint="eastAsia" w:ascii="宋体" w:hAnsi="宋体" w:eastAsia="宋体" w:cs="宋体"/>
          <w:i w:val="0"/>
          <w:iCs w:val="0"/>
          <w:caps w:val="0"/>
          <w:color w:val="333333"/>
          <w:spacing w:val="0"/>
          <w:kern w:val="0"/>
          <w:sz w:val="25"/>
          <w:szCs w:val="25"/>
          <w:highlight w:val="none"/>
          <w:shd w:val="clear" w:fill="FFFFFF"/>
          <w:lang w:val="en-US" w:eastAsia="zh-CN" w:bidi="ar"/>
        </w:rPr>
        <w:t>　</w:t>
      </w:r>
      <w:r>
        <w:rPr>
          <w:rFonts w:hint="eastAsia" w:ascii="FangSong_GB2312" w:hAnsi="FangSong_GB2312" w:eastAsia="FangSong_GB2312" w:cs="FangSong_GB2312"/>
          <w:b/>
          <w:bCs/>
          <w:kern w:val="2"/>
          <w:sz w:val="32"/>
          <w:szCs w:val="24"/>
          <w:highlight w:val="none"/>
          <w:lang w:val="en-US" w:eastAsia="zh-CN" w:bidi="ar-SA"/>
        </w:rPr>
        <w:t>　三、 质控要求</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宋体" w:hAnsi="宋体" w:eastAsia="宋体" w:cs="宋体"/>
          <w:i w:val="0"/>
          <w:iCs w:val="0"/>
          <w:caps w:val="0"/>
          <w:color w:val="333333"/>
          <w:spacing w:val="0"/>
          <w:sz w:val="25"/>
          <w:szCs w:val="25"/>
          <w:highlight w:val="none"/>
        </w:rPr>
      </w:pPr>
      <w:r>
        <w:rPr>
          <w:rFonts w:hint="eastAsia" w:ascii="宋体" w:hAnsi="宋体" w:eastAsia="宋体" w:cs="宋体"/>
          <w:i w:val="0"/>
          <w:iCs w:val="0"/>
          <w:caps w:val="0"/>
          <w:color w:val="333333"/>
          <w:spacing w:val="0"/>
          <w:sz w:val="25"/>
          <w:szCs w:val="25"/>
          <w:highlight w:val="none"/>
          <w:shd w:val="clear" w:fill="FFFFFF"/>
        </w:rPr>
        <w:t>　　</w:t>
      </w:r>
      <w:r>
        <w:rPr>
          <w:rFonts w:hint="eastAsia" w:ascii="FangSong_GB2312" w:hAnsi="FangSong_GB2312" w:eastAsia="FangSong_GB2312" w:cs="FangSong_GB2312"/>
          <w:kern w:val="2"/>
          <w:sz w:val="32"/>
          <w:szCs w:val="24"/>
          <w:highlight w:val="none"/>
          <w:lang w:val="en-US" w:eastAsia="zh-CN" w:bidi="ar-SA"/>
        </w:rPr>
        <w:t>中标方应按规范要求采取质控措施，确保检测数据真实准确可靠，同时必须接受我站质量考核和监督。</w:t>
      </w:r>
    </w:p>
    <w:p>
      <w:pPr>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FangSong_GB2312" w:hAnsi="FangSong_GB2312" w:eastAsia="FangSong_GB2312" w:cs="FangSong_GB2312"/>
          <w:b/>
          <w:bCs/>
          <w:kern w:val="2"/>
          <w:sz w:val="32"/>
          <w:szCs w:val="24"/>
          <w:highlight w:val="none"/>
          <w:lang w:val="en-US" w:eastAsia="zh-CN" w:bidi="ar-SA"/>
        </w:rPr>
      </w:pPr>
      <w:r>
        <w:rPr>
          <w:rFonts w:hint="eastAsia" w:ascii="FangSong_GB2312" w:hAnsi="FangSong_GB2312" w:eastAsia="FangSong_GB2312" w:cs="FangSong_GB2312"/>
          <w:b/>
          <w:bCs/>
          <w:kern w:val="2"/>
          <w:sz w:val="32"/>
          <w:szCs w:val="24"/>
          <w:highlight w:val="none"/>
          <w:lang w:val="en-US" w:eastAsia="zh-CN" w:bidi="ar-SA"/>
        </w:rPr>
        <w:t>四、投标人资格要求</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1.具有独立的法人资格；持有市场监督管理部门核发有效的营业执照；在福建省内有固定的办公场所及实验室；</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640" w:firstLineChars="200"/>
        <w:jc w:val="both"/>
        <w:textAlignment w:val="auto"/>
        <w:rPr>
          <w:rFonts w:hint="eastAsia" w:ascii="FangSong_GB2312" w:hAnsi="FangSong_GB2312" w:eastAsia="FangSong_GB2312" w:cs="FangSong_GB2312"/>
          <w:color w:val="0000FF"/>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2.具备在有效期内的检验检测机构资质认定证书（CMA）；具备履行合同所必需的设备、专业技术能力及资质；本项目不允许成交人以任何名义和理由进行分包或转包，如有发现，采购人有权单方中止合同，且成交人必须赔偿由此给采购人带来的一切损失</w:t>
      </w:r>
      <w:r>
        <w:rPr>
          <w:rFonts w:hint="eastAsia" w:ascii="FangSong_GB2312" w:hAnsi="FangSong_GB2312" w:eastAsia="FangSong_GB2312" w:cs="FangSong_GB2312"/>
          <w:color w:val="0000FF"/>
          <w:kern w:val="2"/>
          <w:sz w:val="32"/>
          <w:szCs w:val="24"/>
          <w:highlight w:val="none"/>
          <w:lang w:val="en-US" w:eastAsia="zh-CN" w:bidi="ar-SA"/>
        </w:rPr>
        <w:t>；</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3.参加投标前3年内在经营活动中没有重大违法行为；</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4.本项目拒绝联合体投标。</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b/>
          <w:bCs/>
          <w:kern w:val="2"/>
          <w:sz w:val="32"/>
          <w:szCs w:val="24"/>
          <w:highlight w:val="none"/>
          <w:lang w:val="en-US" w:eastAsia="zh-CN" w:bidi="ar-SA"/>
        </w:rPr>
      </w:pPr>
      <w:r>
        <w:rPr>
          <w:rFonts w:hint="eastAsia" w:ascii="FangSong_GB2312" w:hAnsi="FangSong_GB2312" w:eastAsia="FangSong_GB2312" w:cs="FangSong_GB2312"/>
          <w:b/>
          <w:bCs/>
          <w:kern w:val="2"/>
          <w:sz w:val="32"/>
          <w:szCs w:val="24"/>
          <w:highlight w:val="none"/>
          <w:lang w:val="en-US" w:eastAsia="zh-CN" w:bidi="ar-SA"/>
        </w:rPr>
        <w:t>五、</w:t>
      </w:r>
      <w:r>
        <w:rPr>
          <w:rFonts w:hint="eastAsia" w:ascii="仿宋_GB2312" w:hAnsi="仿宋_GB2312" w:eastAsia="仿宋_GB2312" w:cs="仿宋_GB2312"/>
          <w:b/>
          <w:bCs/>
          <w:sz w:val="32"/>
          <w:szCs w:val="32"/>
          <w:highlight w:val="none"/>
        </w:rPr>
        <w:t>投标文件</w:t>
      </w:r>
      <w:r>
        <w:rPr>
          <w:rFonts w:hint="eastAsia" w:ascii="FangSong_GB2312" w:hAnsi="FangSong_GB2312" w:eastAsia="FangSong_GB2312" w:cs="FangSong_GB2312"/>
          <w:b/>
          <w:bCs/>
          <w:kern w:val="2"/>
          <w:sz w:val="32"/>
          <w:szCs w:val="24"/>
          <w:highlight w:val="none"/>
          <w:lang w:val="en-US" w:eastAsia="zh-CN" w:bidi="ar-SA"/>
        </w:rPr>
        <w:t>要求</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符合条件的检测机构应提供以下材料：</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1.项目分析报价单含样品检测单价及总报价；</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 xml:space="preserve">2.营业执照复印件； </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3.法定代表人身份证复印件，法定代表人授权委托书原件，被授权人身份证复印件；</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4.近六个月内任一个月依法纳税证明材料复印件；</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5.近三年内在经营活动中没有重大违法记录、无行贿犯罪记录的书面声明；</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6.检验检测机构资质认定证书及附表复印件（须包含有委托项目）；</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以上文件须要盖单位公章，投标文件装订成册后密封，并在密封袋封口处加盖公章或密封章。</w:t>
      </w:r>
    </w:p>
    <w:p>
      <w:pPr>
        <w:keepNext w:val="0"/>
        <w:keepLines w:val="0"/>
        <w:pageBreakBefore w:val="0"/>
        <w:numPr>
          <w:ilvl w:val="0"/>
          <w:numId w:val="1"/>
        </w:numPr>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Times New Roman" w:hAnsi="Times New Roman" w:eastAsia="仿宋_GB2312" w:cs="Times New Roman"/>
          <w:b/>
          <w:bCs/>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报价要求</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640" w:firstLineChars="200"/>
        <w:textAlignment w:val="auto"/>
        <w:rPr>
          <w:rFonts w:hint="eastAsia" w:ascii="仿宋_GB2312" w:hAnsi="仿宋" w:eastAsia="仿宋_GB2312" w:cs="宋体"/>
          <w:sz w:val="32"/>
          <w:szCs w:val="32"/>
          <w:highlight w:val="none"/>
        </w:rPr>
      </w:pPr>
      <w:r>
        <w:rPr>
          <w:rFonts w:hint="eastAsia" w:ascii="FangSong_GB2312" w:hAnsi="FangSong_GB2312" w:eastAsia="FangSong_GB2312" w:cs="FangSong_GB2312"/>
          <w:kern w:val="2"/>
          <w:sz w:val="32"/>
          <w:szCs w:val="24"/>
          <w:highlight w:val="none"/>
          <w:lang w:val="en-US" w:eastAsia="zh-CN" w:bidi="ar-SA"/>
        </w:rPr>
        <w:t>根据询价结果，本项目最高限价95700元,</w:t>
      </w:r>
      <w:r>
        <w:rPr>
          <w:rFonts w:hint="eastAsia" w:ascii="仿宋_GB2312" w:hAnsi="仿宋" w:eastAsia="仿宋_GB2312" w:cs="宋体"/>
          <w:sz w:val="32"/>
          <w:szCs w:val="32"/>
          <w:highlight w:val="none"/>
        </w:rPr>
        <w:t>实际报价不得超过</w:t>
      </w:r>
      <w:r>
        <w:rPr>
          <w:rFonts w:hint="eastAsia" w:ascii="仿宋_GB2312" w:hAnsi="仿宋" w:eastAsia="仿宋_GB2312"/>
          <w:sz w:val="32"/>
          <w:szCs w:val="32"/>
          <w:highlight w:val="none"/>
        </w:rPr>
        <w:t>项目预算最高限价</w:t>
      </w:r>
      <w:r>
        <w:rPr>
          <w:rFonts w:hint="eastAsia" w:ascii="仿宋_GB2312" w:hAnsi="仿宋" w:eastAsia="仿宋_GB2312" w:cs="宋体"/>
          <w:sz w:val="32"/>
          <w:szCs w:val="32"/>
          <w:highlight w:val="none"/>
        </w:rPr>
        <w:t>，否则为无效投标。投标价格应包含项目实施过程中，所需的人工、材料、税费、管理费等一切相关费用。</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七、评标办法</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本次采用综合评标法（见附件2），资格审查均符合要求的单位，按照本单位综合评标法评分最高者为本项目中标人（如果评分相同，提供相关业绩份数多的供应商为中标人），本次评标解释权归福建省莆田环境监测中心站。</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b/>
          <w:bCs/>
          <w:sz w:val="32"/>
          <w:szCs w:val="32"/>
          <w:highlight w:val="none"/>
          <w:lang w:val="en-US" w:eastAsia="zh-CN"/>
        </w:rPr>
        <w:t>八、定标原则</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1.有效投标人达到三家（含）以上即可正常开标，否则该项目以流标处理。</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2.开标地点：福建省</w:t>
      </w:r>
      <w:r>
        <w:rPr>
          <w:rFonts w:hint="eastAsia" w:ascii="FangSong_GB2312" w:hAnsi="FangSong_GB2312" w:eastAsia="FangSong_GB2312" w:cs="FangSong_GB2312"/>
          <w:kern w:val="2"/>
          <w:sz w:val="32"/>
          <w:szCs w:val="24"/>
          <w:highlight w:val="none"/>
          <w:lang w:val="en-US" w:eastAsia="zh-CN" w:bidi="ar-SA"/>
        </w:rPr>
        <w:t>莆田市荔城北大道1099号海西公馆17层会议室</w:t>
      </w:r>
      <w:r>
        <w:rPr>
          <w:rFonts w:hint="eastAsia" w:ascii="Times New Roman" w:hAnsi="Times New Roman" w:eastAsia="仿宋_GB2312" w:cs="Times New Roman"/>
          <w:sz w:val="32"/>
          <w:szCs w:val="32"/>
          <w:highlight w:val="none"/>
          <w:lang w:val="en-US" w:eastAsia="zh-CN"/>
        </w:rPr>
        <w:t>。</w:t>
      </w:r>
    </w:p>
    <w:p>
      <w:pPr>
        <w:keepNext w:val="0"/>
        <w:keepLines w:val="0"/>
        <w:pageBreakBefore w:val="0"/>
        <w:kinsoku/>
        <w:wordWrap/>
        <w:overflowPunct/>
        <w:topLinePunct w:val="0"/>
        <w:autoSpaceDE/>
        <w:autoSpaceDN/>
        <w:bidi w:val="0"/>
        <w:adjustRightInd/>
        <w:snapToGrid/>
        <w:spacing w:beforeAutospacing="0" w:afterAutospacing="0" w:line="520" w:lineRule="exact"/>
        <w:ind w:firstLine="56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Times New Roman" w:hAnsi="Times New Roman" w:eastAsia="仿宋_GB2312" w:cs="Times New Roman"/>
          <w:sz w:val="32"/>
          <w:szCs w:val="32"/>
          <w:highlight w:val="none"/>
          <w:lang w:val="en-US" w:eastAsia="zh-CN"/>
        </w:rPr>
        <w:t>3.本着公开、公平、公正的原则，由我站组织评审。</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　</w:t>
      </w:r>
      <w:r>
        <w:rPr>
          <w:rFonts w:hint="eastAsia" w:ascii="FangSong_GB2312" w:hAnsi="FangSong_GB2312" w:eastAsia="FangSong_GB2312" w:cs="FangSong_GB2312"/>
          <w:b/>
          <w:bCs/>
          <w:kern w:val="2"/>
          <w:sz w:val="32"/>
          <w:szCs w:val="24"/>
          <w:highlight w:val="none"/>
          <w:lang w:val="en-US" w:eastAsia="zh-CN" w:bidi="ar-SA"/>
        </w:rPr>
        <w:t>　九、其他说明</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1.付款方式：</w:t>
      </w:r>
      <w:r>
        <w:rPr>
          <w:rFonts w:hint="eastAsia" w:ascii="FangSong_GB2312" w:hAnsi="FangSong_GB2312" w:eastAsia="FangSong_GB2312" w:cs="FangSong_GB2312"/>
          <w:b w:val="0"/>
          <w:bCs w:val="0"/>
          <w:kern w:val="2"/>
          <w:sz w:val="32"/>
          <w:szCs w:val="24"/>
          <w:highlight w:val="none"/>
          <w:lang w:val="en-US" w:eastAsia="zh-CN" w:bidi="ar-SA"/>
        </w:rPr>
        <w:t>待我站核查</w:t>
      </w:r>
      <w:r>
        <w:rPr>
          <w:rFonts w:hint="eastAsia" w:ascii="FangSong_GB2312" w:hAnsi="FangSong_GB2312" w:eastAsia="FangSong_GB2312" w:cs="FangSong_GB2312"/>
          <w:b w:val="0"/>
          <w:bCs w:val="0"/>
          <w:color w:val="auto"/>
          <w:kern w:val="2"/>
          <w:sz w:val="32"/>
          <w:szCs w:val="24"/>
          <w:highlight w:val="none"/>
          <w:lang w:val="en-US" w:eastAsia="zh-CN" w:bidi="ar-SA"/>
        </w:rPr>
        <w:t>原始记录及监测报告</w:t>
      </w:r>
      <w:r>
        <w:rPr>
          <w:rFonts w:hint="eastAsia" w:ascii="FangSong_GB2312" w:hAnsi="FangSong_GB2312" w:eastAsia="FangSong_GB2312" w:cs="FangSong_GB2312"/>
          <w:b w:val="0"/>
          <w:bCs w:val="0"/>
          <w:kern w:val="2"/>
          <w:sz w:val="32"/>
          <w:szCs w:val="24"/>
          <w:highlight w:val="none"/>
          <w:lang w:val="en-US" w:eastAsia="zh-CN" w:bidi="ar-SA"/>
        </w:rPr>
        <w:t>无质量问题后，</w:t>
      </w:r>
      <w:r>
        <w:rPr>
          <w:rFonts w:hint="eastAsia" w:ascii="FangSong_GB2312" w:hAnsi="FangSong_GB2312" w:eastAsia="FangSong_GB2312" w:cs="FangSong_GB2312"/>
          <w:kern w:val="2"/>
          <w:sz w:val="32"/>
          <w:szCs w:val="24"/>
          <w:highlight w:val="none"/>
          <w:lang w:val="en-US" w:eastAsia="zh-CN" w:bidi="ar-SA"/>
        </w:rPr>
        <w:t>投标人提供正式增值税发票后20日内一次性支付。　　　</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64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2.根据以上项目的主要内容，现本着公平、公正、公开的原则，诚邀符合资质要求的检测机构参与投标，投标文件应于2023年10月11日上午11:00前（北京时间），送至</w:t>
      </w:r>
      <w:r>
        <w:rPr>
          <w:rFonts w:hint="eastAsia" w:ascii="Times New Roman" w:hAnsi="Times New Roman" w:eastAsia="仿宋_GB2312" w:cs="Times New Roman"/>
          <w:sz w:val="32"/>
          <w:szCs w:val="32"/>
          <w:highlight w:val="none"/>
          <w:lang w:val="en-US" w:eastAsia="zh-CN"/>
        </w:rPr>
        <w:t>福建省</w:t>
      </w:r>
      <w:r>
        <w:rPr>
          <w:rFonts w:hint="eastAsia" w:ascii="FangSong_GB2312" w:hAnsi="FangSong_GB2312" w:eastAsia="FangSong_GB2312" w:cs="FangSong_GB2312"/>
          <w:kern w:val="2"/>
          <w:sz w:val="32"/>
          <w:szCs w:val="24"/>
          <w:highlight w:val="none"/>
          <w:lang w:val="en-US" w:eastAsia="zh-CN" w:bidi="ar-SA"/>
        </w:rPr>
        <w:t>莆田市荔城北大道1099号海西公馆14层，联系人：陈工，联系电话：13850266745。逾期报名或资料不全不予受理。</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1280" w:right="0" w:hanging="1280" w:hangingChars="40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附件：1.2023年11月水环境质量监测任务实验室分析委托内容</w:t>
      </w:r>
    </w:p>
    <w:p>
      <w:pPr>
        <w:pStyle w:val="6"/>
        <w:keepNext w:val="0"/>
        <w:keepLines w:val="0"/>
        <w:pageBreakBefore w:val="0"/>
        <w:widowControl/>
        <w:numPr>
          <w:ilvl w:val="0"/>
          <w:numId w:val="0"/>
        </w:numPr>
        <w:suppressLineNumbers w:val="0"/>
        <w:shd w:val="clear" w:fill="FFFFFF"/>
        <w:kinsoku/>
        <w:wordWrap/>
        <w:overflowPunct/>
        <w:topLinePunct w:val="0"/>
        <w:autoSpaceDE/>
        <w:autoSpaceDN/>
        <w:bidi w:val="0"/>
        <w:adjustRightInd/>
        <w:snapToGrid/>
        <w:spacing w:before="0" w:beforeAutospacing="0" w:after="0" w:afterAutospacing="0" w:line="520" w:lineRule="exact"/>
        <w:ind w:right="0" w:rightChars="0" w:firstLine="960" w:firstLineChars="30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2. </w:t>
      </w:r>
      <w:r>
        <w:rPr>
          <w:rFonts w:hint="eastAsia" w:ascii="Times New Roman" w:hAnsi="Times New Roman" w:eastAsia="仿宋_GB2312" w:cs="Times New Roman"/>
          <w:sz w:val="32"/>
          <w:szCs w:val="32"/>
          <w:highlight w:val="none"/>
          <w:lang w:val="en-US" w:eastAsia="zh-CN"/>
        </w:rPr>
        <w:t>综合评标标准</w:t>
      </w:r>
      <w:r>
        <w:rPr>
          <w:rFonts w:hint="eastAsia" w:ascii="FangSong_GB2312" w:hAnsi="FangSong_GB2312" w:eastAsia="FangSong_GB2312" w:cs="FangSong_GB2312"/>
          <w:kern w:val="2"/>
          <w:sz w:val="32"/>
          <w:szCs w:val="24"/>
          <w:highlight w:val="none"/>
          <w:lang w:val="en-US" w:eastAsia="zh-CN" w:bidi="ar-SA"/>
        </w:rPr>
        <w:t>　</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right="0" w:firstLine="960" w:firstLineChars="300"/>
        <w:jc w:val="both"/>
        <w:textAlignment w:val="auto"/>
        <w:rPr>
          <w:rFonts w:hint="eastAsia" w:ascii="FangSong_GB2312" w:hAnsi="FangSong_GB2312" w:eastAsia="FangSong_GB2312" w:cs="FangSong_GB2312"/>
          <w:kern w:val="2"/>
          <w:sz w:val="32"/>
          <w:szCs w:val="24"/>
          <w:highlight w:val="none"/>
          <w:lang w:val="en-US" w:eastAsia="zh-CN" w:bidi="ar-SA"/>
        </w:rPr>
      </w:pP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 xml:space="preserve">　　                 </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FangSong_GB2312" w:hAnsi="FangSong_GB2312" w:eastAsia="FangSong_GB2312" w:cs="FangSong_GB2312"/>
          <w:kern w:val="2"/>
          <w:sz w:val="32"/>
          <w:szCs w:val="24"/>
          <w:highlight w:val="none"/>
          <w:lang w:val="en-US" w:eastAsia="zh-CN" w:bidi="ar-SA"/>
        </w:rPr>
      </w:pP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3520" w:firstLineChars="1100"/>
        <w:jc w:val="both"/>
        <w:textAlignment w:val="auto"/>
        <w:rPr>
          <w:rFonts w:hint="eastAsia" w:ascii="FangSong_GB2312" w:hAnsi="FangSong_GB2312" w:eastAsia="FangSong_GB2312" w:cs="FangSong_GB2312"/>
          <w:kern w:val="2"/>
          <w:sz w:val="32"/>
          <w:szCs w:val="24"/>
          <w:highlight w:val="none"/>
          <w:lang w:val="en-US" w:eastAsia="zh-CN" w:bidi="ar-SA"/>
        </w:rPr>
      </w:pPr>
      <w:r>
        <w:rPr>
          <w:rFonts w:hint="eastAsia" w:ascii="FangSong_GB2312" w:hAnsi="FangSong_GB2312" w:eastAsia="FangSong_GB2312" w:cs="FangSong_GB2312"/>
          <w:kern w:val="2"/>
          <w:sz w:val="32"/>
          <w:szCs w:val="24"/>
          <w:highlight w:val="none"/>
          <w:lang w:val="en-US" w:eastAsia="zh-CN" w:bidi="ar-SA"/>
        </w:rPr>
        <w:t xml:space="preserve"> 福建省莆田环境监测中心站</w:t>
      </w:r>
    </w:p>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FangSong_GB2312" w:hAnsi="FangSong_GB2312" w:eastAsia="FangSong_GB2312" w:cs="FangSong_GB2312"/>
          <w:kern w:val="2"/>
          <w:sz w:val="32"/>
          <w:szCs w:val="24"/>
          <w:highlight w:val="none"/>
          <w:lang w:val="en-US" w:eastAsia="zh-CN" w:bidi="ar-SA"/>
        </w:rPr>
        <w:sectPr>
          <w:pgSz w:w="11906" w:h="16838"/>
          <w:pgMar w:top="1440" w:right="1800" w:bottom="1440" w:left="1800" w:header="851" w:footer="992" w:gutter="0"/>
          <w:cols w:space="425" w:num="1"/>
          <w:docGrid w:type="lines" w:linePitch="312" w:charSpace="0"/>
        </w:sectPr>
      </w:pPr>
      <w:r>
        <w:rPr>
          <w:rFonts w:hint="eastAsia" w:ascii="FangSong_GB2312" w:hAnsi="FangSong_GB2312" w:eastAsia="FangSong_GB2312" w:cs="FangSong_GB2312"/>
          <w:kern w:val="2"/>
          <w:sz w:val="32"/>
          <w:szCs w:val="24"/>
          <w:highlight w:val="none"/>
          <w:lang w:val="en-US" w:eastAsia="zh-CN" w:bidi="ar-SA"/>
        </w:rPr>
        <w:t>　　                        2023年9月28日</w:t>
      </w:r>
    </w:p>
    <w:p>
      <w:pPr>
        <w:pStyle w:val="6"/>
        <w:keepNext w:val="0"/>
        <w:keepLines w:val="0"/>
        <w:widowControl/>
        <w:suppressLineNumbers w:val="0"/>
        <w:shd w:val="clear" w:fill="FFFFFF"/>
        <w:spacing w:before="0" w:beforeAutospacing="1" w:after="0" w:afterAutospacing="1"/>
        <w:ind w:left="0" w:right="0" w:firstLine="0"/>
        <w:jc w:val="both"/>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附件1</w:t>
      </w:r>
    </w:p>
    <w:p>
      <w:pPr>
        <w:pStyle w:val="6"/>
        <w:keepNext w:val="0"/>
        <w:keepLines w:val="0"/>
        <w:widowControl/>
        <w:suppressLineNumbers w:val="0"/>
        <w:shd w:val="clear" w:fill="FFFFFF"/>
        <w:spacing w:before="0" w:beforeAutospacing="1" w:after="0" w:afterAutospacing="1" w:line="240" w:lineRule="auto"/>
        <w:ind w:left="0" w:right="0" w:firstLine="0"/>
        <w:jc w:val="center"/>
        <w:rPr>
          <w:rFonts w:hint="eastAsia" w:ascii="FangSong_GB2312" w:hAnsi="FangSong_GB2312" w:eastAsia="FangSong_GB2312" w:cs="FangSong_GB2312"/>
          <w:b/>
          <w:bCs/>
          <w:kern w:val="2"/>
          <w:sz w:val="44"/>
          <w:szCs w:val="44"/>
          <w:lang w:val="en-US" w:eastAsia="zh-CN" w:bidi="ar-SA"/>
        </w:rPr>
      </w:pPr>
      <w:r>
        <w:rPr>
          <w:rFonts w:hint="eastAsia" w:ascii="FangSong_GB2312" w:hAnsi="FangSong_GB2312" w:eastAsia="FangSong_GB2312" w:cs="FangSong_GB2312"/>
          <w:b/>
          <w:bCs/>
          <w:kern w:val="2"/>
          <w:sz w:val="44"/>
          <w:szCs w:val="44"/>
          <w:lang w:val="en-US" w:eastAsia="zh-CN" w:bidi="ar-SA"/>
        </w:rPr>
        <w:t>2023年11月水环境质量监测任务</w:t>
      </w:r>
    </w:p>
    <w:p>
      <w:pPr>
        <w:pStyle w:val="6"/>
        <w:keepNext w:val="0"/>
        <w:keepLines w:val="0"/>
        <w:widowControl/>
        <w:suppressLineNumbers w:val="0"/>
        <w:shd w:val="clear" w:fill="FFFFFF"/>
        <w:spacing w:before="0" w:beforeAutospacing="1" w:after="0" w:afterAutospacing="1" w:line="240" w:lineRule="auto"/>
        <w:ind w:left="0" w:right="0" w:firstLine="0"/>
        <w:jc w:val="center"/>
        <w:rPr>
          <w:rFonts w:hint="eastAsia" w:ascii="黑体" w:hAnsi="黑体" w:eastAsia="黑体" w:cs="黑体"/>
          <w:b/>
          <w:bCs/>
          <w:sz w:val="32"/>
          <w:szCs w:val="32"/>
          <w:lang w:val="en-US" w:eastAsia="zh-CN"/>
        </w:rPr>
      </w:pPr>
      <w:r>
        <w:rPr>
          <w:rFonts w:hint="eastAsia" w:ascii="FangSong_GB2312" w:hAnsi="FangSong_GB2312" w:eastAsia="FangSong_GB2312" w:cs="FangSong_GB2312"/>
          <w:b/>
          <w:bCs/>
          <w:kern w:val="2"/>
          <w:sz w:val="44"/>
          <w:szCs w:val="44"/>
          <w:lang w:val="en-US" w:eastAsia="zh-CN" w:bidi="ar-SA"/>
        </w:rPr>
        <w:t>实验室分析委托内容</w:t>
      </w:r>
    </w:p>
    <w:p>
      <w:pPr>
        <w:spacing w:line="560" w:lineRule="exact"/>
        <w:rPr>
          <w:rFonts w:hint="eastAsia" w:ascii="仿宋_GB2312" w:eastAsia="仿宋_GB2312"/>
          <w:color w:val="000000"/>
          <w:sz w:val="32"/>
          <w:szCs w:val="32"/>
        </w:rPr>
      </w:pPr>
      <w:r>
        <w:rPr>
          <w:rFonts w:hint="eastAsia" w:ascii="仿宋_GB2312" w:hAnsi="仿宋" w:eastAsia="仿宋_GB2312"/>
          <w:color w:val="000000"/>
          <w:sz w:val="32"/>
          <w:szCs w:val="32"/>
        </w:rPr>
        <w:t>　</w:t>
      </w:r>
      <w:r>
        <w:rPr>
          <w:rFonts w:hint="eastAsia" w:ascii="仿宋_GB2312" w:hAnsi="Times New Roman" w:eastAsia="仿宋_GB2312" w:cs="Times New Roman"/>
          <w:sz w:val="32"/>
          <w:szCs w:val="32"/>
        </w:rPr>
        <w:t>　因工作需要，</w:t>
      </w:r>
      <w:r>
        <w:rPr>
          <w:rFonts w:hint="eastAsia" w:ascii="仿宋_GB2312" w:hAnsi="Times New Roman" w:eastAsia="仿宋_GB2312" w:cs="Times New Roman"/>
          <w:sz w:val="32"/>
          <w:szCs w:val="32"/>
          <w:lang w:eastAsia="zh-CN"/>
        </w:rPr>
        <w:t>福建省莆田环境监测中心站</w:t>
      </w:r>
      <w:r>
        <w:rPr>
          <w:rFonts w:hint="eastAsia" w:ascii="仿宋_GB2312" w:hAnsi="Times New Roman" w:eastAsia="仿宋_GB2312" w:cs="Times New Roman"/>
          <w:sz w:val="32"/>
          <w:szCs w:val="32"/>
        </w:rPr>
        <w:t>拟对</w:t>
      </w:r>
      <w:r>
        <w:rPr>
          <w:rFonts w:hint="eastAsia" w:ascii="仿宋_GB2312" w:hAnsi="Times New Roman" w:eastAsia="仿宋_GB2312" w:cs="Times New Roman"/>
          <w:sz w:val="32"/>
          <w:szCs w:val="32"/>
          <w:lang w:eastAsia="zh-CN"/>
        </w:rPr>
        <w:t>莆田</w:t>
      </w:r>
      <w:r>
        <w:rPr>
          <w:rFonts w:hint="eastAsia" w:ascii="仿宋_GB2312" w:hAnsi="Times New Roman" w:eastAsia="仿宋_GB2312" w:cs="Times New Roman"/>
          <w:sz w:val="32"/>
          <w:szCs w:val="32"/>
        </w:rPr>
        <w:t>市2023年</w:t>
      </w:r>
      <w:r>
        <w:rPr>
          <w:rFonts w:hint="eastAsia" w:ascii="仿宋_GB2312" w:hAnsi="Times New Roman" w:eastAsia="仿宋_GB2312" w:cs="Times New Roman"/>
          <w:sz w:val="32"/>
          <w:szCs w:val="32"/>
          <w:lang w:val="en-US" w:eastAsia="zh-CN"/>
        </w:rPr>
        <w:t>11月</w:t>
      </w:r>
      <w:r>
        <w:rPr>
          <w:rFonts w:hint="eastAsia" w:ascii="仿宋_GB2312" w:hAnsi="Times New Roman" w:eastAsia="仿宋_GB2312" w:cs="Times New Roman"/>
          <w:sz w:val="32"/>
          <w:szCs w:val="32"/>
          <w:lang w:eastAsia="zh-CN"/>
        </w:rPr>
        <w:t>水</w:t>
      </w:r>
      <w:r>
        <w:rPr>
          <w:rFonts w:hint="eastAsia" w:ascii="仿宋_GB2312" w:hAnsi="Times New Roman" w:eastAsia="仿宋_GB2312" w:cs="Times New Roman"/>
          <w:sz w:val="32"/>
          <w:szCs w:val="32"/>
        </w:rPr>
        <w:t>环境质量</w:t>
      </w:r>
      <w:r>
        <w:rPr>
          <w:rFonts w:hint="eastAsia" w:ascii="仿宋_GB2312" w:hAnsi="Times New Roman" w:eastAsia="仿宋_GB2312" w:cs="Times New Roman"/>
          <w:sz w:val="32"/>
          <w:szCs w:val="32"/>
          <w:lang w:eastAsia="zh-CN"/>
        </w:rPr>
        <w:t>监测任务实验室分析工作</w:t>
      </w:r>
      <w:r>
        <w:rPr>
          <w:rFonts w:hint="eastAsia" w:ascii="仿宋_GB2312" w:hAnsi="Times New Roman" w:eastAsia="仿宋_GB2312" w:cs="Times New Roman"/>
          <w:sz w:val="32"/>
          <w:szCs w:val="32"/>
        </w:rPr>
        <w:t>委托第三方实验室</w:t>
      </w:r>
      <w:r>
        <w:rPr>
          <w:rFonts w:hint="eastAsia" w:ascii="仿宋_GB2312" w:hAnsi="Times New Roman" w:eastAsia="仿宋_GB2312" w:cs="Times New Roman"/>
          <w:sz w:val="32"/>
          <w:szCs w:val="32"/>
          <w:lang w:eastAsia="zh-CN"/>
        </w:rPr>
        <w:t>开展</w:t>
      </w:r>
      <w:r>
        <w:rPr>
          <w:rFonts w:hint="eastAsia" w:ascii="仿宋_GB2312" w:hAnsi="Times New Roman" w:eastAsia="仿宋_GB2312" w:cs="Times New Roman"/>
          <w:sz w:val="32"/>
          <w:szCs w:val="32"/>
        </w:rPr>
        <w:t>，具体检测工作任务如下。</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lang w:val="en-US" w:eastAsia="zh-CN"/>
        </w:rPr>
        <w:t>（一）</w:t>
      </w:r>
      <w:r>
        <w:rPr>
          <w:rFonts w:hint="eastAsia" w:ascii="黑体" w:hAnsi="黑体" w:eastAsia="黑体" w:cs="黑体"/>
          <w:b w:val="0"/>
          <w:bCs w:val="0"/>
          <w:sz w:val="32"/>
          <w:szCs w:val="32"/>
          <w:highlight w:val="none"/>
          <w:lang w:eastAsia="zh-CN"/>
        </w:rPr>
        <w:t>监测</w:t>
      </w:r>
      <w:r>
        <w:rPr>
          <w:rFonts w:hint="eastAsia" w:ascii="黑体" w:hAnsi="黑体" w:eastAsia="黑体" w:cs="黑体"/>
          <w:b w:val="0"/>
          <w:bCs w:val="0"/>
          <w:sz w:val="32"/>
          <w:szCs w:val="32"/>
          <w:highlight w:val="none"/>
        </w:rPr>
        <w:t>工作任务</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val="en-US" w:eastAsia="zh-CN"/>
        </w:rPr>
      </w:pPr>
      <w:r>
        <w:rPr>
          <w:rFonts w:hint="eastAsia" w:ascii="仿宋_GB2312" w:hAnsi="Times New Roman" w:eastAsia="仿宋_GB2312"/>
          <w:sz w:val="32"/>
          <w:szCs w:val="32"/>
          <w:lang w:val="en-US" w:eastAsia="zh-CN"/>
        </w:rPr>
        <w:t>1</w:t>
      </w:r>
      <w:r>
        <w:rPr>
          <w:rFonts w:hint="eastAsia" w:ascii="仿宋_GB2312" w:hAnsi="Times New Roman" w:eastAsia="仿宋_GB2312"/>
          <w:sz w:val="32"/>
          <w:szCs w:val="32"/>
        </w:rPr>
        <w:t>集中式生活饮用水水源地水质</w:t>
      </w:r>
      <w:r>
        <w:rPr>
          <w:rFonts w:hint="eastAsia" w:ascii="仿宋_GB2312" w:hAnsi="Times New Roman" w:eastAsia="仿宋_GB2312"/>
          <w:sz w:val="32"/>
          <w:szCs w:val="32"/>
          <w:lang w:eastAsia="zh-CN"/>
        </w:rPr>
        <w:t>监测</w:t>
      </w:r>
      <w:r>
        <w:rPr>
          <w:rFonts w:hint="eastAsia" w:ascii="仿宋_GB2312" w:hAnsi="Times New Roman" w:eastAsia="仿宋_GB2312"/>
          <w:sz w:val="32"/>
          <w:szCs w:val="32"/>
          <w:lang w:val="en-US" w:eastAsia="zh-CN"/>
        </w:rPr>
        <w:t>（计划采样1天并集中送样)</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eastAsia="zh-CN"/>
        </w:rPr>
      </w:pPr>
      <w:r>
        <w:rPr>
          <w:rFonts w:hint="eastAsia" w:ascii="仿宋_GB2312" w:hAnsi="Times New Roman" w:eastAsia="仿宋_GB2312"/>
          <w:sz w:val="32"/>
          <w:szCs w:val="32"/>
          <w:lang w:val="en-US" w:eastAsia="zh-CN"/>
        </w:rPr>
        <w:t>1.1</w:t>
      </w:r>
      <w:r>
        <w:rPr>
          <w:rFonts w:hint="eastAsia" w:ascii="仿宋_GB2312" w:hAnsi="Times New Roman" w:eastAsia="仿宋_GB2312"/>
          <w:sz w:val="32"/>
          <w:szCs w:val="32"/>
          <w:lang w:eastAsia="zh-CN"/>
        </w:rPr>
        <w:t>监测断面</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eastAsia="zh-CN"/>
        </w:rPr>
      </w:pPr>
      <w:r>
        <w:rPr>
          <w:rFonts w:hint="eastAsia" w:ascii="仿宋_GB2312" w:hAnsi="Times New Roman" w:eastAsia="仿宋_GB2312"/>
          <w:sz w:val="32"/>
          <w:szCs w:val="32"/>
        </w:rPr>
        <w:t>2个市级集中式饮用水水源地</w:t>
      </w:r>
      <w:r>
        <w:rPr>
          <w:rFonts w:hint="eastAsia" w:ascii="仿宋_GB2312" w:hAnsi="Times New Roman" w:eastAsia="仿宋_GB2312"/>
          <w:sz w:val="32"/>
          <w:szCs w:val="32"/>
          <w:lang w:eastAsia="zh-CN"/>
        </w:rPr>
        <w:t>监测断面</w:t>
      </w:r>
      <w:r>
        <w:rPr>
          <w:rFonts w:hint="eastAsia" w:ascii="仿宋_GB2312" w:hAnsi="Times New Roman" w:eastAsia="仿宋_GB2312"/>
          <w:sz w:val="32"/>
          <w:szCs w:val="32"/>
        </w:rPr>
        <w:t>：东圳水库取水口、外度水库取水口</w:t>
      </w:r>
      <w:r>
        <w:rPr>
          <w:rFonts w:hint="eastAsia" w:ascii="仿宋_GB2312" w:hAnsi="Times New Roman" w:eastAsia="仿宋_GB2312"/>
          <w:sz w:val="32"/>
          <w:szCs w:val="32"/>
          <w:lang w:eastAsia="zh-CN"/>
        </w:rPr>
        <w:t>；</w:t>
      </w:r>
      <w:r>
        <w:rPr>
          <w:rFonts w:hint="eastAsia" w:ascii="仿宋_GB2312" w:hAnsi="Times New Roman" w:eastAsia="仿宋_GB2312"/>
          <w:sz w:val="32"/>
          <w:szCs w:val="32"/>
          <w:lang w:val="en-US" w:eastAsia="zh-CN"/>
        </w:rPr>
        <w:t>2</w:t>
      </w:r>
      <w:r>
        <w:rPr>
          <w:rFonts w:hint="eastAsia" w:ascii="仿宋_GB2312" w:hAnsi="Times New Roman" w:eastAsia="仿宋_GB2312"/>
          <w:sz w:val="32"/>
          <w:szCs w:val="32"/>
        </w:rPr>
        <w:t>个县级集中式饮用水水源地</w:t>
      </w:r>
      <w:r>
        <w:rPr>
          <w:rFonts w:hint="eastAsia" w:ascii="仿宋_GB2312" w:hAnsi="Times New Roman" w:eastAsia="仿宋_GB2312"/>
          <w:sz w:val="32"/>
          <w:szCs w:val="32"/>
          <w:lang w:eastAsia="zh-CN"/>
        </w:rPr>
        <w:t>监测断面</w:t>
      </w:r>
      <w:r>
        <w:rPr>
          <w:rFonts w:hint="eastAsia" w:ascii="仿宋_GB2312" w:hAnsi="Times New Roman" w:eastAsia="仿宋_GB2312"/>
          <w:sz w:val="32"/>
          <w:szCs w:val="32"/>
        </w:rPr>
        <w:t>：古洋水库取水口</w:t>
      </w:r>
      <w:r>
        <w:rPr>
          <w:rFonts w:hint="eastAsia" w:ascii="仿宋_GB2312" w:hAnsi="Times New Roman" w:eastAsia="仿宋_GB2312"/>
          <w:sz w:val="32"/>
          <w:szCs w:val="32"/>
          <w:lang w:eastAsia="zh-CN"/>
        </w:rPr>
        <w:t>、金钟水库取水口。</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rPr>
      </w:pPr>
      <w:r>
        <w:rPr>
          <w:rFonts w:hint="eastAsia" w:ascii="仿宋_GB2312" w:hAnsi="Times New Roman" w:eastAsia="仿宋_GB2312"/>
          <w:sz w:val="32"/>
          <w:szCs w:val="32"/>
          <w:lang w:val="en-US" w:eastAsia="zh-CN"/>
        </w:rPr>
        <w:t>1.2</w:t>
      </w:r>
      <w:r>
        <w:rPr>
          <w:rFonts w:hint="eastAsia" w:ascii="仿宋_GB2312" w:hAnsi="Times New Roman" w:eastAsia="仿宋_GB2312"/>
          <w:sz w:val="32"/>
          <w:szCs w:val="32"/>
          <w:lang w:eastAsia="zh-CN"/>
        </w:rPr>
        <w:t>监测</w:t>
      </w:r>
      <w:r>
        <w:rPr>
          <w:rFonts w:hint="eastAsia" w:ascii="仿宋_GB2312" w:hAnsi="Times New Roman" w:eastAsia="仿宋_GB2312"/>
          <w:sz w:val="32"/>
          <w:szCs w:val="32"/>
        </w:rPr>
        <w:t>项目</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rPr>
      </w:pPr>
      <w:r>
        <w:rPr>
          <w:rFonts w:hint="eastAsia" w:ascii="仿宋_GB2312" w:hAnsi="Times New Roman" w:eastAsia="仿宋_GB2312"/>
          <w:sz w:val="32"/>
          <w:szCs w:val="32"/>
        </w:rPr>
        <w:t>东圳水库</w:t>
      </w:r>
      <w:r>
        <w:rPr>
          <w:rFonts w:hint="eastAsia" w:ascii="仿宋_GB2312" w:hAnsi="Times New Roman" w:eastAsia="仿宋_GB2312"/>
          <w:sz w:val="32"/>
          <w:szCs w:val="32"/>
          <w:lang w:eastAsia="zh-CN"/>
        </w:rPr>
        <w:t>、</w:t>
      </w:r>
      <w:r>
        <w:rPr>
          <w:rFonts w:hint="eastAsia" w:ascii="仿宋_GB2312" w:hAnsi="Times New Roman" w:eastAsia="仿宋_GB2312"/>
          <w:sz w:val="32"/>
          <w:szCs w:val="32"/>
        </w:rPr>
        <w:t>外度水库</w:t>
      </w:r>
      <w:r>
        <w:rPr>
          <w:rFonts w:hint="eastAsia" w:ascii="仿宋_GB2312" w:hAnsi="Times New Roman" w:eastAsia="仿宋_GB2312"/>
          <w:sz w:val="32"/>
          <w:szCs w:val="32"/>
          <w:lang w:eastAsia="zh-CN"/>
        </w:rPr>
        <w:t>取水口、</w:t>
      </w:r>
      <w:r>
        <w:rPr>
          <w:rFonts w:hint="eastAsia" w:ascii="仿宋_GB2312" w:hAnsi="Times New Roman" w:eastAsia="仿宋_GB2312"/>
          <w:sz w:val="32"/>
          <w:szCs w:val="32"/>
        </w:rPr>
        <w:t>古洋水库取水口</w:t>
      </w:r>
      <w:r>
        <w:rPr>
          <w:rFonts w:hint="eastAsia" w:ascii="仿宋_GB2312" w:hAnsi="Times New Roman" w:eastAsia="仿宋_GB2312"/>
          <w:sz w:val="32"/>
          <w:szCs w:val="32"/>
          <w:lang w:eastAsia="zh-CN"/>
        </w:rPr>
        <w:t>和金钟水库取水口监测</w:t>
      </w:r>
      <w:r>
        <w:rPr>
          <w:rFonts w:hint="eastAsia" w:ascii="仿宋_GB2312" w:hAnsi="Times New Roman" w:eastAsia="仿宋_GB2312"/>
          <w:sz w:val="32"/>
          <w:szCs w:val="32"/>
        </w:rPr>
        <w:t>项目为《地表水环境质量标准》（GB3838-2002）表1中基本项目（pH、溶解氧、水温除外，共21项）、表2的补充项目（5项）及表3的优选特定项目（33项，包括：三氯甲烷、四氯化碳、三氯乙烯、四氯乙烯、甲醛、苯、甲苯、乙苯、二甲苯、苯乙烯、异丙苯、氯苯、1,2-二氯苯、1,4-二氯苯、三氯苯、硝基苯、二硝基苯、硝基氯苯、邻苯二甲酸二丁酯、邻苯二甲酸二(2-乙基己基）酯、滴滴涕、林丹、阿特拉津、苯并(a)芘、钼、钴、铍、硼、锑、镍、钡、钒、铊）</w:t>
      </w:r>
      <w:r>
        <w:rPr>
          <w:rFonts w:hint="eastAsia" w:ascii="仿宋_GB2312" w:hAnsi="Times New Roman" w:eastAsia="仿宋_GB2312"/>
          <w:sz w:val="32"/>
          <w:szCs w:val="32"/>
          <w:lang w:eastAsia="zh-CN"/>
        </w:rPr>
        <w:t>和叶绿素</w:t>
      </w:r>
      <w:r>
        <w:rPr>
          <w:rFonts w:hint="eastAsia" w:ascii="仿宋_GB2312" w:hAnsi="Times New Roman" w:eastAsia="仿宋_GB2312"/>
          <w:sz w:val="32"/>
          <w:szCs w:val="32"/>
          <w:lang w:val="en-US" w:eastAsia="zh-CN"/>
        </w:rPr>
        <w:t>a</w:t>
      </w:r>
      <w:r>
        <w:rPr>
          <w:rFonts w:hint="eastAsia" w:ascii="仿宋_GB2312" w:hAnsi="Times New Roman" w:eastAsia="仿宋_GB2312"/>
          <w:sz w:val="32"/>
          <w:szCs w:val="32"/>
        </w:rPr>
        <w:t>共计</w:t>
      </w:r>
      <w:r>
        <w:rPr>
          <w:rFonts w:hint="eastAsia" w:ascii="仿宋_GB2312" w:hAnsi="Times New Roman" w:eastAsia="仿宋_GB2312"/>
          <w:sz w:val="32"/>
          <w:szCs w:val="32"/>
          <w:lang w:val="en-US" w:eastAsia="zh-CN"/>
        </w:rPr>
        <w:t>60</w:t>
      </w:r>
      <w:r>
        <w:rPr>
          <w:rFonts w:hint="eastAsia" w:ascii="仿宋_GB2312" w:hAnsi="Times New Roman" w:eastAsia="仿宋_GB2312"/>
          <w:sz w:val="32"/>
          <w:szCs w:val="32"/>
        </w:rPr>
        <w:t>项。</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val="en-US" w:eastAsia="zh-CN"/>
        </w:rPr>
      </w:pPr>
      <w:r>
        <w:rPr>
          <w:rFonts w:hint="eastAsia" w:ascii="仿宋_GB2312" w:hAnsi="Times New Roman" w:eastAsia="仿宋_GB2312"/>
          <w:sz w:val="32"/>
          <w:szCs w:val="32"/>
          <w:lang w:val="en-US" w:eastAsia="zh-CN"/>
        </w:rPr>
        <w:t>1.3现场平行和空白</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val="en-US" w:eastAsia="zh-CN"/>
        </w:rPr>
      </w:pPr>
      <w:r>
        <w:rPr>
          <w:rFonts w:hint="eastAsia" w:ascii="仿宋_GB2312" w:hAnsi="Times New Roman" w:eastAsia="仿宋_GB2312"/>
          <w:sz w:val="32"/>
          <w:szCs w:val="32"/>
          <w:lang w:val="en-US" w:eastAsia="zh-CN"/>
        </w:rPr>
        <w:t>当天4个水库分4组采样，合采1批次现场平行和空白，项目：化学需氧量、高锰酸盐指数、氨氮、总氮、总磷、六价铬、硫化物、挥发酚、氰化物、阴离子表面活性剂、氟化物、硫酸盐、氯化物、硝酸盐、汞、砷、硒、铜、锌、铅、镉、铁、锰、钼、钴、铍、硼、锑、镍、钡、钒、铊、</w:t>
      </w:r>
      <w:r>
        <w:rPr>
          <w:rFonts w:hint="eastAsia" w:ascii="仿宋_GB2312" w:hAnsi="Times New Roman" w:eastAsia="仿宋_GB2312"/>
          <w:sz w:val="32"/>
          <w:szCs w:val="32"/>
        </w:rPr>
        <w:t>三氯甲烷、四氯化碳、三氯乙烯、四氯乙烯、甲醛、苯、甲苯、乙苯、二甲苯、苯乙烯、异丙苯、氯苯、1,2-二氯苯、1,4-二氯苯、三氯苯、硝基苯、二硝基苯、硝基氯苯、邻苯二甲酸二丁酯、邻苯二甲酸二(2-乙基己基）酯、滴滴涕、林丹、阿特拉津、苯并(a)芘</w:t>
      </w:r>
      <w:r>
        <w:rPr>
          <w:rFonts w:hint="eastAsia" w:ascii="仿宋_GB2312" w:hAnsi="Times New Roman" w:eastAsia="仿宋_GB2312"/>
          <w:sz w:val="32"/>
          <w:szCs w:val="32"/>
          <w:lang w:val="en-US" w:eastAsia="zh-CN"/>
        </w:rPr>
        <w:t>和</w:t>
      </w:r>
      <w:r>
        <w:rPr>
          <w:rFonts w:hint="eastAsia" w:ascii="仿宋_GB2312" w:hAnsi="Times New Roman" w:eastAsia="仿宋_GB2312"/>
          <w:sz w:val="32"/>
          <w:szCs w:val="32"/>
          <w:lang w:eastAsia="zh-CN"/>
        </w:rPr>
        <w:t>叶绿素</w:t>
      </w:r>
      <w:r>
        <w:rPr>
          <w:rFonts w:hint="eastAsia" w:ascii="仿宋_GB2312" w:hAnsi="Times New Roman" w:eastAsia="仿宋_GB2312"/>
          <w:sz w:val="32"/>
          <w:szCs w:val="32"/>
          <w:lang w:val="en-US" w:eastAsia="zh-CN"/>
        </w:rPr>
        <w:t>a</w:t>
      </w:r>
      <w:r>
        <w:rPr>
          <w:rFonts w:hint="eastAsia" w:ascii="仿宋_GB2312" w:hAnsi="Times New Roman" w:eastAsia="仿宋_GB2312"/>
          <w:sz w:val="32"/>
          <w:szCs w:val="32"/>
        </w:rPr>
        <w:t>共计</w:t>
      </w:r>
      <w:r>
        <w:rPr>
          <w:rFonts w:hint="eastAsia" w:ascii="仿宋_GB2312" w:hAnsi="Times New Roman" w:eastAsia="仿宋_GB2312"/>
          <w:sz w:val="32"/>
          <w:szCs w:val="32"/>
          <w:highlight w:val="none"/>
          <w:lang w:val="en-US" w:eastAsia="zh-CN"/>
        </w:rPr>
        <w:t>57</w:t>
      </w:r>
      <w:r>
        <w:rPr>
          <w:rFonts w:hint="eastAsia" w:ascii="仿宋_GB2312" w:hAnsi="Times New Roman" w:eastAsia="仿宋_GB2312"/>
          <w:sz w:val="32"/>
          <w:szCs w:val="32"/>
        </w:rPr>
        <w:t>项</w:t>
      </w:r>
      <w:r>
        <w:rPr>
          <w:rFonts w:hint="eastAsia" w:ascii="仿宋_GB2312" w:hAnsi="Times New Roman" w:eastAsia="仿宋_GB2312"/>
          <w:sz w:val="32"/>
          <w:szCs w:val="32"/>
          <w:lang w:eastAsia="zh-CN"/>
        </w:rPr>
        <w:t>。</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val="en-US" w:eastAsia="zh-CN"/>
        </w:rPr>
      </w:pPr>
      <w:r>
        <w:rPr>
          <w:rFonts w:hint="eastAsia" w:ascii="仿宋_GB2312" w:hAnsi="Times New Roman" w:eastAsia="仿宋_GB2312"/>
          <w:sz w:val="32"/>
          <w:szCs w:val="32"/>
          <w:lang w:val="en-US" w:eastAsia="zh-CN"/>
        </w:rPr>
        <w:t>2</w:t>
      </w:r>
      <w:r>
        <w:rPr>
          <w:rFonts w:hint="eastAsia" w:ascii="仿宋_GB2312" w:hAnsi="Times New Roman" w:eastAsia="仿宋_GB2312"/>
          <w:sz w:val="32"/>
          <w:szCs w:val="32"/>
          <w:lang w:eastAsia="zh-CN"/>
        </w:rPr>
        <w:t>主要流域</w:t>
      </w:r>
      <w:r>
        <w:rPr>
          <w:rFonts w:hint="eastAsia" w:ascii="仿宋_GB2312" w:hAnsi="Times New Roman" w:eastAsia="仿宋_GB2312"/>
          <w:sz w:val="32"/>
          <w:szCs w:val="32"/>
        </w:rPr>
        <w:t>水质</w:t>
      </w:r>
      <w:r>
        <w:rPr>
          <w:rFonts w:hint="eastAsia" w:ascii="仿宋_GB2312" w:hAnsi="Times New Roman" w:eastAsia="仿宋_GB2312"/>
          <w:sz w:val="32"/>
          <w:szCs w:val="32"/>
          <w:lang w:eastAsia="zh-CN"/>
        </w:rPr>
        <w:t>监测</w:t>
      </w:r>
      <w:r>
        <w:rPr>
          <w:rFonts w:hint="eastAsia" w:ascii="仿宋_GB2312" w:hAnsi="Times New Roman" w:eastAsia="仿宋_GB2312"/>
          <w:sz w:val="32"/>
          <w:szCs w:val="32"/>
          <w:lang w:val="en-US" w:eastAsia="zh-CN"/>
        </w:rPr>
        <w:t>（计划分2天采样，每天送样1批次)</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Times New Roman" w:eastAsia="仿宋_GB2312"/>
          <w:sz w:val="32"/>
          <w:szCs w:val="32"/>
          <w:lang w:eastAsia="zh-CN"/>
        </w:rPr>
      </w:pPr>
      <w:r>
        <w:rPr>
          <w:rFonts w:hint="eastAsia" w:ascii="仿宋_GB2312" w:hAnsi="Times New Roman" w:eastAsia="仿宋_GB2312"/>
          <w:sz w:val="32"/>
          <w:szCs w:val="32"/>
          <w:lang w:val="en-US" w:eastAsia="zh-CN"/>
        </w:rPr>
        <w:t>2.1</w:t>
      </w:r>
      <w:r>
        <w:rPr>
          <w:rFonts w:hint="eastAsia" w:ascii="仿宋_GB2312" w:hAnsi="Times New Roman" w:eastAsia="仿宋_GB2312"/>
          <w:sz w:val="32"/>
          <w:szCs w:val="32"/>
          <w:lang w:eastAsia="zh-CN"/>
        </w:rPr>
        <w:t>监测断面</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Times New Roman" w:eastAsia="仿宋_GB2312"/>
          <w:sz w:val="32"/>
          <w:szCs w:val="32"/>
        </w:rPr>
      </w:pPr>
      <w:r>
        <w:rPr>
          <w:rFonts w:hint="eastAsia" w:ascii="仿宋_GB2312" w:hAnsi="Times New Roman" w:eastAsia="仿宋_GB2312"/>
          <w:sz w:val="32"/>
          <w:szCs w:val="32"/>
        </w:rPr>
        <w:t>东圳水库库心</w:t>
      </w:r>
      <w:r>
        <w:rPr>
          <w:rFonts w:hint="eastAsia" w:ascii="仿宋_GB2312" w:hAnsi="Times New Roman" w:eastAsia="仿宋_GB2312"/>
          <w:sz w:val="32"/>
          <w:szCs w:val="32"/>
          <w:lang w:eastAsia="zh-CN"/>
        </w:rPr>
        <w:t>（</w:t>
      </w:r>
      <w:r>
        <w:rPr>
          <w:rFonts w:hint="eastAsia" w:ascii="仿宋_GB2312" w:hAnsi="Times New Roman" w:eastAsia="仿宋_GB2312"/>
          <w:sz w:val="32"/>
          <w:szCs w:val="32"/>
        </w:rPr>
        <w:t>上</w:t>
      </w:r>
      <w:r>
        <w:rPr>
          <w:rFonts w:hint="eastAsia" w:ascii="仿宋_GB2312" w:hAnsi="Times New Roman" w:eastAsia="仿宋_GB2312"/>
          <w:sz w:val="32"/>
          <w:szCs w:val="32"/>
          <w:lang w:eastAsia="zh-CN"/>
        </w:rPr>
        <w:t>、</w:t>
      </w:r>
      <w:r>
        <w:rPr>
          <w:rFonts w:hint="eastAsia" w:ascii="仿宋_GB2312" w:hAnsi="Times New Roman" w:eastAsia="仿宋_GB2312"/>
          <w:sz w:val="32"/>
          <w:szCs w:val="32"/>
          <w:lang w:val="en-US" w:eastAsia="zh-CN"/>
        </w:rPr>
        <w:t>中、下）、金钟水库出口（上、中、下）、金钟水库库心（上、中、下）、仙游西台桥、仙游石马桥、濑溪、双溪口水库、仙水溪口、过溪村、延寿溪口、南安陂、霞洋桥、白沙桥、狮亭桥</w:t>
      </w:r>
      <w:r>
        <w:rPr>
          <w:rFonts w:hint="eastAsia" w:ascii="仿宋_GB2312" w:hAnsi="Times New Roman" w:eastAsia="仿宋_GB2312"/>
          <w:sz w:val="32"/>
          <w:szCs w:val="32"/>
        </w:rPr>
        <w:t>等</w:t>
      </w:r>
      <w:r>
        <w:rPr>
          <w:rFonts w:hint="eastAsia" w:ascii="仿宋_GB2312" w:hAnsi="Times New Roman" w:eastAsia="仿宋_GB2312"/>
          <w:sz w:val="32"/>
          <w:szCs w:val="32"/>
          <w:lang w:val="en-US" w:eastAsia="zh-CN"/>
        </w:rPr>
        <w:t>14</w:t>
      </w:r>
      <w:r>
        <w:rPr>
          <w:rFonts w:hint="eastAsia" w:ascii="仿宋_GB2312" w:hAnsi="Times New Roman" w:eastAsia="仿宋_GB2312"/>
          <w:sz w:val="32"/>
          <w:szCs w:val="32"/>
        </w:rPr>
        <w:t>个</w:t>
      </w:r>
      <w:r>
        <w:rPr>
          <w:rFonts w:hint="eastAsia" w:ascii="仿宋_GB2312" w:hAnsi="Times New Roman" w:eastAsia="仿宋_GB2312"/>
          <w:sz w:val="32"/>
          <w:szCs w:val="32"/>
          <w:lang w:eastAsia="zh-CN"/>
        </w:rPr>
        <w:t>监测</w:t>
      </w:r>
      <w:r>
        <w:rPr>
          <w:rFonts w:hint="eastAsia" w:ascii="仿宋_GB2312" w:hAnsi="Times New Roman" w:eastAsia="仿宋_GB2312"/>
          <w:sz w:val="32"/>
          <w:szCs w:val="32"/>
        </w:rPr>
        <w:t>断面</w:t>
      </w:r>
      <w:r>
        <w:rPr>
          <w:rFonts w:hint="eastAsia" w:ascii="仿宋_GB2312" w:hAnsi="Times New Roman" w:eastAsia="仿宋_GB2312"/>
          <w:sz w:val="32"/>
          <w:szCs w:val="32"/>
          <w:lang w:eastAsia="zh-CN"/>
        </w:rPr>
        <w:t>，共</w:t>
      </w:r>
      <w:r>
        <w:rPr>
          <w:rFonts w:hint="eastAsia" w:ascii="仿宋_GB2312" w:hAnsi="Times New Roman" w:eastAsia="仿宋_GB2312"/>
          <w:sz w:val="32"/>
          <w:szCs w:val="32"/>
          <w:lang w:val="en-US" w:eastAsia="zh-CN"/>
        </w:rPr>
        <w:t>20个监测点位</w:t>
      </w:r>
      <w:r>
        <w:rPr>
          <w:rFonts w:hint="eastAsia" w:ascii="仿宋_GB2312" w:hAnsi="Times New Roman" w:eastAsia="仿宋_GB2312"/>
          <w:sz w:val="32"/>
          <w:szCs w:val="32"/>
        </w:rPr>
        <w:t>。</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rPr>
      </w:pPr>
      <w:r>
        <w:rPr>
          <w:rFonts w:hint="eastAsia" w:ascii="仿宋_GB2312" w:hAnsi="Times New Roman" w:eastAsia="仿宋_GB2312"/>
          <w:sz w:val="32"/>
          <w:szCs w:val="32"/>
          <w:lang w:val="en-US" w:eastAsia="zh-CN"/>
        </w:rPr>
        <w:t>2.2</w:t>
      </w:r>
      <w:r>
        <w:rPr>
          <w:rFonts w:hint="eastAsia" w:ascii="仿宋_GB2312" w:hAnsi="Times New Roman" w:eastAsia="仿宋_GB2312"/>
          <w:sz w:val="32"/>
          <w:szCs w:val="32"/>
          <w:lang w:eastAsia="zh-CN"/>
        </w:rPr>
        <w:t>监测</w:t>
      </w:r>
      <w:r>
        <w:rPr>
          <w:rFonts w:hint="eastAsia" w:ascii="仿宋_GB2312" w:hAnsi="Times New Roman" w:eastAsia="仿宋_GB2312"/>
          <w:sz w:val="32"/>
          <w:szCs w:val="32"/>
        </w:rPr>
        <w:t>项目</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eastAsia="zh-CN"/>
        </w:rPr>
      </w:pPr>
      <w:r>
        <w:rPr>
          <w:rFonts w:hint="eastAsia" w:ascii="仿宋_GB2312" w:hAnsi="Times New Roman" w:eastAsia="仿宋_GB2312"/>
          <w:sz w:val="32"/>
          <w:szCs w:val="32"/>
        </w:rPr>
        <w:t>《地表水环境质量标准》（GB3838-2002）表1中基本项目（pH、溶解氧、水温除外），共计21项</w:t>
      </w:r>
      <w:r>
        <w:rPr>
          <w:rFonts w:hint="eastAsia" w:ascii="仿宋_GB2312" w:hAnsi="Times New Roman" w:eastAsia="仿宋_GB2312"/>
          <w:sz w:val="32"/>
          <w:szCs w:val="32"/>
          <w:lang w:eastAsia="zh-CN"/>
        </w:rPr>
        <w:t>，其中</w:t>
      </w:r>
      <w:r>
        <w:rPr>
          <w:rFonts w:hint="eastAsia" w:ascii="仿宋_GB2312" w:hAnsi="Times New Roman" w:eastAsia="仿宋_GB2312"/>
          <w:sz w:val="32"/>
          <w:szCs w:val="32"/>
        </w:rPr>
        <w:t>东圳水库库心上</w:t>
      </w:r>
      <w:r>
        <w:rPr>
          <w:rFonts w:hint="eastAsia" w:ascii="仿宋_GB2312" w:hAnsi="Times New Roman" w:eastAsia="仿宋_GB2312"/>
          <w:sz w:val="32"/>
          <w:szCs w:val="32"/>
          <w:lang w:val="en-US" w:eastAsia="zh-CN"/>
        </w:rPr>
        <w:t>、金钟水库出口上和金钟水库库心上3个点位加测</w:t>
      </w:r>
      <w:r>
        <w:rPr>
          <w:rFonts w:hint="eastAsia" w:ascii="仿宋_GB2312" w:hAnsi="Times New Roman" w:eastAsia="仿宋_GB2312"/>
          <w:sz w:val="32"/>
          <w:szCs w:val="32"/>
        </w:rPr>
        <w:t>叶绿素a</w:t>
      </w:r>
      <w:r>
        <w:rPr>
          <w:rFonts w:hint="eastAsia" w:ascii="仿宋_GB2312" w:hAnsi="Times New Roman" w:eastAsia="仿宋_GB2312"/>
          <w:sz w:val="32"/>
          <w:szCs w:val="32"/>
          <w:lang w:eastAsia="zh-CN"/>
        </w:rPr>
        <w:t>。</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val="en-US" w:eastAsia="zh-CN"/>
        </w:rPr>
      </w:pPr>
      <w:r>
        <w:rPr>
          <w:rFonts w:hint="eastAsia" w:ascii="仿宋_GB2312" w:hAnsi="Times New Roman" w:eastAsia="仿宋_GB2312"/>
          <w:sz w:val="32"/>
          <w:szCs w:val="32"/>
          <w:lang w:val="en-US" w:eastAsia="zh-CN"/>
        </w:rPr>
        <w:t>2.3现场平行和空白</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宋体" w:hAnsi="宋体" w:eastAsia="宋体" w:cs="宋体"/>
          <w:i w:val="0"/>
          <w:iCs w:val="0"/>
          <w:caps w:val="0"/>
          <w:color w:val="333333"/>
          <w:spacing w:val="0"/>
          <w:sz w:val="25"/>
          <w:szCs w:val="25"/>
        </w:rPr>
      </w:pPr>
      <w:r>
        <w:rPr>
          <w:rFonts w:hint="eastAsia" w:ascii="仿宋_GB2312" w:hAnsi="Times New Roman" w:eastAsia="仿宋_GB2312"/>
          <w:sz w:val="32"/>
          <w:szCs w:val="32"/>
          <w:lang w:val="en-US" w:eastAsia="zh-CN"/>
        </w:rPr>
        <w:t>分2天采样，每天4组合采1批次现场平行和空白，项目：化学需氧量、高锰酸盐指数、氨氮、总氮、总磷、六价铬、硫化物、汞、砷、铜、锌、铅、镉、硒、挥发酚、氰化物、阴离子表面活性剂、氟化物和叶绿素a，共19项。</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eastAsia="zh-CN"/>
        </w:rPr>
      </w:pPr>
      <w:r>
        <w:rPr>
          <w:rFonts w:hint="eastAsia" w:ascii="仿宋_GB2312" w:hAnsi="Times New Roman" w:eastAsia="仿宋_GB2312"/>
          <w:sz w:val="32"/>
          <w:szCs w:val="32"/>
          <w:highlight w:val="none"/>
          <w:lang w:val="en-US" w:eastAsia="zh-CN"/>
        </w:rPr>
        <w:t>3</w:t>
      </w:r>
      <w:r>
        <w:rPr>
          <w:rFonts w:hint="eastAsia" w:ascii="仿宋_GB2312" w:hAnsi="Times New Roman" w:eastAsia="仿宋_GB2312"/>
          <w:sz w:val="32"/>
          <w:szCs w:val="32"/>
          <w:highlight w:val="none"/>
        </w:rPr>
        <w:t>湖库型饮用水水源地藻类水华预警监测</w:t>
      </w:r>
      <w:r>
        <w:rPr>
          <w:rFonts w:hint="eastAsia" w:ascii="仿宋_GB2312" w:hAnsi="Times New Roman" w:eastAsia="仿宋_GB2312"/>
          <w:sz w:val="32"/>
          <w:szCs w:val="32"/>
          <w:lang w:eastAsia="zh-CN"/>
        </w:rPr>
        <w:t>（与饮用水合并采样，相同断面不重复采样）</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eastAsia="zh-CN"/>
        </w:rPr>
      </w:pPr>
      <w:r>
        <w:rPr>
          <w:rFonts w:hint="eastAsia" w:ascii="仿宋_GB2312" w:hAnsi="Times New Roman" w:eastAsia="仿宋_GB2312"/>
          <w:sz w:val="32"/>
          <w:szCs w:val="32"/>
          <w:lang w:val="en-US" w:eastAsia="zh-CN"/>
        </w:rPr>
        <w:t>3.1</w:t>
      </w:r>
      <w:r>
        <w:rPr>
          <w:rFonts w:hint="eastAsia" w:ascii="仿宋_GB2312" w:hAnsi="Times New Roman" w:eastAsia="仿宋_GB2312"/>
          <w:sz w:val="32"/>
          <w:szCs w:val="32"/>
          <w:lang w:eastAsia="zh-CN"/>
        </w:rPr>
        <w:t>监测断面</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lang w:val="en-US" w:eastAsia="zh-CN"/>
        </w:rPr>
      </w:pPr>
      <w:r>
        <w:rPr>
          <w:rFonts w:hint="eastAsia" w:ascii="仿宋_GB2312" w:hAnsi="Times New Roman" w:eastAsia="仿宋_GB2312"/>
          <w:sz w:val="32"/>
          <w:szCs w:val="32"/>
        </w:rPr>
        <w:t>东圳水库库心、东圳水库取水口</w:t>
      </w:r>
      <w:r>
        <w:rPr>
          <w:rFonts w:hint="eastAsia" w:ascii="仿宋_GB2312" w:hAnsi="Times New Roman" w:eastAsia="仿宋_GB2312"/>
          <w:sz w:val="32"/>
          <w:szCs w:val="32"/>
          <w:lang w:eastAsia="zh-CN"/>
        </w:rPr>
        <w:t>、外度</w:t>
      </w:r>
      <w:r>
        <w:rPr>
          <w:rFonts w:hint="eastAsia" w:ascii="仿宋_GB2312" w:hAnsi="Times New Roman" w:eastAsia="仿宋_GB2312"/>
          <w:sz w:val="32"/>
          <w:szCs w:val="32"/>
        </w:rPr>
        <w:t>水库库心</w:t>
      </w:r>
      <w:r>
        <w:rPr>
          <w:rFonts w:hint="eastAsia" w:ascii="仿宋_GB2312" w:hAnsi="Times New Roman" w:eastAsia="仿宋_GB2312"/>
          <w:sz w:val="32"/>
          <w:szCs w:val="32"/>
          <w:lang w:eastAsia="zh-CN"/>
        </w:rPr>
        <w:t>、外度</w:t>
      </w:r>
      <w:r>
        <w:rPr>
          <w:rFonts w:hint="eastAsia" w:ascii="仿宋_GB2312" w:hAnsi="Times New Roman" w:eastAsia="仿宋_GB2312"/>
          <w:sz w:val="32"/>
          <w:szCs w:val="32"/>
        </w:rPr>
        <w:t>水库取水口</w:t>
      </w:r>
      <w:r>
        <w:rPr>
          <w:rFonts w:hint="eastAsia" w:ascii="仿宋_GB2312" w:hAnsi="Times New Roman" w:eastAsia="仿宋_GB2312"/>
          <w:sz w:val="32"/>
          <w:szCs w:val="32"/>
          <w:lang w:eastAsia="zh-CN"/>
        </w:rPr>
        <w:t>、</w:t>
      </w:r>
      <w:r>
        <w:rPr>
          <w:rFonts w:hint="eastAsia" w:ascii="仿宋_GB2312" w:hAnsi="Times New Roman" w:eastAsia="仿宋_GB2312"/>
          <w:sz w:val="32"/>
          <w:szCs w:val="32"/>
        </w:rPr>
        <w:t>古洋水库</w:t>
      </w:r>
      <w:r>
        <w:rPr>
          <w:rFonts w:hint="eastAsia" w:ascii="仿宋_GB2312" w:hAnsi="Times New Roman" w:eastAsia="仿宋_GB2312"/>
          <w:sz w:val="32"/>
          <w:szCs w:val="32"/>
          <w:lang w:eastAsia="zh-CN"/>
        </w:rPr>
        <w:t>库心、</w:t>
      </w:r>
      <w:r>
        <w:rPr>
          <w:rFonts w:hint="eastAsia" w:ascii="仿宋_GB2312" w:hAnsi="Times New Roman" w:eastAsia="仿宋_GB2312"/>
          <w:sz w:val="32"/>
          <w:szCs w:val="32"/>
        </w:rPr>
        <w:t>古洋水库</w:t>
      </w:r>
      <w:r>
        <w:rPr>
          <w:rFonts w:hint="eastAsia" w:ascii="仿宋_GB2312" w:hAnsi="Times New Roman" w:eastAsia="仿宋_GB2312"/>
          <w:sz w:val="32"/>
          <w:szCs w:val="32"/>
          <w:lang w:eastAsia="zh-CN"/>
        </w:rPr>
        <w:t>取水口、金钟水库库心和金钟水库取水口等</w:t>
      </w:r>
      <w:r>
        <w:rPr>
          <w:rFonts w:hint="eastAsia" w:ascii="仿宋_GB2312" w:hAnsi="Times New Roman" w:eastAsia="仿宋_GB2312"/>
          <w:sz w:val="32"/>
          <w:szCs w:val="32"/>
          <w:lang w:val="en-US" w:eastAsia="zh-CN"/>
        </w:rPr>
        <w:t>8个断面</w:t>
      </w:r>
      <w:r>
        <w:rPr>
          <w:rFonts w:hint="eastAsia" w:ascii="仿宋_GB2312" w:hAnsi="Times New Roman" w:eastAsia="仿宋_GB2312"/>
          <w:sz w:val="32"/>
          <w:szCs w:val="32"/>
          <w:highlight w:val="none"/>
          <w:lang w:val="en-US" w:eastAsia="zh-CN"/>
        </w:rPr>
        <w:t>，其中4个水库取水口不重复采样，</w:t>
      </w:r>
      <w:r>
        <w:rPr>
          <w:rFonts w:hint="eastAsia" w:ascii="仿宋_GB2312" w:hAnsi="Times New Roman" w:eastAsia="仿宋_GB2312"/>
          <w:sz w:val="32"/>
          <w:szCs w:val="32"/>
          <w:lang w:val="en-US" w:eastAsia="zh-CN"/>
        </w:rPr>
        <w:t>引用集中式饮用水源地监测数据，</w:t>
      </w:r>
      <w:r>
        <w:rPr>
          <w:rFonts w:hint="eastAsia" w:ascii="仿宋_GB2312" w:hAnsi="Times New Roman" w:eastAsia="仿宋_GB2312"/>
          <w:sz w:val="32"/>
          <w:szCs w:val="32"/>
        </w:rPr>
        <w:t>东圳水库库心</w:t>
      </w:r>
      <w:r>
        <w:rPr>
          <w:rFonts w:hint="eastAsia" w:ascii="仿宋_GB2312" w:hAnsi="Times New Roman" w:eastAsia="仿宋_GB2312"/>
          <w:sz w:val="32"/>
          <w:szCs w:val="32"/>
          <w:lang w:eastAsia="zh-CN"/>
        </w:rPr>
        <w:t>和金钟水库库心引用主要流域监测数据。</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sz w:val="32"/>
          <w:szCs w:val="32"/>
        </w:rPr>
      </w:pPr>
      <w:r>
        <w:rPr>
          <w:rFonts w:hint="eastAsia" w:ascii="仿宋_GB2312" w:hAnsi="Times New Roman" w:eastAsia="仿宋_GB2312"/>
          <w:sz w:val="32"/>
          <w:szCs w:val="32"/>
          <w:lang w:val="en-US" w:eastAsia="zh-CN"/>
        </w:rPr>
        <w:t>3.2</w:t>
      </w:r>
      <w:r>
        <w:rPr>
          <w:rFonts w:hint="eastAsia" w:ascii="仿宋_GB2312" w:hAnsi="Times New Roman" w:eastAsia="仿宋_GB2312"/>
          <w:sz w:val="32"/>
          <w:szCs w:val="32"/>
          <w:lang w:eastAsia="zh-CN"/>
        </w:rPr>
        <w:t>监测</w:t>
      </w:r>
      <w:r>
        <w:rPr>
          <w:rFonts w:hint="eastAsia" w:ascii="仿宋_GB2312" w:hAnsi="Times New Roman" w:eastAsia="仿宋_GB2312"/>
          <w:sz w:val="32"/>
          <w:szCs w:val="32"/>
        </w:rPr>
        <w:t>项目</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cs="Times New Roman"/>
          <w:sz w:val="32"/>
          <w:szCs w:val="32"/>
          <w:lang w:val="en-US" w:eastAsia="zh-CN"/>
        </w:rPr>
      </w:pPr>
      <w:r>
        <w:rPr>
          <w:rFonts w:hint="eastAsia" w:ascii="仿宋_GB2312" w:hAnsi="Times New Roman" w:eastAsia="仿宋_GB2312"/>
          <w:sz w:val="32"/>
          <w:szCs w:val="32"/>
        </w:rPr>
        <w:t>氨氮、总氮、总磷、高锰酸盐指数</w:t>
      </w:r>
      <w:r>
        <w:rPr>
          <w:rFonts w:hint="eastAsia" w:ascii="仿宋_GB2312" w:hAnsi="Times New Roman" w:eastAsia="仿宋_GB2312"/>
          <w:sz w:val="32"/>
          <w:szCs w:val="32"/>
          <w:lang w:eastAsia="zh-CN"/>
        </w:rPr>
        <w:t>和</w:t>
      </w:r>
      <w:r>
        <w:rPr>
          <w:rFonts w:hint="eastAsia" w:ascii="仿宋_GB2312" w:hAnsi="Times New Roman" w:eastAsia="仿宋_GB2312"/>
          <w:sz w:val="32"/>
          <w:szCs w:val="32"/>
        </w:rPr>
        <w:t>叶绿素a</w:t>
      </w:r>
      <w:r>
        <w:rPr>
          <w:rFonts w:hint="eastAsia" w:ascii="仿宋_GB2312" w:hAnsi="Times New Roman" w:eastAsia="仿宋_GB2312" w:cs="Times New Roman"/>
          <w:sz w:val="32"/>
          <w:szCs w:val="32"/>
          <w:lang w:val="en-US" w:eastAsia="zh-CN"/>
        </w:rPr>
        <w:t>共计5项。</w:t>
      </w:r>
    </w:p>
    <w:p>
      <w:pPr>
        <w:keepNext w:val="0"/>
        <w:keepLines w:val="0"/>
        <w:pageBreakBefore w:val="0"/>
        <w:kinsoku/>
        <w:wordWrap/>
        <w:overflowPunct/>
        <w:topLinePunct w:val="0"/>
        <w:autoSpaceDE/>
        <w:autoSpaceDN/>
        <w:bidi w:val="0"/>
        <w:adjustRightInd/>
        <w:snapToGrid/>
        <w:spacing w:line="540" w:lineRule="exact"/>
        <w:ind w:firstLine="555"/>
        <w:textAlignment w:val="auto"/>
        <w:rPr>
          <w:rFonts w:hint="eastAsia"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莆田市2023年11月水环境质量监测任务实验室分析项目汇总见下表。</w:t>
      </w:r>
    </w:p>
    <w:p>
      <w:pPr>
        <w:pStyle w:val="2"/>
        <w:rPr>
          <w:rFonts w:hint="eastAsia" w:ascii="仿宋_GB2312" w:hAnsi="Times New Roman" w:eastAsia="仿宋_GB2312" w:cs="Times New Roman"/>
          <w:sz w:val="32"/>
          <w:szCs w:val="32"/>
          <w:lang w:val="en-US" w:eastAsia="zh-CN"/>
        </w:rPr>
      </w:pPr>
    </w:p>
    <w:p>
      <w:pPr>
        <w:pStyle w:val="2"/>
        <w:rPr>
          <w:rFonts w:hint="eastAsia" w:ascii="仿宋_GB2312" w:hAnsi="Times New Roman" w:eastAsia="仿宋_GB2312" w:cs="Times New Roman"/>
          <w:sz w:val="32"/>
          <w:szCs w:val="32"/>
          <w:lang w:val="en-US" w:eastAsia="zh-CN"/>
        </w:rPr>
      </w:pPr>
    </w:p>
    <w:p>
      <w:pPr>
        <w:pStyle w:val="2"/>
        <w:rPr>
          <w:rFonts w:hint="eastAsia" w:ascii="仿宋_GB2312" w:hAnsi="Times New Roman" w:eastAsia="仿宋_GB2312" w:cs="Times New Roman"/>
          <w:sz w:val="32"/>
          <w:szCs w:val="32"/>
          <w:lang w:val="en-US" w:eastAsia="zh-CN"/>
        </w:rPr>
      </w:pPr>
    </w:p>
    <w:p>
      <w:pPr>
        <w:pStyle w:val="2"/>
        <w:rPr>
          <w:rFonts w:hint="eastAsia" w:ascii="仿宋_GB2312" w:hAnsi="Times New Roman" w:eastAsia="仿宋_GB2312" w:cs="Times New Roman"/>
          <w:sz w:val="32"/>
          <w:szCs w:val="32"/>
          <w:lang w:val="en-US" w:eastAsia="zh-CN"/>
        </w:rPr>
      </w:pPr>
    </w:p>
    <w:p>
      <w:pPr>
        <w:pStyle w:val="2"/>
        <w:rPr>
          <w:rFonts w:hint="eastAsia" w:ascii="仿宋_GB2312" w:hAnsi="Times New Roman" w:eastAsia="仿宋_GB2312" w:cs="Times New Roman"/>
          <w:sz w:val="32"/>
          <w:szCs w:val="32"/>
          <w:lang w:val="en-US" w:eastAsia="zh-CN"/>
        </w:rPr>
      </w:pPr>
    </w:p>
    <w:p>
      <w:pPr>
        <w:pStyle w:val="2"/>
        <w:rPr>
          <w:rFonts w:hint="eastAsia" w:ascii="仿宋_GB2312" w:hAnsi="Times New Roman" w:eastAsia="仿宋_GB2312" w:cs="Times New Roman"/>
          <w:sz w:val="32"/>
          <w:szCs w:val="32"/>
          <w:lang w:val="en-US" w:eastAsia="zh-CN"/>
        </w:rPr>
      </w:pPr>
    </w:p>
    <w:p>
      <w:pPr>
        <w:spacing w:line="240" w:lineRule="auto"/>
        <w:jc w:val="center"/>
        <w:rPr>
          <w:rFonts w:hint="eastAsia" w:ascii="仿宋_GB2312" w:hAnsi="Times New Roman" w:eastAsia="仿宋_GB2312" w:cs="Times New Roman"/>
          <w:b/>
          <w:bCs/>
          <w:sz w:val="30"/>
          <w:szCs w:val="30"/>
          <w:lang w:eastAsia="zh-CN"/>
        </w:rPr>
      </w:pPr>
    </w:p>
    <w:p>
      <w:pPr>
        <w:spacing w:line="240" w:lineRule="auto"/>
        <w:jc w:val="center"/>
        <w:rPr>
          <w:rFonts w:hint="eastAsia" w:ascii="仿宋_GB2312" w:hAnsi="Times New Roman" w:eastAsia="仿宋_GB2312" w:cs="Times New Roman"/>
          <w:b/>
          <w:bCs/>
          <w:sz w:val="30"/>
          <w:szCs w:val="30"/>
          <w:lang w:eastAsia="zh-CN"/>
        </w:rPr>
      </w:pPr>
      <w:r>
        <w:rPr>
          <w:rFonts w:hint="eastAsia" w:ascii="仿宋_GB2312" w:hAnsi="Times New Roman" w:eastAsia="仿宋_GB2312" w:cs="Times New Roman"/>
          <w:b/>
          <w:bCs/>
          <w:sz w:val="30"/>
          <w:szCs w:val="30"/>
          <w:lang w:eastAsia="zh-CN"/>
        </w:rPr>
        <w:t>莆田</w:t>
      </w:r>
      <w:r>
        <w:rPr>
          <w:rFonts w:hint="eastAsia" w:ascii="仿宋_GB2312" w:hAnsi="Times New Roman" w:eastAsia="仿宋_GB2312" w:cs="Times New Roman"/>
          <w:b/>
          <w:bCs/>
          <w:sz w:val="30"/>
          <w:szCs w:val="30"/>
        </w:rPr>
        <w:t>市2023年</w:t>
      </w:r>
      <w:r>
        <w:rPr>
          <w:rFonts w:hint="eastAsia" w:ascii="仿宋_GB2312" w:hAnsi="Times New Roman" w:eastAsia="仿宋_GB2312" w:cs="Times New Roman"/>
          <w:b/>
          <w:bCs/>
          <w:sz w:val="30"/>
          <w:szCs w:val="30"/>
          <w:lang w:val="en-US" w:eastAsia="zh-CN"/>
        </w:rPr>
        <w:t>11月</w:t>
      </w:r>
      <w:r>
        <w:rPr>
          <w:rFonts w:hint="eastAsia" w:ascii="仿宋_GB2312" w:hAnsi="Times New Roman" w:eastAsia="仿宋_GB2312" w:cs="Times New Roman"/>
          <w:b/>
          <w:bCs/>
          <w:sz w:val="30"/>
          <w:szCs w:val="30"/>
          <w:lang w:eastAsia="zh-CN"/>
        </w:rPr>
        <w:t>水</w:t>
      </w:r>
      <w:r>
        <w:rPr>
          <w:rFonts w:hint="eastAsia" w:ascii="仿宋_GB2312" w:hAnsi="Times New Roman" w:eastAsia="仿宋_GB2312" w:cs="Times New Roman"/>
          <w:b/>
          <w:bCs/>
          <w:sz w:val="30"/>
          <w:szCs w:val="30"/>
        </w:rPr>
        <w:t>环境质量</w:t>
      </w:r>
      <w:r>
        <w:rPr>
          <w:rFonts w:hint="eastAsia" w:ascii="仿宋_GB2312" w:hAnsi="Times New Roman" w:eastAsia="仿宋_GB2312" w:cs="Times New Roman"/>
          <w:b/>
          <w:bCs/>
          <w:sz w:val="30"/>
          <w:szCs w:val="30"/>
          <w:lang w:eastAsia="zh-CN"/>
        </w:rPr>
        <w:t>监测任务实验室分析</w:t>
      </w:r>
      <w:r>
        <w:rPr>
          <w:rFonts w:hint="eastAsia" w:ascii="仿宋_GB2312" w:hAnsi="仿宋_GB2312" w:eastAsia="仿宋_GB2312" w:cs="仿宋_GB2312"/>
          <w:b/>
          <w:bCs/>
          <w:sz w:val="30"/>
          <w:szCs w:val="30"/>
          <w:vertAlign w:val="baseline"/>
          <w:lang w:eastAsia="zh-CN"/>
        </w:rPr>
        <w:t>项目汇总表</w:t>
      </w:r>
    </w:p>
    <w:tbl>
      <w:tblPr>
        <w:tblStyle w:val="9"/>
        <w:tblpPr w:leftFromText="180" w:rightFromText="180" w:vertAnchor="page" w:horzAnchor="page" w:tblpX="1965" w:tblpY="2959"/>
        <w:tblOverlap w:val="never"/>
        <w:tblW w:w="484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73"/>
        <w:gridCol w:w="4083"/>
        <w:gridCol w:w="1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17" w:type="pct"/>
            <w:noWrap w:val="0"/>
            <w:vAlign w:val="center"/>
          </w:tcPr>
          <w:p>
            <w:pPr>
              <w:spacing w:line="240" w:lineRule="auto"/>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项目</w:t>
            </w:r>
          </w:p>
        </w:tc>
        <w:tc>
          <w:tcPr>
            <w:tcW w:w="2470" w:type="pct"/>
            <w:noWrap w:val="0"/>
            <w:vAlign w:val="center"/>
          </w:tcPr>
          <w:p>
            <w:pPr>
              <w:spacing w:line="240" w:lineRule="auto"/>
              <w:jc w:val="center"/>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lang w:eastAsia="zh-CN"/>
              </w:rPr>
              <w:t>监测项目个数统计情况</w:t>
            </w:r>
          </w:p>
        </w:tc>
        <w:tc>
          <w:tcPr>
            <w:tcW w:w="912" w:type="pct"/>
            <w:noWrap w:val="0"/>
            <w:vAlign w:val="center"/>
          </w:tcPr>
          <w:p>
            <w:pPr>
              <w:spacing w:line="240" w:lineRule="auto"/>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rPr>
              <w:t>氨氮</w:t>
            </w:r>
          </w:p>
        </w:tc>
        <w:tc>
          <w:tcPr>
            <w:tcW w:w="2470"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30个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4+2、主要20+2、水华2</w:t>
            </w:r>
            <w:r>
              <w:rPr>
                <w:rFonts w:hint="eastAsia" w:ascii="仿宋_GB2312" w:hAnsi="仿宋_GB2312" w:eastAsia="仿宋_GB2312" w:cs="仿宋_GB2312"/>
                <w:lang w:eastAsia="zh-CN"/>
              </w:rPr>
              <w:t>）</w:t>
            </w:r>
          </w:p>
        </w:tc>
        <w:tc>
          <w:tcPr>
            <w:tcW w:w="912" w:type="pct"/>
            <w:noWrap w:val="0"/>
            <w:vAlign w:val="top"/>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617" w:type="pct"/>
            <w:noWrap w:val="0"/>
            <w:vAlign w:val="center"/>
          </w:tcPr>
          <w:p>
            <w:pPr>
              <w:spacing w:line="240" w:lineRule="auto"/>
              <w:jc w:val="center"/>
              <w:rPr>
                <w:rFonts w:hint="eastAsia" w:ascii="仿宋_GB2312" w:hAnsi="仿宋_GB2312" w:eastAsia="仿宋_GB2312" w:cs="仿宋_GB2312"/>
                <w:lang w:eastAsia="zh-CN"/>
              </w:rPr>
            </w:pPr>
            <w:r>
              <w:rPr>
                <w:rFonts w:hint="eastAsia" w:ascii="仿宋_GB2312" w:hAnsi="仿宋_GB2312" w:eastAsia="仿宋_GB2312" w:cs="仿宋_GB2312"/>
              </w:rPr>
              <w:t>总磷</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30个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4+2、主要20+2、水华2</w:t>
            </w:r>
            <w:r>
              <w:rPr>
                <w:rFonts w:hint="eastAsia" w:ascii="仿宋_GB2312" w:hAnsi="仿宋_GB2312" w:eastAsia="仿宋_GB2312" w:cs="仿宋_GB2312"/>
                <w:lang w:eastAsia="zh-CN"/>
              </w:rPr>
              <w:t>）</w:t>
            </w:r>
          </w:p>
        </w:tc>
        <w:tc>
          <w:tcPr>
            <w:tcW w:w="912" w:type="pct"/>
            <w:noWrap w:val="0"/>
            <w:vAlign w:val="top"/>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rPr>
              <w:t>高锰酸盐指数</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30个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4+2、主要20+2、水华2</w:t>
            </w:r>
            <w:r>
              <w:rPr>
                <w:rFonts w:hint="eastAsia" w:ascii="仿宋_GB2312" w:hAnsi="仿宋_GB2312" w:eastAsia="仿宋_GB2312" w:cs="仿宋_GB2312"/>
                <w:lang w:eastAsia="zh-CN"/>
              </w:rPr>
              <w:t>）</w:t>
            </w:r>
          </w:p>
        </w:tc>
        <w:tc>
          <w:tcPr>
            <w:tcW w:w="912" w:type="pct"/>
            <w:noWrap w:val="0"/>
            <w:vAlign w:val="top"/>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617"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总氮</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30个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4+2、主要20+2、水华2</w:t>
            </w:r>
            <w:r>
              <w:rPr>
                <w:rFonts w:hint="eastAsia" w:ascii="仿宋_GB2312" w:hAnsi="仿宋_GB2312" w:eastAsia="仿宋_GB2312" w:cs="仿宋_GB2312"/>
                <w:lang w:eastAsia="zh-CN"/>
              </w:rPr>
              <w:t>）</w:t>
            </w:r>
          </w:p>
        </w:tc>
        <w:tc>
          <w:tcPr>
            <w:tcW w:w="912" w:type="pct"/>
            <w:noWrap w:val="0"/>
            <w:vAlign w:val="top"/>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五日生化需氧</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24个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4、主要20</w:t>
            </w:r>
            <w:r>
              <w:rPr>
                <w:rFonts w:hint="eastAsia" w:ascii="仿宋_GB2312" w:hAnsi="仿宋_GB2312" w:eastAsia="仿宋_GB2312" w:cs="仿宋_GB2312"/>
                <w:lang w:eastAsia="zh-CN"/>
              </w:rPr>
              <w:t>）</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617"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粪大肠菌群</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24个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4、主要20</w:t>
            </w:r>
            <w:r>
              <w:rPr>
                <w:rFonts w:hint="eastAsia" w:ascii="仿宋_GB2312" w:hAnsi="仿宋_GB2312" w:eastAsia="仿宋_GB2312" w:cs="仿宋_GB2312"/>
                <w:lang w:eastAsia="zh-CN"/>
              </w:rPr>
              <w:t>）</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617"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石油类</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24个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4、主要20</w:t>
            </w:r>
            <w:r>
              <w:rPr>
                <w:rFonts w:hint="eastAsia" w:ascii="仿宋_GB2312" w:hAnsi="仿宋_GB2312" w:eastAsia="仿宋_GB2312" w:cs="仿宋_GB2312"/>
                <w:lang w:eastAsia="zh-CN"/>
              </w:rPr>
              <w:t>）</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highlight w:val="none"/>
                <w:lang w:eastAsia="zh-CN"/>
              </w:rPr>
              <w:t>叶绿素</w:t>
            </w:r>
            <w:r>
              <w:rPr>
                <w:rFonts w:hint="eastAsia" w:ascii="仿宋_GB2312" w:hAnsi="仿宋_GB2312" w:eastAsia="仿宋_GB2312" w:cs="仿宋_GB2312"/>
                <w:highlight w:val="none"/>
                <w:lang w:val="en-US" w:eastAsia="zh-CN"/>
              </w:rPr>
              <w:t>a</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15个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4+2、主要3+2、水华2</w:t>
            </w:r>
            <w:r>
              <w:rPr>
                <w:rFonts w:hint="eastAsia" w:ascii="仿宋_GB2312" w:hAnsi="仿宋_GB2312" w:eastAsia="仿宋_GB2312" w:cs="仿宋_GB2312"/>
                <w:lang w:eastAsia="zh-CN"/>
              </w:rPr>
              <w:t>）</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rPr>
              <w:t>表</w:t>
            </w:r>
            <w:r>
              <w:rPr>
                <w:rFonts w:hint="eastAsia" w:ascii="仿宋_GB2312" w:hAnsi="仿宋_GB2312" w:eastAsia="仿宋_GB2312" w:cs="仿宋_GB2312"/>
                <w:lang w:val="en-US" w:eastAsia="zh-CN"/>
              </w:rPr>
              <w:t>1剩下的15</w:t>
            </w:r>
            <w:r>
              <w:rPr>
                <w:rFonts w:hint="eastAsia" w:ascii="仿宋_GB2312" w:hAnsi="仿宋_GB2312" w:eastAsia="仿宋_GB2312" w:cs="仿宋_GB2312"/>
              </w:rPr>
              <w:t>项</w:t>
            </w:r>
            <w:r>
              <w:rPr>
                <w:rFonts w:hint="eastAsia" w:ascii="仿宋_GB2312" w:hAnsi="仿宋_GB2312" w:eastAsia="仿宋_GB2312" w:cs="仿宋_GB2312"/>
                <w:lang w:val="en-US" w:eastAsia="zh-CN"/>
              </w:rPr>
              <w:t>*</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28个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4+2、主要20+2</w:t>
            </w:r>
            <w:r>
              <w:rPr>
                <w:rFonts w:hint="eastAsia" w:ascii="仿宋_GB2312" w:hAnsi="仿宋_GB2312" w:eastAsia="仿宋_GB2312" w:cs="仿宋_GB2312"/>
                <w:lang w:eastAsia="zh-CN"/>
              </w:rPr>
              <w:t>）</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lang w:eastAsia="zh-CN"/>
              </w:rPr>
              <w:t>表</w:t>
            </w:r>
            <w:r>
              <w:rPr>
                <w:rFonts w:hint="eastAsia" w:ascii="仿宋_GB2312" w:hAnsi="仿宋_GB2312" w:eastAsia="仿宋_GB2312" w:cs="仿宋_GB2312"/>
                <w:lang w:val="en-US" w:eastAsia="zh-CN"/>
              </w:rPr>
              <w:t>2的5项*</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6个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617" w:type="pct"/>
            <w:noWrap w:val="0"/>
            <w:vAlign w:val="center"/>
          </w:tcPr>
          <w:p>
            <w:pPr>
              <w:spacing w:line="240" w:lineRule="auto"/>
              <w:jc w:val="center"/>
              <w:rPr>
                <w:rFonts w:hint="eastAsia" w:ascii="仿宋_GB2312" w:hAnsi="仿宋_GB2312" w:eastAsia="仿宋_GB2312" w:cs="仿宋_GB2312"/>
                <w:lang w:val="en-US" w:eastAsia="zh-CN"/>
              </w:rPr>
            </w:pPr>
            <w:r>
              <w:rPr>
                <w:rFonts w:hint="eastAsia" w:ascii="仿宋_GB2312" w:hAnsi="仿宋_GB2312" w:eastAsia="仿宋_GB2312" w:cs="仿宋_GB2312"/>
              </w:rPr>
              <w:t>表3的优选特定项</w:t>
            </w:r>
            <w:r>
              <w:rPr>
                <w:rFonts w:hint="eastAsia" w:ascii="仿宋_GB2312" w:hAnsi="仿宋_GB2312" w:eastAsia="仿宋_GB2312" w:cs="仿宋_GB2312"/>
                <w:lang w:eastAsia="zh-CN"/>
              </w:rPr>
              <w:t>目</w:t>
            </w:r>
            <w:r>
              <w:rPr>
                <w:rFonts w:hint="eastAsia" w:ascii="仿宋_GB2312" w:hAnsi="仿宋_GB2312" w:eastAsia="仿宋_GB2312" w:cs="仿宋_GB2312"/>
                <w:lang w:val="en-US" w:eastAsia="zh-CN"/>
              </w:rPr>
              <w:t>33项*</w:t>
            </w:r>
          </w:p>
        </w:tc>
        <w:tc>
          <w:tcPr>
            <w:tcW w:w="2470" w:type="pct"/>
            <w:noWrap w:val="0"/>
            <w:vAlign w:val="center"/>
          </w:tcPr>
          <w:p>
            <w:pPr>
              <w:spacing w:line="240" w:lineRule="auto"/>
              <w:jc w:val="center"/>
              <w:rPr>
                <w:rFonts w:hint="eastAsia" w:ascii="仿宋_GB2312" w:hAnsi="仿宋_GB2312" w:eastAsia="仿宋_GB2312" w:cs="仿宋_GB2312"/>
              </w:rPr>
            </w:pPr>
            <w:r>
              <w:rPr>
                <w:rFonts w:hint="eastAsia" w:ascii="仿宋_GB2312" w:hAnsi="仿宋_GB2312" w:eastAsia="仿宋_GB2312" w:cs="仿宋_GB2312"/>
                <w:lang w:val="en-US" w:eastAsia="zh-CN"/>
              </w:rPr>
              <w:t>6个</w:t>
            </w:r>
            <w:r>
              <w:rPr>
                <w:rFonts w:hint="eastAsia" w:ascii="仿宋_GB2312" w:hAnsi="仿宋_GB2312" w:eastAsia="仿宋_GB2312" w:cs="仿宋_GB2312"/>
                <w:lang w:eastAsia="zh-CN"/>
              </w:rPr>
              <w:t>（集</w:t>
            </w:r>
            <w:r>
              <w:rPr>
                <w:rFonts w:hint="eastAsia" w:ascii="仿宋_GB2312" w:hAnsi="仿宋_GB2312" w:eastAsia="仿宋_GB2312" w:cs="仿宋_GB2312"/>
                <w:lang w:val="en-US" w:eastAsia="zh-CN"/>
              </w:rPr>
              <w:t>4+2）</w:t>
            </w:r>
          </w:p>
        </w:tc>
        <w:tc>
          <w:tcPr>
            <w:tcW w:w="912" w:type="pct"/>
            <w:noWrap w:val="0"/>
            <w:vAlign w:val="center"/>
          </w:tcPr>
          <w:p>
            <w:pPr>
              <w:spacing w:line="240" w:lineRule="auto"/>
              <w:jc w:val="center"/>
              <w:rPr>
                <w:rFonts w:hint="eastAsia"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1" w:hRule="atLeast"/>
          <w:jc w:val="center"/>
        </w:trPr>
        <w:tc>
          <w:tcPr>
            <w:tcW w:w="5000" w:type="pct"/>
            <w:gridSpan w:val="3"/>
            <w:noWrap w:val="0"/>
            <w:vAlign w:val="top"/>
          </w:tcPr>
          <w:p>
            <w:pPr>
              <w:ind w:left="840" w:hanging="840" w:hangingChars="400"/>
              <w:rPr>
                <w:rFonts w:hint="eastAsia" w:ascii="仿宋_GB2312" w:hAnsi="仿宋_GB2312" w:eastAsia="仿宋_GB2312" w:cs="仿宋_GB2312"/>
                <w:lang w:eastAsia="zh-CN"/>
              </w:rPr>
            </w:pPr>
            <w:r>
              <w:rPr>
                <w:rFonts w:hint="eastAsia" w:ascii="仿宋_GB2312" w:hAnsi="仿宋_GB2312" w:eastAsia="仿宋_GB2312" w:cs="仿宋_GB2312"/>
                <w:lang w:eastAsia="zh-CN"/>
              </w:rPr>
              <w:t>备注：</w:t>
            </w:r>
            <w:r>
              <w:rPr>
                <w:rFonts w:hint="eastAsia" w:ascii="仿宋_GB2312" w:hAnsi="仿宋_GB2312" w:eastAsia="仿宋_GB2312" w:cs="仿宋_GB2312"/>
                <w:lang w:val="en-US" w:eastAsia="zh-CN"/>
              </w:rPr>
              <w:t>1.</w:t>
            </w:r>
            <w:r>
              <w:rPr>
                <w:rFonts w:hint="eastAsia" w:ascii="仿宋_GB2312" w:hAnsi="仿宋_GB2312" w:eastAsia="仿宋_GB2312" w:cs="仿宋_GB2312"/>
              </w:rPr>
              <w:t>《地表水环境质量标准》（GB3838-2002）</w:t>
            </w:r>
            <w:r>
              <w:rPr>
                <w:rFonts w:hint="eastAsia" w:ascii="仿宋_GB2312" w:hAnsi="仿宋_GB2312" w:eastAsia="仿宋_GB2312" w:cs="仿宋_GB2312"/>
                <w:lang w:eastAsia="zh-CN"/>
              </w:rPr>
              <w:t>表</w:t>
            </w:r>
            <w:r>
              <w:rPr>
                <w:rFonts w:hint="eastAsia" w:ascii="仿宋_GB2312" w:hAnsi="仿宋_GB2312" w:eastAsia="仿宋_GB2312" w:cs="仿宋_GB2312"/>
                <w:lang w:val="en-US" w:eastAsia="zh-CN"/>
              </w:rPr>
              <w:t>1中的15</w:t>
            </w:r>
            <w:r>
              <w:rPr>
                <w:rFonts w:hint="eastAsia" w:ascii="仿宋_GB2312" w:hAnsi="仿宋_GB2312" w:eastAsia="仿宋_GB2312" w:cs="仿宋_GB2312"/>
              </w:rPr>
              <w:t>项</w:t>
            </w:r>
            <w:r>
              <w:rPr>
                <w:rFonts w:hint="eastAsia" w:ascii="仿宋_GB2312" w:hAnsi="仿宋_GB2312" w:eastAsia="仿宋_GB2312" w:cs="仿宋_GB2312"/>
                <w:lang w:eastAsia="zh-CN"/>
              </w:rPr>
              <w:t>为：</w:t>
            </w:r>
            <w:r>
              <w:rPr>
                <w:rFonts w:hint="eastAsia" w:ascii="仿宋_GB2312" w:hAnsi="仿宋_GB2312" w:eastAsia="仿宋_GB2312" w:cs="仿宋_GB2312"/>
                <w:lang w:val="en-US" w:eastAsia="zh-CN"/>
              </w:rPr>
              <w:t>化学需氧量、铜、锌、氟化物、硒、砷、汞、镉、六价铬、铅、氰化物、挥发酚、阴离子表面活性剂、硫化物；</w:t>
            </w:r>
            <w:r>
              <w:rPr>
                <w:rFonts w:hint="eastAsia" w:ascii="仿宋_GB2312" w:hAnsi="仿宋_GB2312" w:eastAsia="仿宋_GB2312" w:cs="仿宋_GB2312"/>
                <w:lang w:eastAsia="zh-CN"/>
              </w:rPr>
              <w:t>表</w:t>
            </w:r>
            <w:r>
              <w:rPr>
                <w:rFonts w:hint="eastAsia" w:ascii="仿宋_GB2312" w:hAnsi="仿宋_GB2312" w:eastAsia="仿宋_GB2312" w:cs="仿宋_GB2312"/>
                <w:lang w:val="en-US" w:eastAsia="zh-CN"/>
              </w:rPr>
              <w:t>2中5项为：</w:t>
            </w:r>
            <w:r>
              <w:rPr>
                <w:rFonts w:hint="eastAsia" w:ascii="仿宋_GB2312" w:hAnsi="仿宋_GB2312" w:eastAsia="仿宋_GB2312" w:cs="仿宋_GB2312"/>
                <w:lang w:eastAsia="zh-CN"/>
              </w:rPr>
              <w:t>硫酸盐、氯化物、硝酸盐、铁、锰；表</w:t>
            </w:r>
            <w:r>
              <w:rPr>
                <w:rFonts w:hint="eastAsia" w:ascii="仿宋_GB2312" w:hAnsi="仿宋_GB2312" w:eastAsia="仿宋_GB2312" w:cs="仿宋_GB2312"/>
                <w:lang w:val="en-US" w:eastAsia="zh-CN"/>
              </w:rPr>
              <w:t>3中33特定项</w:t>
            </w:r>
            <w:r>
              <w:rPr>
                <w:rFonts w:hint="eastAsia" w:ascii="仿宋_GB2312" w:hAnsi="仿宋_GB2312" w:eastAsia="仿宋_GB2312" w:cs="仿宋_GB2312"/>
              </w:rPr>
              <w:t>包括：三氯甲烷、四氯化碳、三氯乙烯、四氯乙烯、甲醛、苯、甲苯、乙苯、二甲苯、苯乙烯、异丙苯、氯苯、1,2-二氯苯、1,4-二氯苯、三氯苯、硝基苯、二硝基苯、硝基氯苯、邻苯二甲酸二丁酯、邻苯二甲酸二(2-乙基己基）酯、滴滴涕、林丹、阿特拉津、苯并(a)芘、钼、钴、铍、硼、锑、镍、钡、钒、铊</w:t>
            </w:r>
            <w:r>
              <w:rPr>
                <w:rFonts w:hint="eastAsia" w:ascii="仿宋_GB2312" w:hAnsi="仿宋_GB2312" w:eastAsia="仿宋_GB2312" w:cs="仿宋_GB2312"/>
                <w:lang w:eastAsia="zh-CN"/>
              </w:rPr>
              <w:t>等。</w:t>
            </w:r>
          </w:p>
          <w:p>
            <w:pPr>
              <w:ind w:left="840" w:leftChars="300" w:hanging="210" w:hangingChars="1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2.集为：</w:t>
            </w:r>
            <w:r>
              <w:rPr>
                <w:rFonts w:hint="eastAsia" w:ascii="仿宋_GB2312" w:hAnsi="仿宋_GB2312" w:eastAsia="仿宋_GB2312" w:cs="仿宋_GB2312"/>
              </w:rPr>
              <w:t>集中式饮用水水源地</w:t>
            </w:r>
            <w:r>
              <w:rPr>
                <w:rFonts w:hint="eastAsia" w:ascii="仿宋_GB2312" w:hAnsi="仿宋_GB2312" w:eastAsia="仿宋_GB2312" w:cs="仿宋_GB2312"/>
                <w:lang w:eastAsia="zh-CN"/>
              </w:rPr>
              <w:t>监测；</w:t>
            </w:r>
            <w:r>
              <w:rPr>
                <w:rFonts w:hint="eastAsia" w:ascii="仿宋_GB2312" w:hAnsi="仿宋_GB2312" w:eastAsia="仿宋_GB2312" w:cs="仿宋_GB2312"/>
                <w:lang w:val="en-US" w:eastAsia="zh-CN"/>
              </w:rPr>
              <w:t>主要为：</w:t>
            </w:r>
            <w:r>
              <w:rPr>
                <w:rFonts w:hint="eastAsia" w:ascii="仿宋_GB2312" w:hAnsi="仿宋_GB2312" w:eastAsia="仿宋_GB2312" w:cs="仿宋_GB2312"/>
                <w:lang w:eastAsia="zh-CN"/>
              </w:rPr>
              <w:t>主要流域</w:t>
            </w:r>
            <w:r>
              <w:rPr>
                <w:rFonts w:hint="eastAsia" w:ascii="仿宋_GB2312" w:hAnsi="仿宋_GB2312" w:eastAsia="仿宋_GB2312" w:cs="仿宋_GB2312"/>
              </w:rPr>
              <w:t>水质</w:t>
            </w:r>
            <w:r>
              <w:rPr>
                <w:rFonts w:hint="eastAsia" w:ascii="仿宋_GB2312" w:hAnsi="仿宋_GB2312" w:eastAsia="仿宋_GB2312" w:cs="仿宋_GB2312"/>
                <w:lang w:eastAsia="zh-CN"/>
              </w:rPr>
              <w:t>监测；</w:t>
            </w:r>
            <w:r>
              <w:rPr>
                <w:rFonts w:hint="eastAsia" w:ascii="仿宋_GB2312" w:hAnsi="仿宋_GB2312" w:eastAsia="仿宋_GB2312" w:cs="仿宋_GB2312"/>
                <w:lang w:val="en-US" w:eastAsia="zh-CN"/>
              </w:rPr>
              <w:t>水华为：</w:t>
            </w:r>
            <w:r>
              <w:rPr>
                <w:rFonts w:hint="eastAsia" w:ascii="仿宋_GB2312" w:hAnsi="仿宋_GB2312" w:eastAsia="仿宋_GB2312" w:cs="仿宋_GB2312"/>
              </w:rPr>
              <w:t>湖库型饮水水源地藻类水华预警监测</w:t>
            </w:r>
            <w:r>
              <w:rPr>
                <w:rFonts w:hint="eastAsia" w:ascii="仿宋_GB2312" w:hAnsi="仿宋_GB2312" w:eastAsia="仿宋_GB2312" w:cs="仿宋_GB2312"/>
                <w:lang w:eastAsia="zh-CN"/>
              </w:rPr>
              <w:t>。</w:t>
            </w:r>
          </w:p>
          <w:p>
            <w:pPr>
              <w:ind w:firstLine="630" w:firstLineChars="3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3.“+”后面是现场平行和空白</w:t>
            </w:r>
          </w:p>
        </w:tc>
      </w:tr>
    </w:tbl>
    <w:p>
      <w:pPr>
        <w:pStyle w:val="6"/>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520" w:lineRule="exact"/>
        <w:ind w:left="0" w:right="0" w:firstLine="0"/>
        <w:jc w:val="both"/>
        <w:textAlignment w:val="auto"/>
        <w:rPr>
          <w:rFonts w:hint="eastAsia" w:ascii="FangSong_GB2312" w:hAnsi="FangSong_GB2312" w:eastAsia="FangSong_GB2312" w:cs="FangSong_GB2312"/>
          <w:kern w:val="2"/>
          <w:sz w:val="32"/>
          <w:szCs w:val="24"/>
          <w:highlight w:val="none"/>
          <w:lang w:val="en-US" w:eastAsia="zh-CN" w:bidi="ar-SA"/>
        </w:rPr>
      </w:pPr>
    </w:p>
    <w:p>
      <w:pPr>
        <w:keepNext w:val="0"/>
        <w:keepLines w:val="0"/>
        <w:pageBreakBefore w:val="0"/>
        <w:kinsoku/>
        <w:wordWrap/>
        <w:overflowPunct/>
        <w:topLinePunct w:val="0"/>
        <w:autoSpaceDE/>
        <w:autoSpaceDN/>
        <w:bidi w:val="0"/>
        <w:adjustRightInd/>
        <w:snapToGrid/>
        <w:spacing w:beforeAutospacing="0" w:afterAutospacing="0" w:line="520" w:lineRule="exact"/>
        <w:textAlignment w:val="auto"/>
        <w:rPr>
          <w:highlight w:val="none"/>
        </w:rPr>
        <w:sectPr>
          <w:pgSz w:w="11906" w:h="16838"/>
          <w:pgMar w:top="1440" w:right="1800" w:bottom="1440" w:left="1800" w:header="851" w:footer="992" w:gutter="0"/>
          <w:cols w:space="425" w:num="1"/>
          <w:docGrid w:type="lines" w:linePitch="312" w:charSpace="0"/>
        </w:sectPr>
      </w:pPr>
    </w:p>
    <w:p>
      <w:pPr>
        <w:pStyle w:val="6"/>
        <w:keepNext w:val="0"/>
        <w:keepLines w:val="0"/>
        <w:widowControl/>
        <w:suppressLineNumbers w:val="0"/>
        <w:shd w:val="clear" w:fill="FFFFFF"/>
        <w:spacing w:before="0" w:beforeAutospacing="1" w:after="0" w:afterAutospacing="1"/>
        <w:ind w:left="0" w:right="0" w:firstLine="0"/>
        <w:jc w:val="both"/>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附件2</w:t>
      </w:r>
    </w:p>
    <w:p>
      <w:pPr>
        <w:jc w:val="center"/>
        <w:rPr>
          <w:rFonts w:cs="宋体"/>
          <w:b/>
          <w:bCs/>
          <w:sz w:val="30"/>
          <w:szCs w:val="30"/>
        </w:rPr>
      </w:pPr>
      <w:r>
        <w:rPr>
          <w:rFonts w:hint="eastAsia" w:cs="宋体"/>
          <w:b/>
          <w:bCs/>
          <w:sz w:val="32"/>
          <w:szCs w:val="32"/>
        </w:rPr>
        <w:t>综合评分标准</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482" w:firstLineChars="200"/>
        <w:jc w:val="left"/>
        <w:textAlignment w:val="auto"/>
        <w:rPr>
          <w:rFonts w:hint="eastAsia" w:ascii="Times New Roman" w:hAnsi="Times New Roman" w:eastAsia="仿宋_GB2312" w:cs="Times New Roman"/>
          <w:b/>
          <w:bCs/>
          <w:sz w:val="24"/>
          <w:szCs w:val="24"/>
          <w:lang w:val="en-US" w:eastAsia="zh-CN"/>
        </w:rPr>
      </w:pPr>
      <w:r>
        <w:rPr>
          <w:rFonts w:hint="eastAsia" w:ascii="Times New Roman" w:hAnsi="Times New Roman" w:eastAsia="仿宋_GB2312" w:cs="Times New Roman"/>
          <w:b/>
          <w:bCs/>
          <w:sz w:val="24"/>
          <w:szCs w:val="24"/>
          <w:lang w:val="en-US" w:eastAsia="zh-CN"/>
        </w:rPr>
        <w:t>①价格项满分为</w:t>
      </w:r>
      <w:r>
        <w:rPr>
          <w:rFonts w:hint="eastAsia" w:ascii="Times New Roman" w:hAnsi="Times New Roman" w:eastAsia="仿宋_GB2312" w:cs="Times New Roman"/>
          <w:b/>
          <w:bCs/>
          <w:sz w:val="24"/>
          <w:szCs w:val="24"/>
          <w:highlight w:val="none"/>
          <w:lang w:val="en-US" w:eastAsia="zh-CN"/>
        </w:rPr>
        <w:t>15.0</w:t>
      </w:r>
      <w:r>
        <w:rPr>
          <w:rFonts w:hint="eastAsia" w:ascii="Times New Roman" w:hAnsi="Times New Roman" w:eastAsia="仿宋_GB2312" w:cs="Times New Roman"/>
          <w:b/>
          <w:bCs/>
          <w:sz w:val="24"/>
          <w:szCs w:val="24"/>
          <w:lang w:val="en-US" w:eastAsia="zh-CN"/>
        </w:rPr>
        <w:t>分。</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 xml:space="preserve"> </w:t>
      </w:r>
    </w:p>
    <w:tbl>
      <w:tblPr>
        <w:tblStyle w:val="8"/>
        <w:tblW w:w="8716" w:type="dxa"/>
        <w:tblCellSpacing w:w="0" w:type="dxa"/>
        <w:tblInd w:w="-439"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968"/>
        <w:gridCol w:w="602"/>
        <w:gridCol w:w="7146"/>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16" w:hRule="atLeast"/>
          <w:tblHeader/>
          <w:tblCellSpacing w:w="0" w:type="dxa"/>
        </w:trPr>
        <w:tc>
          <w:tcPr>
            <w:tcW w:w="96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项目</w:t>
            </w:r>
          </w:p>
        </w:tc>
        <w:tc>
          <w:tcPr>
            <w:tcW w:w="60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评标分值</w:t>
            </w:r>
          </w:p>
        </w:tc>
        <w:tc>
          <w:tcPr>
            <w:tcW w:w="71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评标方法描述</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0" w:hRule="atLeast"/>
          <w:tblCellSpacing w:w="0" w:type="dxa"/>
        </w:trPr>
        <w:tc>
          <w:tcPr>
            <w:tcW w:w="96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4"/>
                <w:szCs w:val="24"/>
                <w:highlight w:val="none"/>
                <w:lang w:val="en-US" w:eastAsia="zh-CN"/>
              </w:rPr>
              <w:t>价格</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color w:val="auto"/>
                <w:sz w:val="24"/>
                <w:szCs w:val="24"/>
                <w:highlight w:val="none"/>
                <w:lang w:val="en-US" w:eastAsia="zh-CN"/>
              </w:rPr>
              <w:t>部分</w:t>
            </w:r>
          </w:p>
        </w:tc>
        <w:tc>
          <w:tcPr>
            <w:tcW w:w="60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15.0</w:t>
            </w:r>
          </w:p>
        </w:tc>
        <w:tc>
          <w:tcPr>
            <w:tcW w:w="71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1.满足采购文件要求且投标价格（或者最终价格）最低的投标报价为评标基准价，其价格分为满分。</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2.各投标人的价格得分按以下方式得出：</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投标报价得分=（评标基准价／投标报价）×价格权值×100</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其中，价格权值为15%，计算分数时四舍五入取小数点后两位。</w:t>
            </w: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highlight w:val="none"/>
                <w:lang w:val="en-US" w:eastAsia="zh-CN"/>
              </w:rPr>
            </w:pPr>
            <w:r>
              <w:rPr>
                <w:rFonts w:hint="eastAsia" w:ascii="宋体" w:hAnsi="宋体" w:eastAsia="宋体" w:cs="宋体"/>
                <w:color w:val="000000"/>
                <w:sz w:val="24"/>
                <w:szCs w:val="24"/>
                <w:highlight w:val="none"/>
                <w:lang w:val="en-US" w:eastAsia="zh-CN"/>
              </w:rPr>
              <w:t>3.</w:t>
            </w:r>
            <w:r>
              <w:rPr>
                <w:rFonts w:hint="eastAsia" w:ascii="Times New Roman" w:hAnsi="Times New Roman" w:eastAsia="仿宋_GB2312" w:cs="Times New Roman"/>
                <w:sz w:val="24"/>
                <w:szCs w:val="24"/>
                <w:highlight w:val="none"/>
                <w:lang w:val="en-US" w:eastAsia="zh-CN"/>
              </w:rPr>
              <w:t>投标报价超出限价的投标无效。</w:t>
            </w:r>
          </w:p>
        </w:tc>
      </w:tr>
    </w:tbl>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480" w:firstLineChars="200"/>
        <w:jc w:val="left"/>
        <w:textAlignment w:val="auto"/>
        <w:rPr>
          <w:rFonts w:hint="eastAsia" w:ascii="Times New Roman" w:hAnsi="Times New Roman" w:eastAsia="仿宋_GB2312" w:cs="Times New Roman"/>
          <w:sz w:val="24"/>
          <w:szCs w:val="24"/>
          <w:lang w:val="en-US" w:eastAsia="zh-CN"/>
        </w:rPr>
      </w:pP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482" w:firstLineChars="200"/>
        <w:jc w:val="left"/>
        <w:textAlignment w:val="auto"/>
        <w:rPr>
          <w:rFonts w:hint="eastAsia" w:ascii="Times New Roman" w:hAnsi="Times New Roman" w:eastAsia="仿宋_GB2312" w:cs="Times New Roman"/>
          <w:b/>
          <w:bCs/>
          <w:sz w:val="24"/>
          <w:szCs w:val="24"/>
          <w:lang w:val="en-US" w:eastAsia="zh-CN"/>
        </w:rPr>
      </w:pPr>
      <w:r>
        <w:rPr>
          <w:rFonts w:hint="eastAsia" w:ascii="Times New Roman" w:hAnsi="Times New Roman" w:eastAsia="仿宋_GB2312" w:cs="Times New Roman"/>
          <w:b/>
          <w:bCs/>
          <w:sz w:val="24"/>
          <w:szCs w:val="24"/>
          <w:lang w:val="en-US" w:eastAsia="zh-CN"/>
        </w:rPr>
        <w:t>②技术项满分为65.0分。</w:t>
      </w:r>
    </w:p>
    <w:tbl>
      <w:tblPr>
        <w:tblStyle w:val="8"/>
        <w:tblW w:w="8704" w:type="dxa"/>
        <w:tblCellSpacing w:w="0" w:type="dxa"/>
        <w:tblInd w:w="-439"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966"/>
        <w:gridCol w:w="546"/>
        <w:gridCol w:w="719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857" w:hRule="atLeast"/>
          <w:tblHeader/>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项目</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评标分值</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评标方法描述</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970"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4"/>
                <w:szCs w:val="24"/>
                <w:highlight w:val="none"/>
                <w:lang w:val="en-US" w:eastAsia="zh-CN"/>
              </w:rPr>
              <w:t>1.技术响应情况</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4"/>
                <w:szCs w:val="24"/>
                <w:lang w:val="en-US" w:eastAsia="zh-CN"/>
              </w:rPr>
              <w:t>35.0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color w:val="auto"/>
                <w:sz w:val="24"/>
                <w:szCs w:val="24"/>
                <w:lang w:val="en-US" w:eastAsia="zh-CN"/>
              </w:rPr>
            </w:pPr>
            <w:r>
              <w:rPr>
                <w:rFonts w:hint="eastAsia" w:ascii="Times New Roman" w:hAnsi="Times New Roman" w:eastAsia="仿宋_GB2312" w:cs="Times New Roman"/>
                <w:color w:val="auto"/>
                <w:sz w:val="24"/>
                <w:szCs w:val="24"/>
                <w:lang w:val="en-US" w:eastAsia="zh-CN"/>
              </w:rPr>
              <w:t>根据投标人针对招标文件中“四、投标人资格要求”及“五、投标文件要求”中逐项响应情况进行评分，全部“无偏离”或“优于”的，得35.0分。每项“负偏离”一项扣3.5分，扣完为止； 投标人须填写详细的技术和服务要求响应表，评委依据招标文件、技术和服务要求响应表及提供佐证材料进行评分。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611"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color w:val="auto"/>
                <w:sz w:val="24"/>
                <w:szCs w:val="24"/>
                <w:lang w:val="en-US" w:eastAsia="zh-CN"/>
              </w:rPr>
            </w:pPr>
            <w:r>
              <w:rPr>
                <w:rFonts w:hint="eastAsia" w:ascii="Times New Roman" w:hAnsi="Times New Roman" w:eastAsia="仿宋_GB2312" w:cs="Times New Roman"/>
                <w:color w:val="auto"/>
                <w:sz w:val="24"/>
                <w:szCs w:val="24"/>
                <w:highlight w:val="none"/>
                <w:lang w:val="en-US" w:eastAsia="zh-CN"/>
              </w:rPr>
              <w:t>2.</w:t>
            </w:r>
            <w:r>
              <w:rPr>
                <w:rFonts w:hint="eastAsia" w:ascii="Times New Roman" w:hAnsi="Times New Roman" w:eastAsia="仿宋_GB2312" w:cs="Times New Roman"/>
                <w:color w:val="auto"/>
                <w:sz w:val="24"/>
                <w:szCs w:val="24"/>
                <w:lang w:val="en-US" w:eastAsia="zh-CN"/>
              </w:rPr>
              <w:t>工作</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color w:val="auto"/>
                <w:sz w:val="24"/>
                <w:szCs w:val="24"/>
                <w:lang w:val="en-US" w:eastAsia="zh-CN"/>
              </w:rPr>
            </w:pPr>
            <w:r>
              <w:rPr>
                <w:rFonts w:hint="eastAsia" w:ascii="Times New Roman" w:hAnsi="Times New Roman" w:eastAsia="仿宋_GB2312" w:cs="Times New Roman"/>
                <w:color w:val="auto"/>
                <w:sz w:val="24"/>
                <w:szCs w:val="24"/>
                <w:lang w:val="en-US" w:eastAsia="zh-CN"/>
              </w:rPr>
              <w:t>计划</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2.0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根据投标人针对项目制定的工作计划安排进行评议并打分：</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①工作计划安排全面、重点突出、分工明确、科学可行的得2.0分；</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②工作计划安排较完整，但总体内容可行、适用、科学合理的得1.0分；③工作计划安排过于简单的和未提供工作计划安排的不得分。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865"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kern w:val="2"/>
                <w:sz w:val="24"/>
                <w:szCs w:val="24"/>
                <w:lang w:val="en-US" w:eastAsia="zh-CN" w:bidi="ar-SA"/>
              </w:rPr>
              <w:t>3.</w:t>
            </w:r>
            <w:r>
              <w:rPr>
                <w:rFonts w:hint="eastAsia" w:ascii="Times New Roman" w:hAnsi="Times New Roman" w:eastAsia="仿宋_GB2312" w:cs="Times New Roman"/>
                <w:sz w:val="24"/>
                <w:szCs w:val="24"/>
                <w:lang w:val="en-US" w:eastAsia="zh-CN"/>
              </w:rPr>
              <w:t>质控</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方案</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3.0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根据投标人提供的检测项目质量控制方案，从检测结果准确可靠的质量保证与质量控制措施，以及结果超出控制范围的措施方案。进行评议并评分，方案完整合理有效的得3.0分，方案较完整较合理的得2.0分，方案一般的得1.0分，方案差的或未提供或所提供的与本项目无关的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829"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kern w:val="2"/>
                <w:sz w:val="24"/>
                <w:szCs w:val="24"/>
                <w:lang w:val="en-US" w:eastAsia="zh-CN" w:bidi="ar-SA"/>
              </w:rPr>
              <w:t>4.</w:t>
            </w:r>
            <w:r>
              <w:rPr>
                <w:rFonts w:hint="eastAsia" w:ascii="Times New Roman" w:hAnsi="Times New Roman" w:eastAsia="仿宋_GB2312" w:cs="Times New Roman"/>
                <w:sz w:val="24"/>
                <w:szCs w:val="24"/>
                <w:lang w:val="en-US" w:eastAsia="zh-CN"/>
              </w:rPr>
              <w:t>应对</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措施</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2.0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根据投标人针对本项目可能的问题解决方案（包括但不限于①监测过程中发生的问题拟采取的措施；②提供的监测数据发生错误时的应急解决方案；③对监测时可能发生的疑难问题分析到位且针对性解决方案）进行评分：方案内容全面，应对措施可靠、合理的得2.0分，方案包含以上所有内容但存在部分不适用的得1.0分；其余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252"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5.项目负责人</w:t>
            </w:r>
          </w:p>
        </w:tc>
        <w:tc>
          <w:tcPr>
            <w:tcW w:w="54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1.0</w:t>
            </w:r>
          </w:p>
        </w:tc>
        <w:tc>
          <w:tcPr>
            <w:tcW w:w="7192" w:type="dxa"/>
            <w:tcBorders>
              <w:top w:val="outset" w:color="auto" w:sz="6" w:space="0"/>
              <w:left w:val="outset" w:color="auto" w:sz="6" w:space="0"/>
              <w:bottom w:val="outset" w:color="auto" w:sz="6" w:space="0"/>
              <w:right w:val="outset" w:color="auto" w:sz="6" w:space="0"/>
            </w:tcBorders>
            <w:noWrap w:val="0"/>
            <w:vAlign w:val="top"/>
          </w:tcPr>
          <w:p>
            <w:pPr>
              <w:pStyle w:val="11"/>
              <w:jc w:val="left"/>
              <w:rPr>
                <w:rFonts w:hint="eastAsia"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highlight w:val="none"/>
                <w:lang w:val="en-US" w:eastAsia="zh-CN" w:bidi="ar-SA"/>
              </w:rPr>
              <w:t>投标人拟配备的本项目负责人是环境类、化学类相关专业的高级工程师职称的得1.0分，需提供职称证书及投标人为其在投标截止前六个月内（不含投标截止时间当月）任意一个月的缴纳的社保证明复印件，未按要求提供的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535"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color w:val="0000FF"/>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6.分析测试人员情况</w:t>
            </w:r>
          </w:p>
        </w:tc>
        <w:tc>
          <w:tcPr>
            <w:tcW w:w="54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color w:val="000000" w:themeColor="text1"/>
                <w:kern w:val="2"/>
                <w:sz w:val="24"/>
                <w:szCs w:val="24"/>
                <w:lang w:val="en-US" w:eastAsia="zh-CN" w:bidi="ar-SA"/>
                <w14:textFill>
                  <w14:solidFill>
                    <w14:schemeClr w14:val="tx1"/>
                  </w14:solidFill>
                </w14:textFill>
              </w:rPr>
              <w:t>3.0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pStyle w:val="11"/>
              <w:jc w:val="both"/>
              <w:rPr>
                <w:rFonts w:hint="eastAsia"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highlight w:val="none"/>
                <w:lang w:val="en-US" w:eastAsia="zh-CN" w:bidi="ar-SA"/>
              </w:rPr>
              <w:t>投标人拟为本项目投入的分析测试人员，具有环境类、化工类相关的中级职称，每提供一名得0.3分，总分3.0分。需提供职称证书及投标人为其在投标截止前六个月内任意一个月的（不含投标截止时间当月）社保缴交证明，并加盖公章，未按要求提供的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320"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lang w:val="en-US" w:eastAsia="zh-CN" w:bidi="ar-SA"/>
              </w:rPr>
              <w:t>7.方法能力响应</w:t>
            </w:r>
          </w:p>
        </w:tc>
        <w:tc>
          <w:tcPr>
            <w:tcW w:w="54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highlight w:val="none"/>
                <w:lang w:val="en-US" w:eastAsia="zh-CN" w:bidi="ar-SA"/>
              </w:rPr>
              <w:t>6.0</w:t>
            </w:r>
          </w:p>
          <w:p>
            <w:pPr>
              <w:pStyle w:val="11"/>
              <w:jc w:val="center"/>
              <w:rPr>
                <w:rFonts w:hint="eastAsia" w:ascii="Times New Roman" w:hAnsi="Times New Roman" w:eastAsia="仿宋_GB2312" w:cs="Times New Roman"/>
                <w:color w:val="auto"/>
                <w:kern w:val="2"/>
                <w:sz w:val="24"/>
                <w:szCs w:val="24"/>
                <w:highlight w:val="none"/>
                <w:lang w:val="en-US" w:eastAsia="zh-CN" w:bidi="ar-SA"/>
              </w:rPr>
            </w:pPr>
          </w:p>
        </w:tc>
        <w:tc>
          <w:tcPr>
            <w:tcW w:w="7192" w:type="dxa"/>
            <w:tcBorders>
              <w:top w:val="outset" w:color="auto" w:sz="6" w:space="0"/>
              <w:left w:val="outset" w:color="auto" w:sz="6" w:space="0"/>
              <w:bottom w:val="outset" w:color="auto" w:sz="6" w:space="0"/>
              <w:right w:val="outset" w:color="auto" w:sz="6" w:space="0"/>
            </w:tcBorders>
            <w:noWrap w:val="0"/>
            <w:vAlign w:val="center"/>
          </w:tcPr>
          <w:p>
            <w:pPr>
              <w:pStyle w:val="11"/>
              <w:jc w:val="left"/>
              <w:rPr>
                <w:rFonts w:hint="eastAsia"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highlight w:val="none"/>
                <w:lang w:val="en-US" w:eastAsia="zh-CN" w:bidi="ar-SA"/>
              </w:rPr>
              <w:t>投标人提供检验检测机构资质认定证书CMA及能力附表，其中水质重金属指标除了汞和砷使用原子荧光的方法外，其他的重金属指标采用《 65种元素的测定 电感耦合等离子体质谱法 HJ 700-2014》方法的得2.0分；三氯甲烷、四氯化碳、三氯乙烯和四氯乙烯指标采用《水质挥发性卤代烃的测定顶空气相色谱法HJ620-2011》方法的得2.0分；三氯苯指标采用《水质氯苯类化合物的测定气相色谱法  HJ 621-2011》方法的得2.0分；总分6.0分。注：提供资质证书及资质能力附表及列表响应（表格自拟）。</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716"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8.实验室体系运行有效保证</w:t>
            </w:r>
          </w:p>
        </w:tc>
        <w:tc>
          <w:tcPr>
            <w:tcW w:w="54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1.0</w:t>
            </w:r>
          </w:p>
        </w:tc>
        <w:tc>
          <w:tcPr>
            <w:tcW w:w="7192" w:type="dxa"/>
            <w:tcBorders>
              <w:top w:val="outset" w:color="auto" w:sz="6" w:space="0"/>
              <w:left w:val="outset" w:color="auto" w:sz="6" w:space="0"/>
              <w:bottom w:val="outset" w:color="auto" w:sz="6" w:space="0"/>
              <w:right w:val="outset" w:color="auto" w:sz="6" w:space="0"/>
            </w:tcBorders>
            <w:noWrap w:val="0"/>
            <w:vAlign w:val="top"/>
          </w:tcPr>
          <w:p>
            <w:pPr>
              <w:pStyle w:val="11"/>
              <w:jc w:val="left"/>
              <w:rPr>
                <w:rFonts w:hint="eastAsia"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highlight w:val="none"/>
                <w:lang w:val="en-US" w:eastAsia="zh-CN" w:bidi="ar-SA"/>
              </w:rPr>
              <w:t>为保证投标人实验室管理体系运行有效，确保检测结果准确可靠，投标人应为本项目配备检验检测机构资质认定内审员，每配备1名的得0.5分，总分1.0分。注:提供内审员证书以及投标截止时间前六个月（不含投标截止时间当月）任意一个</w:t>
            </w:r>
            <w:bookmarkStart w:id="0" w:name="_GoBack"/>
            <w:bookmarkEnd w:id="0"/>
            <w:r>
              <w:rPr>
                <w:rFonts w:hint="eastAsia" w:ascii="Times New Roman" w:hAnsi="Times New Roman" w:eastAsia="仿宋_GB2312" w:cs="Times New Roman"/>
                <w:color w:val="auto"/>
                <w:kern w:val="2"/>
                <w:sz w:val="24"/>
                <w:szCs w:val="24"/>
                <w:highlight w:val="none"/>
                <w:lang w:val="en-US" w:eastAsia="zh-CN" w:bidi="ar-SA"/>
              </w:rPr>
              <w:t>月由投标人为其缴纳社保的证明材料并加盖投标人公章，未提供的不得分。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378"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9.持证上岗人员情况</w:t>
            </w:r>
          </w:p>
        </w:tc>
        <w:tc>
          <w:tcPr>
            <w:tcW w:w="54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3.0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pStyle w:val="11"/>
              <w:jc w:val="left"/>
              <w:rPr>
                <w:rFonts w:hint="eastAsia" w:ascii="Times New Roman" w:hAnsi="Times New Roman" w:eastAsia="仿宋_GB2312" w:cs="Times New Roman"/>
                <w:color w:val="auto"/>
                <w:kern w:val="2"/>
                <w:sz w:val="24"/>
                <w:szCs w:val="24"/>
                <w:highlight w:val="none"/>
                <w:lang w:val="en-US" w:eastAsia="zh-CN" w:bidi="ar-SA"/>
              </w:rPr>
            </w:pPr>
            <w:r>
              <w:rPr>
                <w:rFonts w:hint="eastAsia" w:ascii="Times New Roman" w:hAnsi="Times New Roman" w:eastAsia="仿宋_GB2312" w:cs="Times New Roman"/>
                <w:color w:val="auto"/>
                <w:kern w:val="2"/>
                <w:sz w:val="24"/>
                <w:szCs w:val="24"/>
                <w:highlight w:val="none"/>
                <w:lang w:val="en-US" w:eastAsia="zh-CN" w:bidi="ar-SA"/>
              </w:rPr>
              <w:t>投标人具有的持证检测或监测人员培训合格证：持证人数25人（含25人）及以上得3.0分；持证人数15至24人（含15人）的得2.0分；持证人数小于15人的得1.0分，无持证人员不得分。投标人须提供：①省及及以上检测或监测行业协会检测或监测技术人员考核合格证的复印件或扫描件；②人员投标截止时间前六个月内任意一个月（不含投标截止时间的当月）由社保机构或税务部门出具的在投标人处缴纳社保的证明材料复印件，并加盖投标人公章，未按要求提供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46"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10.主要仪器设备配置方案</w:t>
            </w:r>
          </w:p>
        </w:tc>
        <w:tc>
          <w:tcPr>
            <w:tcW w:w="546"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color w:val="auto"/>
                <w:kern w:val="2"/>
                <w:sz w:val="24"/>
                <w:szCs w:val="24"/>
                <w:lang w:val="en-US" w:eastAsia="zh-CN" w:bidi="ar-SA"/>
              </w:rPr>
            </w:pPr>
            <w:r>
              <w:rPr>
                <w:rFonts w:hint="eastAsia" w:ascii="Times New Roman" w:hAnsi="Times New Roman" w:eastAsia="仿宋_GB2312" w:cs="Times New Roman"/>
                <w:color w:val="auto"/>
                <w:kern w:val="2"/>
                <w:sz w:val="24"/>
                <w:szCs w:val="24"/>
                <w:lang w:val="en-US" w:eastAsia="zh-CN" w:bidi="ar-SA"/>
              </w:rPr>
              <w:t>5.0</w:t>
            </w:r>
          </w:p>
        </w:tc>
        <w:tc>
          <w:tcPr>
            <w:tcW w:w="7192" w:type="dxa"/>
            <w:tcBorders>
              <w:top w:val="outset" w:color="auto" w:sz="6" w:space="0"/>
              <w:left w:val="outset" w:color="auto" w:sz="6" w:space="0"/>
              <w:bottom w:val="outset" w:color="auto" w:sz="6" w:space="0"/>
              <w:right w:val="outset" w:color="auto" w:sz="6" w:space="0"/>
            </w:tcBorders>
            <w:noWrap w:val="0"/>
            <w:vAlign w:val="top"/>
          </w:tcPr>
          <w:p>
            <w:pPr>
              <w:pStyle w:val="11"/>
              <w:jc w:val="left"/>
              <w:rPr>
                <w:rFonts w:hint="default"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投标人提供的实验室主要分析设备：配备离子色谱仪、紫外分光光度计、原子荧光光谱仪、原子吸收分光光度计、电感耦合等离子体质谱仪、气相色谱仪、气相色谱质谱联用仪的得5.0分，每缺1设备扣1.0分，扣完为止。注：投标人提供实验室设备原图及以投标人名义购置的发票扫描件和所提供的仪器设备有效期内的检定/校准证书的复印件，以上材料需加盖公章。</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384"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11.原始</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记录</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3.0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提供一份完整的检测报告原始记录复印件，包含采样记录（包括现场监测项目及水样采集保存情况）、样品流转记录、分析记录、质控记录等，由评委根据其完整性进行评议在0～3.0分之间进行评分。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570" w:hRule="atLeast"/>
          <w:tblCellSpacing w:w="0" w:type="dxa"/>
        </w:trPr>
        <w:tc>
          <w:tcPr>
            <w:tcW w:w="96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12.服务完成时间</w:t>
            </w:r>
          </w:p>
        </w:tc>
        <w:tc>
          <w:tcPr>
            <w:tcW w:w="546"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1.0</w:t>
            </w:r>
          </w:p>
        </w:tc>
        <w:tc>
          <w:tcPr>
            <w:tcW w:w="7192"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投标人承诺在收到样品后10个工作日提交正式的电子版和纸质版检测报告，并在提交报告后5个工作日内上传原始记录和检测报告至福建省厅监管平台得1.0分，未能承诺不得分。（投标人须提供承诺书）</w:t>
            </w:r>
          </w:p>
          <w:p>
            <w:pPr>
              <w:rPr>
                <w:rFonts w:hint="eastAsia" w:ascii="Times New Roman" w:hAnsi="Times New Roman" w:eastAsia="仿宋_GB2312" w:cs="Times New Roman"/>
                <w:kern w:val="2"/>
                <w:sz w:val="24"/>
                <w:szCs w:val="24"/>
                <w:lang w:val="en-US" w:eastAsia="zh-CN" w:bidi="ar-SA"/>
              </w:rPr>
            </w:pPr>
          </w:p>
        </w:tc>
      </w:tr>
    </w:tbl>
    <w:p>
      <w:pPr>
        <w:widowControl/>
        <w:spacing w:before="100" w:beforeAutospacing="1" w:after="100" w:afterAutospacing="1"/>
        <w:ind w:firstLine="241" w:firstLineChars="100"/>
        <w:jc w:val="left"/>
        <w:rPr>
          <w:rFonts w:ascii="宋体" w:hAnsi="宋体" w:eastAsia="宋体" w:cs="宋体"/>
          <w:b/>
          <w:bCs/>
          <w:kern w:val="0"/>
          <w:sz w:val="24"/>
          <w:szCs w:val="24"/>
        </w:rPr>
      </w:pPr>
      <w:r>
        <w:rPr>
          <w:rFonts w:hint="eastAsia" w:ascii="Times New Roman" w:hAnsi="Times New Roman" w:eastAsia="仿宋_GB2312" w:cs="Times New Roman"/>
          <w:b/>
          <w:bCs/>
          <w:sz w:val="24"/>
          <w:szCs w:val="24"/>
          <w:lang w:val="en-US" w:eastAsia="zh-CN"/>
        </w:rPr>
        <w:t>③商务项满分为20.0分。</w:t>
      </w:r>
    </w:p>
    <w:tbl>
      <w:tblPr>
        <w:tblStyle w:val="8"/>
        <w:tblW w:w="8674" w:type="dxa"/>
        <w:tblCellSpacing w:w="0" w:type="dxa"/>
        <w:tblInd w:w="-437"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975"/>
        <w:gridCol w:w="611"/>
        <w:gridCol w:w="7088"/>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Header/>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项目</w:t>
            </w:r>
          </w:p>
        </w:tc>
        <w:tc>
          <w:tcPr>
            <w:tcW w:w="611"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评标分值</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评标方法描述</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215"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1.管理</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体系</w:t>
            </w:r>
          </w:p>
        </w:tc>
        <w:tc>
          <w:tcPr>
            <w:tcW w:w="611"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3.0</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投标人具有有效的质量管理体系认证证书、环境管理体系认证证书每个得1.0分，满分3.0分。若该实验室获得CNAS证书，获得满分3.0分。注：提供有效证书复印件，否则不得分。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37"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kern w:val="2"/>
                <w:sz w:val="24"/>
                <w:szCs w:val="24"/>
                <w:lang w:val="en-US" w:eastAsia="zh-CN" w:bidi="ar-SA"/>
              </w:rPr>
              <w:t>2.团队综合能力</w:t>
            </w:r>
          </w:p>
        </w:tc>
        <w:tc>
          <w:tcPr>
            <w:tcW w:w="611"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3.0</w:t>
            </w:r>
          </w:p>
        </w:tc>
        <w:tc>
          <w:tcPr>
            <w:tcW w:w="7088" w:type="dxa"/>
            <w:tcBorders>
              <w:top w:val="outset" w:color="auto" w:sz="6" w:space="0"/>
              <w:left w:val="outset" w:color="auto" w:sz="6" w:space="0"/>
              <w:bottom w:val="outset" w:color="auto" w:sz="6" w:space="0"/>
              <w:right w:val="outset" w:color="auto" w:sz="6" w:space="0"/>
            </w:tcBorders>
            <w:noWrap w:val="0"/>
            <w:vAlign w:val="top"/>
          </w:tcPr>
          <w:p>
            <w:pPr>
              <w:pStyle w:val="11"/>
              <w:jc w:val="left"/>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kern w:val="2"/>
                <w:sz w:val="24"/>
                <w:szCs w:val="24"/>
                <w:lang w:val="en-US" w:eastAsia="zh-CN" w:bidi="ar-SA"/>
              </w:rPr>
              <w:t>投标人拟投入的项目组成员中拥有环境监测行业专家的每提供1名得1.0分，总分3.0分。提供相关有效证明文件或公示网址及截图证明，加盖公章，不提供不得分。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545"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3.能力</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验证</w:t>
            </w:r>
          </w:p>
        </w:tc>
        <w:tc>
          <w:tcPr>
            <w:tcW w:w="611"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3.0</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根据投标人参加并通过省级及以上环保部门或者技术监督部门的能力比对或能力验证情况进行评分：每提供1项（须在本次招标项目内）得1.0分，满分3.0分。（须提供近2年以来省级及以上环保部门或者技术监督部门下发的能力比对或能力验证结果通知复印件）</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50"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4.荣誉</w:t>
            </w:r>
          </w:p>
          <w:p>
            <w:pPr>
              <w:pStyle w:val="11"/>
              <w:jc w:val="center"/>
              <w:rPr>
                <w:rFonts w:hint="eastAsia" w:ascii="Times New Roman" w:hAnsi="Times New Roman" w:eastAsia="仿宋_GB2312" w:cs="Times New Roman"/>
                <w:kern w:val="2"/>
                <w:sz w:val="24"/>
                <w:szCs w:val="24"/>
                <w:highlight w:val="yellow"/>
                <w:lang w:val="en-US" w:eastAsia="zh-CN" w:bidi="ar-SA"/>
              </w:rPr>
            </w:pPr>
            <w:r>
              <w:rPr>
                <w:rFonts w:hint="eastAsia" w:ascii="Times New Roman" w:hAnsi="Times New Roman" w:eastAsia="仿宋_GB2312" w:cs="Times New Roman"/>
                <w:kern w:val="2"/>
                <w:sz w:val="24"/>
                <w:szCs w:val="24"/>
                <w:lang w:val="en-US" w:eastAsia="zh-CN" w:bidi="ar-SA"/>
              </w:rPr>
              <w:t>证明</w:t>
            </w:r>
          </w:p>
        </w:tc>
        <w:tc>
          <w:tcPr>
            <w:tcW w:w="611"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kern w:val="2"/>
                <w:sz w:val="24"/>
                <w:szCs w:val="24"/>
                <w:highlight w:val="yellow"/>
                <w:lang w:val="en-US" w:eastAsia="zh-CN" w:bidi="ar-SA"/>
              </w:rPr>
            </w:pPr>
            <w:r>
              <w:rPr>
                <w:rFonts w:hint="eastAsia" w:ascii="Times New Roman" w:hAnsi="Times New Roman" w:eastAsia="仿宋_GB2312" w:cs="Times New Roman"/>
                <w:kern w:val="2"/>
                <w:sz w:val="24"/>
                <w:szCs w:val="24"/>
                <w:lang w:val="en-US" w:eastAsia="zh-CN" w:bidi="ar-SA"/>
              </w:rPr>
              <w:t>2.0</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pStyle w:val="11"/>
              <w:jc w:val="both"/>
              <w:rPr>
                <w:rFonts w:hint="eastAsia" w:ascii="Times New Roman" w:hAnsi="Times New Roman" w:eastAsia="仿宋_GB2312" w:cs="Times New Roman"/>
                <w:kern w:val="2"/>
                <w:sz w:val="24"/>
                <w:szCs w:val="24"/>
                <w:highlight w:val="yellow"/>
                <w:lang w:val="en-US" w:eastAsia="zh-CN" w:bidi="ar-SA"/>
              </w:rPr>
            </w:pPr>
            <w:r>
              <w:rPr>
                <w:rFonts w:hint="eastAsia" w:ascii="Times New Roman" w:hAnsi="Times New Roman" w:eastAsia="仿宋_GB2312" w:cs="Times New Roman"/>
                <w:kern w:val="2"/>
                <w:sz w:val="24"/>
                <w:szCs w:val="24"/>
                <w:lang w:val="en-US" w:eastAsia="zh-CN" w:bidi="ar-SA"/>
              </w:rPr>
              <w:t>投标人为福建省环境检测行业协会推荐名录的单位，投标人提供有效证明文件或公示网址及截图证明。</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725"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5.业绩</w:t>
            </w:r>
          </w:p>
          <w:p>
            <w:pPr>
              <w:pStyle w:val="11"/>
              <w:jc w:val="center"/>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经验</w:t>
            </w:r>
          </w:p>
        </w:tc>
        <w:tc>
          <w:tcPr>
            <w:tcW w:w="611" w:type="dxa"/>
            <w:tcBorders>
              <w:top w:val="outset" w:color="auto" w:sz="6" w:space="0"/>
              <w:left w:val="outset" w:color="auto" w:sz="6" w:space="0"/>
              <w:bottom w:val="outset" w:color="auto" w:sz="6" w:space="0"/>
              <w:right w:val="outset" w:color="auto" w:sz="6" w:space="0"/>
            </w:tcBorders>
            <w:noWrap w:val="0"/>
            <w:vAlign w:val="center"/>
          </w:tcPr>
          <w:p>
            <w:pPr>
              <w:pStyle w:val="11"/>
              <w:jc w:val="center"/>
              <w:rPr>
                <w:rFonts w:hint="default"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3.0</w:t>
            </w:r>
          </w:p>
        </w:tc>
        <w:tc>
          <w:tcPr>
            <w:tcW w:w="7088" w:type="dxa"/>
            <w:tcBorders>
              <w:top w:val="outset" w:color="auto" w:sz="6" w:space="0"/>
              <w:left w:val="outset" w:color="auto" w:sz="6" w:space="0"/>
              <w:bottom w:val="outset" w:color="auto" w:sz="6" w:space="0"/>
              <w:right w:val="outset" w:color="auto" w:sz="6" w:space="0"/>
            </w:tcBorders>
            <w:noWrap w:val="0"/>
            <w:vAlign w:val="top"/>
          </w:tcPr>
          <w:p>
            <w:pPr>
              <w:pStyle w:val="11"/>
              <w:jc w:val="left"/>
              <w:rPr>
                <w:rFonts w:hint="eastAsia" w:ascii="Times New Roman" w:hAnsi="Times New Roman" w:eastAsia="仿宋_GB2312" w:cs="Times New Roman"/>
                <w:kern w:val="2"/>
                <w:sz w:val="24"/>
                <w:szCs w:val="24"/>
                <w:lang w:val="en-US" w:eastAsia="zh-CN" w:bidi="ar-SA"/>
              </w:rPr>
            </w:pPr>
            <w:r>
              <w:rPr>
                <w:rFonts w:hint="eastAsia" w:ascii="Times New Roman" w:hAnsi="Times New Roman" w:eastAsia="仿宋_GB2312" w:cs="Times New Roman"/>
                <w:kern w:val="2"/>
                <w:sz w:val="24"/>
                <w:szCs w:val="24"/>
                <w:lang w:val="en-US" w:eastAsia="zh-CN" w:bidi="ar-SA"/>
              </w:rPr>
              <w:t>对投标人2023年1月1日至今的水环境检测项目业绩进行评价：每提供一项有效完整业绩的得1.0分，满分3.0分。投标人需提供中标公示及公示网址、中标通知书</w:t>
            </w:r>
            <w:r>
              <w:rPr>
                <w:rFonts w:hint="eastAsia" w:ascii="Times New Roman" w:hAnsi="Times New Roman" w:eastAsia="仿宋_GB2312" w:cs="Times New Roman"/>
                <w:sz w:val="24"/>
                <w:szCs w:val="24"/>
                <w:lang w:val="en-US" w:eastAsia="zh-CN"/>
              </w:rPr>
              <w:t>复印件</w:t>
            </w:r>
            <w:r>
              <w:rPr>
                <w:rFonts w:hint="eastAsia" w:ascii="Times New Roman" w:hAnsi="Times New Roman" w:eastAsia="仿宋_GB2312" w:cs="Times New Roman"/>
                <w:kern w:val="2"/>
                <w:sz w:val="24"/>
                <w:szCs w:val="24"/>
                <w:lang w:val="en-US" w:eastAsia="zh-CN" w:bidi="ar-SA"/>
              </w:rPr>
              <w:t>、项目扫描件及项目经业主验收合格或满意的有效证明文件复印件，加盖公章</w:t>
            </w:r>
            <w:r>
              <w:rPr>
                <w:rFonts w:hint="eastAsia" w:ascii="Times New Roman" w:hAnsi="Times New Roman" w:eastAsia="仿宋_GB2312" w:cs="Times New Roman"/>
                <w:sz w:val="24"/>
                <w:szCs w:val="24"/>
                <w:lang w:val="en-US" w:eastAsia="zh-CN"/>
              </w:rPr>
              <w:t>(原件备查)，</w:t>
            </w:r>
            <w:r>
              <w:rPr>
                <w:rFonts w:hint="eastAsia" w:ascii="Times New Roman" w:hAnsi="Times New Roman" w:eastAsia="仿宋_GB2312" w:cs="Times New Roman"/>
                <w:kern w:val="2"/>
                <w:sz w:val="24"/>
                <w:szCs w:val="24"/>
                <w:lang w:val="en-US" w:eastAsia="zh-CN" w:bidi="ar-SA"/>
              </w:rPr>
              <w:t>不提供不得分。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588"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6.投标人信誉</w:t>
            </w:r>
          </w:p>
        </w:tc>
        <w:tc>
          <w:tcPr>
            <w:tcW w:w="611"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2.0</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投标人须承诺，投标人自身及其分子公司自成立以来不存在受到监管类别降级、吊销资质或因质量问题引起责任赔偿、被法院判决败诉，环保督查中发现的问题未整改到位或因问题被行政处罚，发生过爆炸、火灾、人员伤亡等恶性安全责任事故等情况，同时未因数据造假受到相关政府部门的通报批评的，满足要求的得2.0分。</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注：须对此作出书面承诺(承诺函格式自拟)并加盖投标人公章，未提供承诺书或虚假承诺的本项不得分。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442"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7.投标文件编制情况</w:t>
            </w:r>
          </w:p>
        </w:tc>
        <w:tc>
          <w:tcPr>
            <w:tcW w:w="611"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2.0</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根据投标人所提供的投标文件是否能正确回应招标文件要求、内容是否明确、条理是否清晰、提供资料是否齐全、文字综合表述能力等情况，由评委进行横向评议并在0～2.0分之间评分。</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259" w:hRule="atLeast"/>
          <w:tblCellSpacing w:w="0" w:type="dxa"/>
        </w:trPr>
        <w:tc>
          <w:tcPr>
            <w:tcW w:w="975"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8.客户</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服务</w:t>
            </w:r>
          </w:p>
        </w:tc>
        <w:tc>
          <w:tcPr>
            <w:tcW w:w="611"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default"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2.0</w:t>
            </w:r>
          </w:p>
        </w:tc>
        <w:tc>
          <w:tcPr>
            <w:tcW w:w="708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exact"/>
              <w:jc w:val="left"/>
              <w:textAlignment w:val="auto"/>
              <w:rPr>
                <w:rFonts w:hint="eastAsia" w:ascii="Times New Roman" w:hAnsi="Times New Roman" w:eastAsia="仿宋_GB2312" w:cs="Times New Roman"/>
                <w:sz w:val="24"/>
                <w:szCs w:val="24"/>
                <w:highlight w:val="none"/>
                <w:lang w:val="en-US" w:eastAsia="zh-CN"/>
              </w:rPr>
            </w:pPr>
            <w:r>
              <w:rPr>
                <w:rFonts w:hint="eastAsia" w:ascii="Times New Roman" w:hAnsi="Times New Roman" w:eastAsia="仿宋_GB2312" w:cs="Times New Roman"/>
                <w:sz w:val="24"/>
                <w:szCs w:val="24"/>
                <w:highlight w:val="none"/>
                <w:lang w:val="en-US" w:eastAsia="zh-CN"/>
              </w:rPr>
              <w:t>根据投标人是否设置客户服务机构，与客户沟通交流渠道是否方便、畅通，客户服务机构回应是否及时，应急处理能力、服务水平、对投诉和抱怨的处理客户是否满意，是否允许客户到现场监督检查等情况，由评委进行横向评议并在0～2.0分之间评分。</w:t>
            </w:r>
          </w:p>
        </w:tc>
      </w:tr>
    </w:tbl>
    <w:p>
      <w:pPr>
        <w:pStyle w:val="6"/>
        <w:keepNext w:val="0"/>
        <w:keepLines w:val="0"/>
        <w:widowControl/>
        <w:suppressLineNumbers w:val="0"/>
        <w:shd w:val="clear" w:fill="FFFFFF"/>
        <w:spacing w:before="0" w:beforeAutospacing="1" w:after="0" w:afterAutospacing="1"/>
        <w:ind w:left="0" w:right="0" w:firstLine="0"/>
        <w:jc w:val="both"/>
        <w:rPr>
          <w:rFonts w:hint="eastAsia" w:ascii="黑体" w:hAnsi="黑体" w:eastAsia="黑体" w:cs="黑体"/>
          <w:b w:val="0"/>
          <w:bCs w:val="0"/>
          <w:kern w:val="2"/>
          <w:sz w:val="32"/>
          <w:szCs w:val="32"/>
          <w:lang w:val="en-US" w:eastAsia="zh-CN" w:bidi="ar-SA"/>
        </w:rPr>
      </w:pPr>
    </w:p>
    <w:p>
      <w:pPr>
        <w:pStyle w:val="2"/>
        <w:ind w:left="0" w:leftChars="0" w:firstLine="0" w:firstLineChars="0"/>
        <w:rPr>
          <w:rFonts w:hint="eastAsia" w:eastAsia="宋体"/>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_GB2312"/>
    <w:panose1 w:val="02010609030101010101"/>
    <w:charset w:val="86"/>
    <w:family w:val="modern"/>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B0AD37"/>
    <w:multiLevelType w:val="singleLevel"/>
    <w:tmpl w:val="0CB0AD37"/>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UwMmI5YjdmNGQwOGE0NzBmMTA1MjJjNThmMDM3ODkifQ=="/>
  </w:docVars>
  <w:rsids>
    <w:rsidRoot w:val="00000000"/>
    <w:rsid w:val="0106028E"/>
    <w:rsid w:val="01344DC8"/>
    <w:rsid w:val="03CF3A69"/>
    <w:rsid w:val="03F017E9"/>
    <w:rsid w:val="0501436E"/>
    <w:rsid w:val="05850883"/>
    <w:rsid w:val="063D4CBA"/>
    <w:rsid w:val="06E27CD9"/>
    <w:rsid w:val="0788280E"/>
    <w:rsid w:val="09E648B0"/>
    <w:rsid w:val="0AE41CEE"/>
    <w:rsid w:val="0B845139"/>
    <w:rsid w:val="0BAA3286"/>
    <w:rsid w:val="0E6D0107"/>
    <w:rsid w:val="0E9605DB"/>
    <w:rsid w:val="104D184D"/>
    <w:rsid w:val="13055005"/>
    <w:rsid w:val="13F50CB0"/>
    <w:rsid w:val="148263CE"/>
    <w:rsid w:val="15A473AB"/>
    <w:rsid w:val="16BF1700"/>
    <w:rsid w:val="175F1FF4"/>
    <w:rsid w:val="19690070"/>
    <w:rsid w:val="19F94F44"/>
    <w:rsid w:val="1CD00E5B"/>
    <w:rsid w:val="1CD65C5F"/>
    <w:rsid w:val="1FAF3AA3"/>
    <w:rsid w:val="20A05219"/>
    <w:rsid w:val="224B72AE"/>
    <w:rsid w:val="22907B38"/>
    <w:rsid w:val="234750CE"/>
    <w:rsid w:val="240E783E"/>
    <w:rsid w:val="245A3FCA"/>
    <w:rsid w:val="27454C92"/>
    <w:rsid w:val="284321AC"/>
    <w:rsid w:val="285C7F19"/>
    <w:rsid w:val="31A20BCB"/>
    <w:rsid w:val="3344327C"/>
    <w:rsid w:val="33802506"/>
    <w:rsid w:val="33DC625B"/>
    <w:rsid w:val="34AE6BFF"/>
    <w:rsid w:val="34D77D7F"/>
    <w:rsid w:val="396A3911"/>
    <w:rsid w:val="3A736017"/>
    <w:rsid w:val="3C8B74D6"/>
    <w:rsid w:val="3D6F71B7"/>
    <w:rsid w:val="3DE6565C"/>
    <w:rsid w:val="3F8432B2"/>
    <w:rsid w:val="3FE91433"/>
    <w:rsid w:val="40583EC3"/>
    <w:rsid w:val="41D028AB"/>
    <w:rsid w:val="41E04769"/>
    <w:rsid w:val="42733236"/>
    <w:rsid w:val="42E91FDB"/>
    <w:rsid w:val="42F57B14"/>
    <w:rsid w:val="4578573D"/>
    <w:rsid w:val="47A94056"/>
    <w:rsid w:val="483E6094"/>
    <w:rsid w:val="49F20EE5"/>
    <w:rsid w:val="4B8B339F"/>
    <w:rsid w:val="4BAE7D3F"/>
    <w:rsid w:val="4C2C4B82"/>
    <w:rsid w:val="4EA308F0"/>
    <w:rsid w:val="4F44241B"/>
    <w:rsid w:val="4F9D69E0"/>
    <w:rsid w:val="4FB16755"/>
    <w:rsid w:val="4FD95020"/>
    <w:rsid w:val="4FE23614"/>
    <w:rsid w:val="50CF3D2E"/>
    <w:rsid w:val="51161216"/>
    <w:rsid w:val="513A12A4"/>
    <w:rsid w:val="532C36B9"/>
    <w:rsid w:val="54AE44E0"/>
    <w:rsid w:val="56157264"/>
    <w:rsid w:val="58886C98"/>
    <w:rsid w:val="5A2766AB"/>
    <w:rsid w:val="5AA2652E"/>
    <w:rsid w:val="5ABC5F70"/>
    <w:rsid w:val="60B03285"/>
    <w:rsid w:val="6339492E"/>
    <w:rsid w:val="63BA261B"/>
    <w:rsid w:val="65493C57"/>
    <w:rsid w:val="65F951F5"/>
    <w:rsid w:val="675863D3"/>
    <w:rsid w:val="67784CC7"/>
    <w:rsid w:val="68355734"/>
    <w:rsid w:val="68886A62"/>
    <w:rsid w:val="6A410F0B"/>
    <w:rsid w:val="6AAF1F78"/>
    <w:rsid w:val="6C0425F3"/>
    <w:rsid w:val="6DC20A4A"/>
    <w:rsid w:val="6F631710"/>
    <w:rsid w:val="6F915355"/>
    <w:rsid w:val="7036127C"/>
    <w:rsid w:val="72CD6CA4"/>
    <w:rsid w:val="73843376"/>
    <w:rsid w:val="74D21DB3"/>
    <w:rsid w:val="76120095"/>
    <w:rsid w:val="77D01FB6"/>
    <w:rsid w:val="783F0BBE"/>
    <w:rsid w:val="793D367B"/>
    <w:rsid w:val="79687289"/>
    <w:rsid w:val="79D93881"/>
    <w:rsid w:val="79E81839"/>
    <w:rsid w:val="7A390C79"/>
    <w:rsid w:val="7B1B79EC"/>
    <w:rsid w:val="7BDE7397"/>
    <w:rsid w:val="7CC52305"/>
    <w:rsid w:val="7D731D61"/>
    <w:rsid w:val="7D976DE3"/>
    <w:rsid w:val="7DC223A1"/>
    <w:rsid w:val="7E085210"/>
    <w:rsid w:val="7FF55F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1"/>
    <w:qFormat/>
    <w:uiPriority w:val="0"/>
    <w:pPr>
      <w:spacing w:line="17" w:lineRule="atLeast"/>
      <w:jc w:val="left"/>
      <w:outlineLvl w:val="1"/>
    </w:pPr>
    <w:rPr>
      <w:rFonts w:hint="eastAsia" w:ascii="宋体" w:hAnsi="宋体"/>
      <w:b/>
      <w:kern w:val="0"/>
      <w:sz w:val="36"/>
      <w:szCs w:val="36"/>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Indent 2"/>
    <w:basedOn w:val="1"/>
    <w:unhideWhenUsed/>
    <w:qFormat/>
    <w:uiPriority w:val="99"/>
    <w:pPr>
      <w:spacing w:after="120" w:afterLines="0" w:line="480" w:lineRule="auto"/>
      <w:ind w:left="200" w:leftChars="200"/>
    </w:pPr>
    <w:rPr>
      <w:rFonts w:ascii="Times New Roman" w:hAnsi="Times New Roman" w:eastAsia="宋体" w:cs="Times New Roman"/>
      <w:szCs w:val="22"/>
      <w:lang w:bidi="ar-SA"/>
    </w:rPr>
  </w:style>
  <w:style w:type="paragraph" w:styleId="4">
    <w:name w:val="Body Text Indent"/>
    <w:basedOn w:val="1"/>
    <w:unhideWhenUsed/>
    <w:qFormat/>
    <w:uiPriority w:val="99"/>
    <w:pPr>
      <w:spacing w:after="120"/>
      <w:ind w:left="420" w:leftChars="200"/>
    </w:pPr>
  </w:style>
  <w:style w:type="paragraph" w:styleId="5">
    <w:name w:val="envelope return"/>
    <w:basedOn w:val="1"/>
    <w:qFormat/>
    <w:uiPriority w:val="0"/>
    <w:pPr>
      <w:snapToGrid w:val="0"/>
    </w:pPr>
    <w:rPr>
      <w:rFonts w:ascii="Arial" w:hAnsi="Arial" w:cs="Times New Roman"/>
    </w:rPr>
  </w:style>
  <w:style w:type="paragraph" w:styleId="6">
    <w:name w:val="Normal (Web)"/>
    <w:basedOn w:val="1"/>
    <w:qFormat/>
    <w:uiPriority w:val="0"/>
    <w:rPr>
      <w:sz w:val="24"/>
    </w:rPr>
  </w:style>
  <w:style w:type="paragraph" w:styleId="7">
    <w:name w:val="Body Text First Indent 2"/>
    <w:basedOn w:val="4"/>
    <w:qFormat/>
    <w:uiPriority w:val="0"/>
    <w:pPr>
      <w:ind w:firstLine="420" w:firstLineChars="2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5930</Words>
  <Characters>6360</Characters>
  <Lines>0</Lines>
  <Paragraphs>0</Paragraphs>
  <TotalTime>68</TotalTime>
  <ScaleCrop>false</ScaleCrop>
  <LinksUpToDate>false</LinksUpToDate>
  <CharactersWithSpaces>6435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2023-09-06T23:45:00Z</dcterms:created>
  <dc:creator>Administrator</dc:creator>
  <cp:lastModifiedBy>Administrator</cp:lastModifiedBy>
  <cp:lastPrinted>2023-09-27T08:51:00Z</cp:lastPrinted>
  <dcterms:modified xsi:type="dcterms:W3CDTF">2023-09-28T01:08:36Z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7BF291F61109498BA1AFC4C44DC25688_13</vt:lpwstr>
  </property>
</Properties>
</file>