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00" w:beforeAutospacing="1" w:after="100" w:afterAutospacing="1" w:line="360" w:lineRule="auto"/>
        <w:jc w:val="left"/>
        <w:rPr>
          <w:rFonts w:hint="default" w:ascii="华文宋体" w:hAnsi="华文宋体" w:eastAsia="华文宋体" w:cs="Times New Roman"/>
          <w:b/>
          <w:bCs/>
          <w:sz w:val="30"/>
          <w:szCs w:val="30"/>
          <w:lang w:val="en-US" w:eastAsia="zh-CN"/>
        </w:rPr>
      </w:pPr>
      <w:r>
        <w:rPr>
          <w:rFonts w:hint="eastAsia" w:ascii="华文宋体" w:hAnsi="华文宋体" w:eastAsia="华文宋体" w:cs="Times New Roman"/>
          <w:b/>
          <w:bCs/>
          <w:sz w:val="30"/>
          <w:szCs w:val="30"/>
          <w:lang w:val="en-US" w:eastAsia="zh-CN"/>
        </w:rPr>
        <w:t>附件2</w:t>
      </w:r>
    </w:p>
    <w:p>
      <w:pPr>
        <w:spacing w:before="100" w:beforeAutospacing="1" w:after="100" w:afterAutospacing="1" w:line="360" w:lineRule="auto"/>
        <w:jc w:val="center"/>
        <w:rPr>
          <w:rFonts w:hint="eastAsia" w:ascii="华文宋体" w:hAnsi="华文宋体" w:eastAsia="华文宋体" w:cs="Times New Roman"/>
          <w:b/>
          <w:bCs/>
          <w:sz w:val="40"/>
          <w:szCs w:val="32"/>
        </w:rPr>
      </w:pPr>
      <w:r>
        <w:rPr>
          <w:rFonts w:hint="eastAsia" w:ascii="华文宋体" w:hAnsi="华文宋体" w:eastAsia="华文宋体" w:cs="Times New Roman"/>
          <w:b/>
          <w:bCs/>
          <w:sz w:val="40"/>
          <w:szCs w:val="32"/>
          <w:lang w:val="en-US" w:eastAsia="zh-CN"/>
        </w:rPr>
        <w:t>省级危险废物鉴别中心进口仪器设备</w:t>
      </w:r>
      <w:r>
        <w:rPr>
          <w:rFonts w:hint="eastAsia" w:ascii="华文宋体" w:hAnsi="华文宋体" w:eastAsia="华文宋体" w:cs="Times New Roman"/>
          <w:b/>
          <w:bCs/>
          <w:sz w:val="40"/>
          <w:szCs w:val="32"/>
        </w:rPr>
        <w:t>调研报告</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面向“十四五”，不断变化的环保政策与法规，新固废法规及标准修订、加强固废管理、加强固体废物和新污染物治理。2017年1月国家修订出台的《固体废物鉴别标准-通则》（GB34330-2017）</w:t>
      </w:r>
      <w:r>
        <w:rPr>
          <w:rFonts w:hint="eastAsia" w:ascii="仿宋" w:hAnsi="仿宋" w:eastAsia="仿宋" w:cs="仿宋"/>
          <w:kern w:val="0"/>
          <w:sz w:val="28"/>
          <w:szCs w:val="28"/>
          <w:lang w:val="en-US" w:eastAsia="zh-CN"/>
        </w:rPr>
        <w:t>和</w:t>
      </w:r>
      <w:r>
        <w:rPr>
          <w:rFonts w:hint="eastAsia" w:ascii="仿宋" w:hAnsi="仿宋" w:eastAsia="仿宋" w:cs="仿宋"/>
          <w:kern w:val="0"/>
          <w:sz w:val="28"/>
          <w:szCs w:val="28"/>
        </w:rPr>
        <w:t>生态环境部发布《关于加强危险废物鉴别工作的通知》（环办固体函〔2021〕419号）</w:t>
      </w:r>
      <w:r>
        <w:rPr>
          <w:rFonts w:hint="eastAsia" w:ascii="仿宋" w:hAnsi="仿宋" w:eastAsia="仿宋" w:cs="仿宋"/>
          <w:kern w:val="0"/>
          <w:sz w:val="28"/>
          <w:szCs w:val="28"/>
          <w:lang w:val="en-US" w:eastAsia="zh-CN"/>
        </w:rPr>
        <w:t>等文件要求，</w:t>
      </w:r>
      <w:r>
        <w:rPr>
          <w:rFonts w:hint="eastAsia" w:ascii="仿宋" w:hAnsi="仿宋" w:eastAsia="仿宋" w:cs="仿宋"/>
          <w:kern w:val="0"/>
          <w:sz w:val="28"/>
          <w:szCs w:val="28"/>
        </w:rPr>
        <w:t>在危险废物的属性判别方面，不仅具有强制效力，而且在管理层面上有了更强的可操作性。</w:t>
      </w:r>
      <w:r>
        <w:rPr>
          <w:rFonts w:hint="eastAsia" w:ascii="仿宋" w:hAnsi="仿宋" w:eastAsia="仿宋" w:cs="仿宋"/>
          <w:kern w:val="0"/>
          <w:sz w:val="28"/>
          <w:szCs w:val="28"/>
          <w:lang w:val="en-US" w:eastAsia="zh-CN"/>
        </w:rPr>
        <w:t>根据</w:t>
      </w:r>
      <w:r>
        <w:rPr>
          <w:rFonts w:hint="eastAsia" w:ascii="仿宋" w:hAnsi="仿宋" w:eastAsia="仿宋" w:cs="仿宋"/>
          <w:kern w:val="0"/>
          <w:sz w:val="28"/>
          <w:szCs w:val="28"/>
        </w:rPr>
        <w:t>省政府办公厅《关于印发福建省生态环境监管能力建设三年行动方案（2020-2022年）的通知》为了应对国家和福建省</w:t>
      </w:r>
      <w:r>
        <w:rPr>
          <w:rFonts w:hint="eastAsia" w:ascii="仿宋" w:hAnsi="仿宋" w:eastAsia="仿宋" w:cs="仿宋"/>
          <w:kern w:val="0"/>
          <w:sz w:val="28"/>
          <w:szCs w:val="28"/>
          <w:lang w:val="en-US" w:eastAsia="zh-CN"/>
        </w:rPr>
        <w:t>固体废物鉴别</w:t>
      </w:r>
      <w:r>
        <w:rPr>
          <w:rFonts w:hint="eastAsia" w:ascii="仿宋" w:hAnsi="仿宋" w:eastAsia="仿宋" w:cs="仿宋"/>
          <w:kern w:val="0"/>
          <w:sz w:val="28"/>
          <w:szCs w:val="28"/>
        </w:rPr>
        <w:t>任务的要求，福建省环境</w:t>
      </w:r>
      <w:r>
        <w:rPr>
          <w:rFonts w:hint="eastAsia" w:ascii="仿宋" w:hAnsi="仿宋" w:eastAsia="仿宋" w:cs="仿宋"/>
          <w:kern w:val="0"/>
          <w:sz w:val="28"/>
          <w:szCs w:val="28"/>
          <w:lang w:val="en-US" w:eastAsia="zh-CN"/>
        </w:rPr>
        <w:t>科学研究院负责建设省级危险废物鉴别中心</w:t>
      </w:r>
      <w:r>
        <w:rPr>
          <w:rFonts w:hint="eastAsia" w:ascii="仿宋" w:hAnsi="仿宋" w:eastAsia="仿宋" w:cs="仿宋"/>
          <w:kern w:val="0"/>
          <w:sz w:val="28"/>
          <w:szCs w:val="28"/>
        </w:rPr>
        <w:t>，</w:t>
      </w:r>
      <w:r>
        <w:rPr>
          <w:rFonts w:hint="eastAsia" w:ascii="仿宋" w:hAnsi="仿宋" w:eastAsia="仿宋" w:cs="仿宋"/>
          <w:kern w:val="0"/>
          <w:sz w:val="28"/>
          <w:szCs w:val="28"/>
          <w:lang w:val="en-US" w:eastAsia="zh-CN"/>
        </w:rPr>
        <w:t>现据</w:t>
      </w:r>
      <w:r>
        <w:rPr>
          <w:rFonts w:hint="eastAsia" w:ascii="仿宋" w:hAnsi="仿宋" w:eastAsia="仿宋" w:cs="仿宋"/>
          <w:kern w:val="0"/>
          <w:sz w:val="28"/>
          <w:szCs w:val="28"/>
        </w:rPr>
        <w:t>拟采购</w:t>
      </w:r>
      <w:r>
        <w:rPr>
          <w:rFonts w:hint="eastAsia" w:ascii="仿宋" w:hAnsi="仿宋" w:eastAsia="仿宋" w:cs="仿宋"/>
          <w:kern w:val="0"/>
          <w:sz w:val="28"/>
          <w:szCs w:val="28"/>
          <w:lang w:val="en-US" w:eastAsia="zh-CN"/>
        </w:rPr>
        <w:t>全自动烷基汞分析仪、</w:t>
      </w:r>
      <w:r>
        <w:rPr>
          <w:rFonts w:hint="eastAsia" w:ascii="仿宋" w:hAnsi="仿宋" w:eastAsia="仿宋" w:cs="仿宋"/>
          <w:kern w:val="0"/>
          <w:sz w:val="28"/>
          <w:szCs w:val="28"/>
        </w:rPr>
        <w:t>波长色散</w:t>
      </w:r>
      <w:r>
        <w:rPr>
          <w:rFonts w:hint="eastAsia" w:ascii="仿宋" w:hAnsi="仿宋" w:eastAsia="仿宋" w:cs="仿宋"/>
          <w:kern w:val="0"/>
          <w:sz w:val="28"/>
          <w:szCs w:val="28"/>
          <w:lang w:val="en-US" w:eastAsia="zh-CN"/>
        </w:rPr>
        <w:t>型</w:t>
      </w:r>
      <w:r>
        <w:rPr>
          <w:rFonts w:hint="eastAsia" w:ascii="仿宋" w:hAnsi="仿宋" w:eastAsia="仿宋" w:cs="仿宋"/>
          <w:kern w:val="0"/>
          <w:sz w:val="28"/>
          <w:szCs w:val="28"/>
        </w:rPr>
        <w:t>X射线荧光光谱仪</w:t>
      </w:r>
      <w:r>
        <w:rPr>
          <w:rFonts w:hint="eastAsia" w:ascii="仿宋" w:hAnsi="仿宋" w:eastAsia="仿宋" w:cs="仿宋"/>
          <w:kern w:val="0"/>
          <w:sz w:val="28"/>
          <w:szCs w:val="28"/>
          <w:lang w:eastAsia="zh-CN"/>
        </w:rPr>
        <w:t>、</w:t>
      </w:r>
      <w:r>
        <w:rPr>
          <w:rFonts w:hint="eastAsia" w:ascii="仿宋" w:hAnsi="仿宋" w:eastAsia="仿宋" w:cs="仿宋"/>
          <w:kern w:val="0"/>
          <w:sz w:val="28"/>
          <w:szCs w:val="28"/>
          <w:lang w:val="en-US" w:eastAsia="zh-CN"/>
        </w:rPr>
        <w:t>ICP-MS、HPLC-MS等4台进口仪器设备，并对相关进口仪器设备的性能和技术参数进行了调研</w:t>
      </w:r>
      <w:r>
        <w:rPr>
          <w:rFonts w:hint="eastAsia" w:ascii="仿宋" w:hAnsi="仿宋" w:eastAsia="仿宋" w:cs="仿宋"/>
          <w:kern w:val="0"/>
          <w:sz w:val="28"/>
          <w:szCs w:val="28"/>
        </w:rPr>
        <w:t>。</w:t>
      </w:r>
    </w:p>
    <w:p>
      <w:pPr>
        <w:numPr>
          <w:ilvl w:val="0"/>
          <w:numId w:val="1"/>
        </w:numPr>
        <w:rPr>
          <w:rFonts w:hint="eastAsia" w:ascii="黑体" w:hAnsi="黑体" w:eastAsia="黑体" w:cs="黑体"/>
          <w:b/>
          <w:bCs/>
          <w:sz w:val="28"/>
          <w:szCs w:val="28"/>
        </w:rPr>
      </w:pPr>
      <w:r>
        <w:rPr>
          <w:rFonts w:hint="eastAsia" w:ascii="黑体" w:hAnsi="黑体" w:eastAsia="黑体" w:cs="黑体"/>
          <w:b/>
          <w:bCs/>
          <w:sz w:val="28"/>
          <w:szCs w:val="28"/>
        </w:rPr>
        <w:t>全自动烷基汞分析仪</w:t>
      </w:r>
    </w:p>
    <w:p>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汞是广泛存在于环境中的生物非必需有害元素，毒性取决于其形态的不同。在各种汞的形态中，有机汞的毒性比无机汞强，而烷基汞（主要包括甲基汞和乙基汞）是有机汞中毒性最强的汞化合物之一，其毒性是无机汞的几百倍。烷基汞由于具有亲脂性，可以通过各种食物（比如鱼类、谷物）进入人体，通过血脑屏障引起中枢神经系统的永久性损伤，对孕妇和胎儿影响极大。在水环境中，无机汞通过生物的甲基化、乙基化作用形成烷基汞化合物，再通过食物链的富集和生物放大作用，最终危机人类健康。</w:t>
      </w:r>
    </w:p>
    <w:p>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烷基汞类化合物分析的必要性主要体现在以下几个方面：</w:t>
      </w:r>
    </w:p>
    <w:p>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1.环境监测： 烷基汞类化合物可由工业排放、废水排放或其他人为活动引起的汞释放而进入环境。对这些化合物进行分析有助于监测环境中的有机汞污染水平，以便及时采取措施防止其对生态系统造成不良影响。</w:t>
      </w:r>
    </w:p>
    <w:p>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2.人类健康风险评估： 烷基汞类化合物在生物体内可经过生物富集，最终进入人类食物链。通过分析这些化合物，可以评估食物、水源等中的烷基汞浓度，从而了解人类暴露于这些有机汞的风险，为食品安全和公共健康提供依据。</w:t>
      </w:r>
    </w:p>
    <w:p>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3.工业过程控制： 在某些工业过程中，可能会使用或产生烷基汞类化合物。通过对工业排放、废水、废气等进行定期监测和分析，有助于控制工业过程中的有机汞排放，确保工业活动对环境的最小化影响。</w:t>
      </w:r>
    </w:p>
    <w:p>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4.科学研究： 烷基汞类化合物的研究对于了解汞的地球化学循环、生物富集机制等具有重要意义。通过对这些化合物的分析，可以深入了解汞在水体、土壤和沉积物和生物体中的行为，为环境科学和生态学研究提供数据支持。</w:t>
      </w:r>
    </w:p>
    <w:p>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我单位目前亟需开展环境介质（水、土壤和沉积物等）及生物介质（如水产品）中烷基汞含量的变化水平和毒理机制研究，因此需要采购全自动烷基汞分析系统一套。</w:t>
      </w:r>
    </w:p>
    <w:p>
      <w:pPr>
        <w:spacing w:line="360" w:lineRule="auto"/>
        <w:rPr>
          <w:rFonts w:hint="eastAsia" w:ascii="仿宋" w:hAnsi="仿宋" w:eastAsia="仿宋" w:cs="仿宋"/>
          <w:b/>
          <w:sz w:val="28"/>
          <w:szCs w:val="28"/>
        </w:rPr>
      </w:pPr>
      <w:r>
        <w:rPr>
          <w:rFonts w:hint="eastAsia" w:ascii="仿宋" w:hAnsi="仿宋" w:eastAsia="仿宋" w:cs="仿宋"/>
          <w:b/>
          <w:sz w:val="28"/>
          <w:szCs w:val="28"/>
        </w:rPr>
        <w:t>1、需求及现状</w:t>
      </w:r>
    </w:p>
    <w:p>
      <w:pPr>
        <w:spacing w:line="360" w:lineRule="auto"/>
        <w:rPr>
          <w:rFonts w:hint="eastAsia" w:ascii="仿宋" w:hAnsi="仿宋" w:eastAsia="仿宋" w:cs="仿宋"/>
          <w:kern w:val="0"/>
          <w:sz w:val="28"/>
          <w:szCs w:val="28"/>
        </w:rPr>
      </w:pPr>
      <w:r>
        <w:rPr>
          <w:rFonts w:hint="eastAsia" w:ascii="仿宋" w:hAnsi="仿宋" w:eastAsia="仿宋" w:cs="仿宋"/>
          <w:kern w:val="0"/>
          <w:sz w:val="28"/>
          <w:szCs w:val="28"/>
        </w:rPr>
        <w:t>（1）采购需求</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烷基汞类化合物是毒性很强的一类化合物，我院拟开展各种不同基质中烷基汞的含量和毒性研究，了解污染物的分布，准确地分析污染物的空间变异，对污</w:t>
      </w:r>
      <w:bookmarkStart w:id="2" w:name="_GoBack"/>
      <w:bookmarkEnd w:id="2"/>
      <w:r>
        <w:rPr>
          <w:rFonts w:hint="eastAsia" w:ascii="仿宋" w:hAnsi="仿宋" w:eastAsia="仿宋" w:cs="仿宋"/>
          <w:kern w:val="0"/>
          <w:sz w:val="28"/>
          <w:szCs w:val="28"/>
        </w:rPr>
        <w:t>染进行溯源研究，用精确的数据向决策部门提供依据，进行产业结构调整、提高能源效率减少环境污染。</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自然样品中烷基汞的含量极低，《HJ977-2018水质 烷基汞的测定 吹扫捕集/气相色谱-冷原子荧光光谱法》已于2019年3月1日开始实施、《土壤和沉积物　甲基汞和乙基汞的测定 吹扫捕集/气相色谱-冷原子荧光光谱法》 (HJ 1269-2022)已于2023年6月15日开始实施，符合以上两个标准的全自动烷基汞分析仪为成熟产品，在国内外已经普遍使用。拟采购仪器需满足如下技术要求：</w:t>
      </w:r>
    </w:p>
    <w:p>
      <w:pPr>
        <w:spacing w:line="360" w:lineRule="auto"/>
        <w:rPr>
          <w:rFonts w:hint="eastAsia" w:ascii="仿宋" w:hAnsi="仿宋" w:eastAsia="仿宋" w:cs="仿宋"/>
          <w:kern w:val="0"/>
          <w:sz w:val="28"/>
          <w:szCs w:val="28"/>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1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①</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甲基汞、乙基汞的检出限: ≤0.002ng/L</w:t>
      </w:r>
      <w:r>
        <w:rPr>
          <w:rFonts w:hint="eastAsia" w:ascii="仿宋" w:hAnsi="仿宋" w:eastAsia="仿宋" w:cs="仿宋"/>
          <w:kern w:val="0"/>
          <w:sz w:val="28"/>
          <w:szCs w:val="28"/>
        </w:rPr>
        <w:t>；</w:t>
      </w:r>
    </w:p>
    <w:p>
      <w:pPr>
        <w:spacing w:line="360" w:lineRule="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2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②</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甲基汞、乙基汞的线性范围: 0~40ng/L，线性相关系数:≥0.999；</w:t>
      </w:r>
    </w:p>
    <w:p>
      <w:pPr>
        <w:spacing w:line="360" w:lineRule="auto"/>
        <w:rPr>
          <w:rFonts w:hint="eastAsia" w:ascii="仿宋" w:hAnsi="仿宋" w:eastAsia="仿宋" w:cs="仿宋"/>
          <w:spacing w:val="6"/>
          <w:sz w:val="28"/>
          <w:szCs w:val="28"/>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3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③</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载气流量通过电子流量控制；</w:t>
      </w:r>
    </w:p>
    <w:p>
      <w:pPr>
        <w:spacing w:line="360" w:lineRule="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4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④</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精密度：对0.025ng/L甲基汞和乙基汞混合样品进行6次连续测定，数据重复性≤5%；</w:t>
      </w:r>
    </w:p>
    <w:p>
      <w:pPr>
        <w:spacing w:line="360" w:lineRule="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5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⑤</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25ng/L高浓度样品进样后残留≤2‰；</w:t>
      </w:r>
    </w:p>
    <w:p>
      <w:pPr>
        <w:spacing w:line="360" w:lineRule="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6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⑥</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仪器模块化设计，后续可升级为全自动总汞分析系统。</w:t>
      </w:r>
    </w:p>
    <w:p>
      <w:pPr>
        <w:pStyle w:val="6"/>
        <w:spacing w:line="360" w:lineRule="auto"/>
        <w:ind w:firstLine="0" w:firstLineChars="0"/>
        <w:rPr>
          <w:rFonts w:hint="eastAsia" w:ascii="仿宋" w:hAnsi="仿宋" w:eastAsia="仿宋" w:cs="仿宋"/>
          <w:kern w:val="0"/>
          <w:sz w:val="28"/>
          <w:szCs w:val="28"/>
        </w:rPr>
      </w:pPr>
      <w:r>
        <w:rPr>
          <w:rFonts w:hint="eastAsia" w:ascii="仿宋" w:hAnsi="仿宋" w:eastAsia="仿宋" w:cs="仿宋"/>
          <w:kern w:val="0"/>
          <w:sz w:val="28"/>
          <w:szCs w:val="28"/>
        </w:rPr>
        <w:t>（2）采购前现状</w:t>
      </w:r>
    </w:p>
    <w:p>
      <w:pPr>
        <w:pStyle w:val="6"/>
        <w:spacing w:line="360" w:lineRule="auto"/>
        <w:ind w:firstLine="480" w:firstLineChars="0"/>
        <w:rPr>
          <w:rFonts w:hint="eastAsia" w:ascii="仿宋" w:hAnsi="仿宋" w:eastAsia="仿宋" w:cs="仿宋"/>
          <w:kern w:val="0"/>
          <w:sz w:val="28"/>
          <w:szCs w:val="28"/>
        </w:rPr>
      </w:pPr>
      <w:r>
        <w:rPr>
          <w:rFonts w:hint="eastAsia" w:ascii="仿宋" w:hAnsi="仿宋" w:eastAsia="仿宋" w:cs="仿宋"/>
          <w:kern w:val="0"/>
          <w:sz w:val="28"/>
          <w:szCs w:val="28"/>
        </w:rPr>
        <w:t>我单位尚未采购过满足上述需求的同类或相关设备</w:t>
      </w:r>
    </w:p>
    <w:p>
      <w:pPr>
        <w:spacing w:line="360" w:lineRule="auto"/>
        <w:rPr>
          <w:rFonts w:hint="eastAsia" w:ascii="仿宋" w:hAnsi="仿宋" w:eastAsia="仿宋" w:cs="仿宋"/>
          <w:b/>
          <w:sz w:val="28"/>
          <w:szCs w:val="28"/>
        </w:rPr>
      </w:pPr>
      <w:r>
        <w:rPr>
          <w:rFonts w:hint="eastAsia" w:ascii="仿宋" w:hAnsi="仿宋" w:eastAsia="仿宋" w:cs="仿宋"/>
          <w:b/>
          <w:sz w:val="28"/>
          <w:szCs w:val="28"/>
        </w:rPr>
        <w:t>2、调研方式及调研厂家品牌情况</w:t>
      </w:r>
    </w:p>
    <w:p>
      <w:pPr>
        <w:spacing w:line="360" w:lineRule="auto"/>
        <w:ind w:firstLine="560" w:firstLineChars="200"/>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本次调研了三家国外品牌的全自动烷基汞分析系统：美国Brooks Rand公司MERX-2全自动烷基汞分析系统、英国P S Analytical公司10.725全自动烷基汞分析系统和韩国Neo Environmental Business Co.公司NOMA1000全自动烷基汞分析仪。</w:t>
      </w:r>
    </w:p>
    <w:p>
      <w:pPr>
        <w:spacing w:line="360" w:lineRule="auto"/>
        <w:ind w:firstLine="560" w:firstLineChars="200"/>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 xml:space="preserve">Brooks Rand公司MERX-2型全自动烷基汞系统有明显的优势，详细见下： </w:t>
      </w:r>
    </w:p>
    <w:p>
      <w:pPr>
        <w:spacing w:line="360" w:lineRule="auto"/>
        <w:ind w:firstLine="560" w:firstLineChars="200"/>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①Brooks Rand Inc.公司是全球最大的形态汞仪器生产厂家，其生产的MERX-2型全自动烷基汞分析系统广泛应用于科学研究、环境监测、食品安全的各个领域，客户分布在全国多个知名院校及环境监测站，如中国科学院生态环境研究中心，南京大学、华东师范大学、中国环境监测总站等，全国的客户数量超过350家；该厂家仪器作为《水质烷基汞的测定吹扫捕集/气相色谱-冷原子荧光光谱法》（HJ 977-2018）和《土壤和沉积物　甲基汞和乙基汞的测定 吹扫捕集/气相色谱-冷原子荧光光谱法》 (HJ 1269-2022)两个标准的起草和验证仪器，性能可靠；</w:t>
      </w:r>
    </w:p>
    <w:p>
      <w:pPr>
        <w:spacing w:line="360" w:lineRule="auto"/>
        <w:ind w:firstLine="560" w:firstLineChars="200"/>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②检出限低，甲基汞和乙基汞的检出限均为0.002ng/L,适合于超低痕量水平的烷基汞的精确测定；</w:t>
      </w:r>
    </w:p>
    <w:p>
      <w:pPr>
        <w:spacing w:line="360" w:lineRule="auto"/>
        <w:ind w:firstLine="560" w:firstLineChars="200"/>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③线性范围宽；定量上限和下限均优于其他两家；</w:t>
      </w:r>
    </w:p>
    <w:p>
      <w:pPr>
        <w:spacing w:line="360" w:lineRule="auto"/>
        <w:ind w:firstLine="560" w:firstLineChars="200"/>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④结果重复性好；</w:t>
      </w:r>
    </w:p>
    <w:p>
      <w:pPr>
        <w:spacing w:line="360" w:lineRule="auto"/>
        <w:ind w:firstLine="560" w:firstLineChars="200"/>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⑤汞残留低，高浓度下汞的残留低，可以避免样品间的相互交叉污染；</w:t>
      </w:r>
    </w:p>
    <w:p>
      <w:pPr>
        <w:spacing w:line="360" w:lineRule="auto"/>
        <w:ind w:firstLine="560" w:firstLineChars="200"/>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⑥性价比高；</w:t>
      </w:r>
    </w:p>
    <w:p>
      <w:pPr>
        <w:spacing w:line="360" w:lineRule="auto"/>
        <w:ind w:firstLine="560" w:firstLineChars="200"/>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⑦可升级为全自动烷基汞总汞二位一体分析系统。</w:t>
      </w:r>
    </w:p>
    <w:p>
      <w:pPr>
        <w:spacing w:line="360" w:lineRule="auto"/>
        <w:rPr>
          <w:rFonts w:hint="eastAsia" w:ascii="仿宋" w:hAnsi="仿宋" w:eastAsia="仿宋" w:cs="仿宋"/>
          <w:b/>
          <w:sz w:val="28"/>
          <w:szCs w:val="28"/>
        </w:rPr>
      </w:pPr>
      <w:r>
        <w:rPr>
          <w:rFonts w:hint="eastAsia" w:ascii="仿宋" w:hAnsi="仿宋" w:eastAsia="仿宋" w:cs="仿宋"/>
          <w:b/>
          <w:sz w:val="28"/>
          <w:szCs w:val="28"/>
        </w:rPr>
        <w:t>3、国产同类产品情况</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据调研，目前没有同类国产设备能够满足符合我单位对烷基汞分析的技术要求。</w:t>
      </w:r>
    </w:p>
    <w:p>
      <w:pPr>
        <w:spacing w:line="360" w:lineRule="auto"/>
        <w:rPr>
          <w:rFonts w:hint="eastAsia" w:ascii="仿宋" w:hAnsi="仿宋" w:eastAsia="仿宋" w:cs="仿宋"/>
          <w:b/>
          <w:sz w:val="28"/>
          <w:szCs w:val="28"/>
        </w:rPr>
      </w:pPr>
      <w:r>
        <w:rPr>
          <w:rFonts w:hint="eastAsia" w:ascii="仿宋" w:hAnsi="仿宋" w:eastAsia="仿宋" w:cs="仿宋"/>
          <w:b/>
          <w:sz w:val="28"/>
          <w:szCs w:val="28"/>
        </w:rPr>
        <w:t>4、进口产品具备的优势：</w:t>
      </w:r>
    </w:p>
    <w:p>
      <w:pPr>
        <w:pStyle w:val="6"/>
        <w:spacing w:line="360" w:lineRule="auto"/>
        <w:ind w:firstLine="480" w:firstLineChars="0"/>
        <w:rPr>
          <w:rFonts w:hint="eastAsia" w:ascii="仿宋" w:hAnsi="仿宋" w:eastAsia="仿宋" w:cs="仿宋"/>
          <w:kern w:val="0"/>
          <w:sz w:val="28"/>
          <w:szCs w:val="28"/>
        </w:rPr>
      </w:pPr>
      <w:r>
        <w:rPr>
          <w:rFonts w:hint="eastAsia" w:ascii="仿宋" w:hAnsi="仿宋" w:eastAsia="仿宋" w:cs="仿宋"/>
          <w:kern w:val="0"/>
          <w:sz w:val="28"/>
          <w:szCs w:val="28"/>
        </w:rPr>
        <w:t>进口的全自动烷基汞分析系统具有检测限低，可达0.002ng/L及以下，线性范围宽，重复性高，残留低的特点，适合于对各种介质中超痕量水平的烷基汞含量进行测定。</w:t>
      </w:r>
    </w:p>
    <w:p>
      <w:pPr>
        <w:pStyle w:val="6"/>
        <w:spacing w:line="360" w:lineRule="auto"/>
        <w:ind w:firstLine="480" w:firstLineChars="0"/>
        <w:rPr>
          <w:rFonts w:hint="eastAsia" w:ascii="仿宋" w:hAnsi="仿宋" w:eastAsia="仿宋" w:cs="仿宋"/>
          <w:kern w:val="0"/>
          <w:sz w:val="28"/>
          <w:szCs w:val="28"/>
        </w:rPr>
      </w:pPr>
      <w:r>
        <w:rPr>
          <w:rFonts w:hint="eastAsia" w:ascii="仿宋" w:hAnsi="仿宋" w:eastAsia="仿宋" w:cs="仿宋"/>
          <w:kern w:val="0"/>
          <w:sz w:val="28"/>
          <w:szCs w:val="28"/>
        </w:rPr>
        <w:t>国外品牌个主要技术指标对比见表1。</w:t>
      </w:r>
    </w:p>
    <w:p>
      <w:pPr>
        <w:spacing w:line="360" w:lineRule="auto"/>
        <w:jc w:val="center"/>
        <w:rPr>
          <w:rFonts w:hint="eastAsia" w:ascii="仿宋" w:hAnsi="仿宋" w:eastAsia="仿宋" w:cs="仿宋"/>
          <w:b/>
          <w:bCs w:val="0"/>
          <w:sz w:val="28"/>
          <w:szCs w:val="28"/>
        </w:rPr>
      </w:pPr>
      <w:r>
        <w:rPr>
          <w:rFonts w:hint="eastAsia" w:ascii="仿宋" w:hAnsi="仿宋" w:eastAsia="仿宋" w:cs="仿宋"/>
          <w:b/>
          <w:bCs w:val="0"/>
          <w:sz w:val="28"/>
          <w:szCs w:val="28"/>
        </w:rPr>
        <w:t>表1 国外品牌主要技术指标对比</w:t>
      </w:r>
    </w:p>
    <w:tbl>
      <w:tblPr>
        <w:tblStyle w:val="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213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9" w:type="pct"/>
            <w:shd w:val="clear" w:color="auto" w:fill="auto"/>
            <w:vAlign w:val="center"/>
          </w:tcPr>
          <w:p>
            <w:pPr>
              <w:rPr>
                <w:rFonts w:hint="eastAsia" w:ascii="仿宋" w:hAnsi="仿宋" w:eastAsia="仿宋" w:cs="仿宋"/>
                <w:kern w:val="0"/>
                <w:sz w:val="21"/>
                <w:szCs w:val="21"/>
              </w:rPr>
            </w:pPr>
            <w:r>
              <w:rPr>
                <w:rFonts w:hint="eastAsia" w:ascii="仿宋" w:hAnsi="仿宋" w:eastAsia="仿宋" w:cs="仿宋"/>
                <w:color w:val="000000"/>
                <w:kern w:val="0"/>
                <w:sz w:val="21"/>
                <w:szCs w:val="21"/>
              </w:rPr>
              <w:t>供应商</w:t>
            </w:r>
          </w:p>
        </w:tc>
        <w:tc>
          <w:tcPr>
            <w:tcW w:w="1249" w:type="pct"/>
            <w:shd w:val="clear" w:color="auto" w:fill="auto"/>
            <w:vAlign w:val="center"/>
          </w:tcPr>
          <w:p>
            <w:pPr>
              <w:jc w:val="left"/>
              <w:rPr>
                <w:rFonts w:hint="eastAsia" w:ascii="仿宋" w:hAnsi="仿宋" w:eastAsia="仿宋" w:cs="仿宋"/>
                <w:kern w:val="0"/>
                <w:sz w:val="21"/>
                <w:szCs w:val="21"/>
              </w:rPr>
            </w:pPr>
            <w:r>
              <w:rPr>
                <w:rFonts w:hint="eastAsia" w:ascii="仿宋" w:hAnsi="仿宋" w:eastAsia="仿宋" w:cs="仿宋"/>
                <w:color w:val="000000"/>
                <w:kern w:val="0"/>
                <w:sz w:val="21"/>
                <w:szCs w:val="21"/>
              </w:rPr>
              <w:t>美国Brooks Rand</w:t>
            </w:r>
          </w:p>
        </w:tc>
        <w:tc>
          <w:tcPr>
            <w:tcW w:w="1250" w:type="pct"/>
            <w:shd w:val="clear" w:color="auto" w:fill="auto"/>
            <w:vAlign w:val="center"/>
          </w:tcPr>
          <w:p>
            <w:pPr>
              <w:jc w:val="left"/>
              <w:rPr>
                <w:rFonts w:hint="eastAsia" w:ascii="仿宋" w:hAnsi="仿宋" w:eastAsia="仿宋" w:cs="仿宋"/>
                <w:kern w:val="0"/>
                <w:sz w:val="21"/>
                <w:szCs w:val="21"/>
              </w:rPr>
            </w:pPr>
            <w:r>
              <w:rPr>
                <w:rFonts w:hint="eastAsia" w:ascii="仿宋" w:hAnsi="仿宋" w:eastAsia="仿宋" w:cs="仿宋"/>
                <w:kern w:val="0"/>
                <w:sz w:val="21"/>
                <w:szCs w:val="21"/>
              </w:rPr>
              <w:t>英国P S Analytical公司</w:t>
            </w:r>
          </w:p>
        </w:tc>
        <w:tc>
          <w:tcPr>
            <w:tcW w:w="1250" w:type="pct"/>
            <w:shd w:val="clear" w:color="auto" w:fill="auto"/>
            <w:vAlign w:val="center"/>
          </w:tcPr>
          <w:p>
            <w:pPr>
              <w:jc w:val="left"/>
              <w:rPr>
                <w:rFonts w:hint="eastAsia" w:ascii="仿宋" w:hAnsi="仿宋" w:eastAsia="仿宋" w:cs="仿宋"/>
                <w:kern w:val="0"/>
                <w:sz w:val="21"/>
                <w:szCs w:val="21"/>
              </w:rPr>
            </w:pPr>
            <w:r>
              <w:rPr>
                <w:rFonts w:hint="eastAsia" w:ascii="仿宋" w:hAnsi="仿宋" w:eastAsia="仿宋" w:cs="仿宋"/>
                <w:kern w:val="0"/>
                <w:sz w:val="21"/>
                <w:szCs w:val="21"/>
              </w:rPr>
              <w:t>韩国Neo Environmental Business Co.公司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9" w:type="pct"/>
            <w:shd w:val="clear" w:color="auto" w:fill="auto"/>
            <w:vAlign w:val="center"/>
          </w:tcPr>
          <w:p>
            <w:pPr>
              <w:rPr>
                <w:rFonts w:hint="eastAsia" w:ascii="仿宋" w:hAnsi="仿宋" w:eastAsia="仿宋" w:cs="仿宋"/>
                <w:kern w:val="0"/>
                <w:sz w:val="21"/>
                <w:szCs w:val="21"/>
              </w:rPr>
            </w:pPr>
            <w:r>
              <w:rPr>
                <w:rFonts w:hint="eastAsia" w:ascii="仿宋" w:hAnsi="仿宋" w:eastAsia="仿宋" w:cs="仿宋"/>
                <w:color w:val="000000"/>
                <w:kern w:val="0"/>
                <w:sz w:val="21"/>
                <w:szCs w:val="21"/>
              </w:rPr>
              <w:t>品牌/型号</w:t>
            </w:r>
          </w:p>
        </w:tc>
        <w:tc>
          <w:tcPr>
            <w:tcW w:w="1249" w:type="pct"/>
            <w:shd w:val="clear" w:color="auto" w:fill="auto"/>
            <w:vAlign w:val="center"/>
          </w:tcPr>
          <w:p>
            <w:pPr>
              <w:jc w:val="left"/>
              <w:rPr>
                <w:rFonts w:hint="eastAsia" w:ascii="仿宋" w:hAnsi="仿宋" w:eastAsia="仿宋" w:cs="仿宋"/>
                <w:kern w:val="0"/>
                <w:sz w:val="21"/>
                <w:szCs w:val="21"/>
              </w:rPr>
            </w:pPr>
            <w:r>
              <w:rPr>
                <w:rFonts w:hint="eastAsia" w:ascii="仿宋" w:hAnsi="仿宋" w:eastAsia="仿宋" w:cs="仿宋"/>
                <w:color w:val="000000"/>
                <w:kern w:val="0"/>
                <w:sz w:val="21"/>
                <w:szCs w:val="21"/>
              </w:rPr>
              <w:t>Brooks Rand/MERX-2</w:t>
            </w:r>
          </w:p>
        </w:tc>
        <w:tc>
          <w:tcPr>
            <w:tcW w:w="1250" w:type="pct"/>
            <w:shd w:val="clear" w:color="auto" w:fill="auto"/>
            <w:vAlign w:val="center"/>
          </w:tcPr>
          <w:p>
            <w:pPr>
              <w:jc w:val="left"/>
              <w:rPr>
                <w:rFonts w:hint="eastAsia" w:ascii="仿宋" w:hAnsi="仿宋" w:eastAsia="仿宋" w:cs="仿宋"/>
                <w:kern w:val="0"/>
                <w:sz w:val="21"/>
                <w:szCs w:val="21"/>
              </w:rPr>
            </w:pPr>
            <w:r>
              <w:rPr>
                <w:rFonts w:hint="eastAsia" w:ascii="仿宋" w:hAnsi="仿宋" w:eastAsia="仿宋" w:cs="仿宋"/>
                <w:color w:val="000000"/>
                <w:kern w:val="0"/>
                <w:sz w:val="21"/>
                <w:szCs w:val="21"/>
              </w:rPr>
              <w:t>PSA/10.725</w:t>
            </w:r>
          </w:p>
        </w:tc>
        <w:tc>
          <w:tcPr>
            <w:tcW w:w="1250" w:type="pct"/>
            <w:shd w:val="clear" w:color="auto" w:fill="auto"/>
            <w:vAlign w:val="center"/>
          </w:tcPr>
          <w:p>
            <w:pPr>
              <w:jc w:val="left"/>
              <w:rPr>
                <w:rFonts w:hint="eastAsia" w:ascii="仿宋" w:hAnsi="仿宋" w:eastAsia="仿宋" w:cs="仿宋"/>
                <w:kern w:val="0"/>
                <w:sz w:val="21"/>
                <w:szCs w:val="21"/>
              </w:rPr>
            </w:pPr>
            <w:r>
              <w:rPr>
                <w:rFonts w:hint="eastAsia" w:ascii="仿宋" w:hAnsi="仿宋" w:eastAsia="仿宋" w:cs="仿宋"/>
                <w:color w:val="000000"/>
                <w:kern w:val="0"/>
                <w:sz w:val="21"/>
                <w:szCs w:val="21"/>
              </w:rPr>
              <w:t>NEO/</w:t>
            </w:r>
            <w:r>
              <w:rPr>
                <w:rFonts w:hint="eastAsia" w:ascii="仿宋" w:hAnsi="仿宋" w:eastAsia="仿宋" w:cs="仿宋"/>
                <w:sz w:val="21"/>
                <w:szCs w:val="21"/>
              </w:rPr>
              <w:t xml:space="preserve"> </w:t>
            </w:r>
            <w:r>
              <w:rPr>
                <w:rFonts w:hint="eastAsia" w:ascii="仿宋" w:hAnsi="仿宋" w:eastAsia="仿宋" w:cs="仿宋"/>
                <w:color w:val="000000"/>
                <w:kern w:val="0"/>
                <w:sz w:val="21"/>
                <w:szCs w:val="21"/>
              </w:rPr>
              <w:t>NOMA1000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9" w:type="pct"/>
            <w:shd w:val="clear" w:color="auto" w:fill="auto"/>
          </w:tcPr>
          <w:p>
            <w:pPr>
              <w:spacing w:line="360" w:lineRule="auto"/>
              <w:rPr>
                <w:rFonts w:hint="eastAsia" w:ascii="仿宋" w:hAnsi="仿宋" w:eastAsia="仿宋" w:cs="仿宋"/>
                <w:sz w:val="21"/>
                <w:szCs w:val="21"/>
              </w:rPr>
            </w:pPr>
            <w:r>
              <w:rPr>
                <w:rFonts w:hint="eastAsia" w:ascii="仿宋" w:hAnsi="仿宋" w:eastAsia="仿宋" w:cs="仿宋"/>
                <w:sz w:val="21"/>
                <w:szCs w:val="21"/>
              </w:rPr>
              <w:t>检测限</w:t>
            </w:r>
          </w:p>
        </w:tc>
        <w:tc>
          <w:tcPr>
            <w:tcW w:w="1249" w:type="pct"/>
            <w:shd w:val="clear" w:color="auto" w:fill="auto"/>
          </w:tcPr>
          <w:p>
            <w:pPr>
              <w:rPr>
                <w:rFonts w:hint="eastAsia" w:ascii="仿宋" w:hAnsi="仿宋" w:eastAsia="仿宋" w:cs="仿宋"/>
                <w:kern w:val="0"/>
                <w:sz w:val="21"/>
                <w:szCs w:val="21"/>
              </w:rPr>
            </w:pPr>
            <w:r>
              <w:rPr>
                <w:rFonts w:hint="eastAsia" w:ascii="仿宋" w:hAnsi="仿宋" w:eastAsia="仿宋" w:cs="仿宋"/>
                <w:sz w:val="21"/>
                <w:szCs w:val="21"/>
              </w:rPr>
              <w:t>甲基汞：</w:t>
            </w:r>
            <w:r>
              <w:rPr>
                <w:rFonts w:hint="eastAsia" w:ascii="仿宋" w:hAnsi="仿宋" w:eastAsia="仿宋" w:cs="仿宋"/>
                <w:kern w:val="0"/>
                <w:sz w:val="21"/>
                <w:szCs w:val="21"/>
              </w:rPr>
              <w:t>0.002ng/L</w:t>
            </w:r>
          </w:p>
          <w:p>
            <w:pPr>
              <w:rPr>
                <w:rFonts w:hint="eastAsia" w:ascii="仿宋" w:hAnsi="仿宋" w:eastAsia="仿宋" w:cs="仿宋"/>
                <w:sz w:val="21"/>
                <w:szCs w:val="21"/>
              </w:rPr>
            </w:pPr>
            <w:r>
              <w:rPr>
                <w:rFonts w:hint="eastAsia" w:ascii="仿宋" w:hAnsi="仿宋" w:eastAsia="仿宋" w:cs="仿宋"/>
                <w:kern w:val="0"/>
                <w:sz w:val="21"/>
                <w:szCs w:val="21"/>
              </w:rPr>
              <w:t>乙基汞：0.002ng/L</w:t>
            </w:r>
          </w:p>
        </w:tc>
        <w:tc>
          <w:tcPr>
            <w:tcW w:w="1250" w:type="pct"/>
            <w:shd w:val="clear" w:color="auto" w:fill="auto"/>
          </w:tcPr>
          <w:p>
            <w:pPr>
              <w:rPr>
                <w:rFonts w:hint="eastAsia" w:ascii="仿宋" w:hAnsi="仿宋" w:eastAsia="仿宋" w:cs="仿宋"/>
                <w:kern w:val="0"/>
                <w:sz w:val="21"/>
                <w:szCs w:val="21"/>
              </w:rPr>
            </w:pPr>
            <w:r>
              <w:rPr>
                <w:rFonts w:hint="eastAsia" w:ascii="仿宋" w:hAnsi="仿宋" w:eastAsia="仿宋" w:cs="仿宋"/>
                <w:sz w:val="21"/>
                <w:szCs w:val="21"/>
              </w:rPr>
              <w:t>甲基汞：</w:t>
            </w:r>
            <w:r>
              <w:rPr>
                <w:rFonts w:hint="eastAsia" w:ascii="仿宋" w:hAnsi="仿宋" w:eastAsia="仿宋" w:cs="仿宋"/>
                <w:kern w:val="0"/>
                <w:sz w:val="21"/>
                <w:szCs w:val="21"/>
              </w:rPr>
              <w:t>0.002ng/L</w:t>
            </w:r>
          </w:p>
          <w:p>
            <w:pPr>
              <w:rPr>
                <w:rFonts w:hint="eastAsia" w:ascii="仿宋" w:hAnsi="仿宋" w:eastAsia="仿宋" w:cs="仿宋"/>
                <w:sz w:val="21"/>
                <w:szCs w:val="21"/>
              </w:rPr>
            </w:pPr>
            <w:r>
              <w:rPr>
                <w:rFonts w:hint="eastAsia" w:ascii="仿宋" w:hAnsi="仿宋" w:eastAsia="仿宋" w:cs="仿宋"/>
                <w:kern w:val="0"/>
                <w:sz w:val="21"/>
                <w:szCs w:val="21"/>
              </w:rPr>
              <w:t>乙基汞：0.005ng/L</w:t>
            </w:r>
          </w:p>
        </w:tc>
        <w:tc>
          <w:tcPr>
            <w:tcW w:w="1250" w:type="pct"/>
            <w:shd w:val="clear" w:color="auto" w:fill="auto"/>
          </w:tcPr>
          <w:p>
            <w:pPr>
              <w:rPr>
                <w:rFonts w:hint="eastAsia" w:ascii="仿宋" w:hAnsi="仿宋" w:eastAsia="仿宋" w:cs="仿宋"/>
                <w:kern w:val="0"/>
                <w:sz w:val="21"/>
                <w:szCs w:val="21"/>
              </w:rPr>
            </w:pPr>
            <w:r>
              <w:rPr>
                <w:rFonts w:hint="eastAsia" w:ascii="仿宋" w:hAnsi="仿宋" w:eastAsia="仿宋" w:cs="仿宋"/>
                <w:sz w:val="21"/>
                <w:szCs w:val="21"/>
              </w:rPr>
              <w:t>甲基汞：</w:t>
            </w:r>
            <w:r>
              <w:rPr>
                <w:rFonts w:hint="eastAsia" w:ascii="仿宋" w:hAnsi="仿宋" w:eastAsia="仿宋" w:cs="仿宋"/>
                <w:kern w:val="0"/>
                <w:sz w:val="21"/>
                <w:szCs w:val="21"/>
              </w:rPr>
              <w:t>0.002ng/L</w:t>
            </w:r>
          </w:p>
          <w:p>
            <w:pPr>
              <w:rPr>
                <w:rFonts w:hint="eastAsia" w:ascii="仿宋" w:hAnsi="仿宋" w:eastAsia="仿宋" w:cs="仿宋"/>
                <w:sz w:val="21"/>
                <w:szCs w:val="21"/>
              </w:rPr>
            </w:pPr>
            <w:r>
              <w:rPr>
                <w:rFonts w:hint="eastAsia" w:ascii="仿宋" w:hAnsi="仿宋" w:eastAsia="仿宋" w:cs="仿宋"/>
                <w:kern w:val="0"/>
                <w:sz w:val="21"/>
                <w:szCs w:val="21"/>
              </w:rPr>
              <w:t>乙基汞：0.005ng/L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9" w:type="pct"/>
            <w:shd w:val="clear" w:color="auto" w:fill="auto"/>
          </w:tcPr>
          <w:p>
            <w:pPr>
              <w:spacing w:line="360" w:lineRule="auto"/>
              <w:rPr>
                <w:rFonts w:hint="eastAsia" w:ascii="仿宋" w:hAnsi="仿宋" w:eastAsia="仿宋" w:cs="仿宋"/>
                <w:sz w:val="21"/>
                <w:szCs w:val="21"/>
              </w:rPr>
            </w:pPr>
            <w:r>
              <w:rPr>
                <w:rFonts w:hint="eastAsia" w:ascii="仿宋" w:hAnsi="仿宋" w:eastAsia="仿宋" w:cs="仿宋"/>
                <w:sz w:val="21"/>
                <w:szCs w:val="21"/>
              </w:rPr>
              <w:t>线性范围：</w:t>
            </w:r>
          </w:p>
        </w:tc>
        <w:tc>
          <w:tcPr>
            <w:tcW w:w="1249" w:type="pct"/>
            <w:shd w:val="clear" w:color="auto" w:fill="auto"/>
          </w:tcPr>
          <w:p>
            <w:pPr>
              <w:rPr>
                <w:rFonts w:hint="eastAsia" w:ascii="仿宋" w:hAnsi="仿宋" w:eastAsia="仿宋" w:cs="仿宋"/>
                <w:sz w:val="21"/>
                <w:szCs w:val="21"/>
              </w:rPr>
            </w:pPr>
            <w:r>
              <w:rPr>
                <w:rFonts w:hint="eastAsia" w:ascii="仿宋" w:hAnsi="仿宋" w:eastAsia="仿宋" w:cs="仿宋"/>
                <w:sz w:val="21"/>
                <w:szCs w:val="21"/>
              </w:rPr>
              <w:t>0.0125-40ng/L</w:t>
            </w:r>
          </w:p>
        </w:tc>
        <w:tc>
          <w:tcPr>
            <w:tcW w:w="1250" w:type="pct"/>
            <w:shd w:val="clear" w:color="auto" w:fill="auto"/>
          </w:tcPr>
          <w:p>
            <w:pPr>
              <w:rPr>
                <w:rFonts w:hint="eastAsia" w:ascii="仿宋" w:hAnsi="仿宋" w:eastAsia="仿宋" w:cs="仿宋"/>
                <w:sz w:val="21"/>
                <w:szCs w:val="21"/>
              </w:rPr>
            </w:pPr>
            <w:r>
              <w:rPr>
                <w:rFonts w:hint="eastAsia" w:ascii="仿宋" w:hAnsi="仿宋" w:eastAsia="仿宋" w:cs="仿宋"/>
                <w:sz w:val="21"/>
                <w:szCs w:val="21"/>
              </w:rPr>
              <w:t>0.02-25ng/L</w:t>
            </w:r>
          </w:p>
        </w:tc>
        <w:tc>
          <w:tcPr>
            <w:tcW w:w="1250" w:type="pct"/>
            <w:shd w:val="clear" w:color="auto" w:fill="auto"/>
          </w:tcPr>
          <w:p>
            <w:pPr>
              <w:rPr>
                <w:rFonts w:hint="eastAsia" w:ascii="仿宋" w:hAnsi="仿宋" w:eastAsia="仿宋" w:cs="仿宋"/>
                <w:sz w:val="21"/>
                <w:szCs w:val="21"/>
              </w:rPr>
            </w:pPr>
            <w:r>
              <w:rPr>
                <w:rFonts w:hint="eastAsia" w:ascii="仿宋" w:hAnsi="仿宋" w:eastAsia="仿宋" w:cs="仿宋"/>
                <w:sz w:val="21"/>
                <w:szCs w:val="21"/>
              </w:rPr>
              <w:t>0.02-25ng/L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9" w:type="pct"/>
            <w:shd w:val="clear" w:color="auto" w:fill="auto"/>
          </w:tcPr>
          <w:p>
            <w:pPr>
              <w:spacing w:line="360" w:lineRule="auto"/>
              <w:rPr>
                <w:rFonts w:hint="eastAsia" w:ascii="仿宋" w:hAnsi="仿宋" w:eastAsia="仿宋" w:cs="仿宋"/>
                <w:sz w:val="21"/>
                <w:szCs w:val="21"/>
              </w:rPr>
            </w:pPr>
            <w:r>
              <w:rPr>
                <w:rFonts w:hint="eastAsia" w:ascii="仿宋" w:hAnsi="仿宋" w:eastAsia="仿宋" w:cs="仿宋"/>
                <w:sz w:val="21"/>
                <w:szCs w:val="21"/>
              </w:rPr>
              <w:t>回收率</w:t>
            </w:r>
          </w:p>
        </w:tc>
        <w:tc>
          <w:tcPr>
            <w:tcW w:w="1249" w:type="pct"/>
            <w:shd w:val="clear" w:color="auto" w:fill="auto"/>
          </w:tcPr>
          <w:p>
            <w:pPr>
              <w:rPr>
                <w:rFonts w:hint="eastAsia" w:ascii="仿宋" w:hAnsi="仿宋" w:eastAsia="仿宋" w:cs="仿宋"/>
                <w:sz w:val="21"/>
                <w:szCs w:val="21"/>
              </w:rPr>
            </w:pPr>
            <w:r>
              <w:rPr>
                <w:rFonts w:hint="eastAsia" w:ascii="仿宋" w:hAnsi="仿宋" w:eastAsia="仿宋" w:cs="仿宋"/>
                <w:sz w:val="21"/>
                <w:szCs w:val="21"/>
              </w:rPr>
              <w:t>80%-120%</w:t>
            </w:r>
          </w:p>
        </w:tc>
        <w:tc>
          <w:tcPr>
            <w:tcW w:w="1250" w:type="pct"/>
            <w:shd w:val="clear" w:color="auto" w:fill="auto"/>
          </w:tcPr>
          <w:p>
            <w:pPr>
              <w:spacing w:line="360" w:lineRule="auto"/>
              <w:rPr>
                <w:rFonts w:hint="eastAsia" w:ascii="仿宋" w:hAnsi="仿宋" w:eastAsia="仿宋" w:cs="仿宋"/>
                <w:sz w:val="21"/>
                <w:szCs w:val="21"/>
              </w:rPr>
            </w:pPr>
            <w:r>
              <w:rPr>
                <w:rFonts w:hint="eastAsia" w:ascii="仿宋" w:hAnsi="仿宋" w:eastAsia="仿宋" w:cs="仿宋"/>
                <w:sz w:val="21"/>
                <w:szCs w:val="21"/>
              </w:rPr>
              <w:t>80%-120%</w:t>
            </w:r>
          </w:p>
        </w:tc>
        <w:tc>
          <w:tcPr>
            <w:tcW w:w="1250" w:type="pct"/>
            <w:shd w:val="clear" w:color="auto" w:fill="auto"/>
          </w:tcPr>
          <w:p>
            <w:pPr>
              <w:spacing w:line="360" w:lineRule="auto"/>
              <w:rPr>
                <w:rFonts w:hint="eastAsia" w:ascii="仿宋" w:hAnsi="仿宋" w:eastAsia="仿宋" w:cs="仿宋"/>
                <w:sz w:val="21"/>
                <w:szCs w:val="21"/>
              </w:rPr>
            </w:pPr>
            <w:r>
              <w:rPr>
                <w:rFonts w:hint="eastAsia" w:ascii="仿宋" w:hAnsi="仿宋" w:eastAsia="仿宋" w:cs="仿宋"/>
                <w:sz w:val="21"/>
                <w:szCs w:val="21"/>
              </w:rPr>
              <w:t>75%-125%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9" w:type="pct"/>
            <w:shd w:val="clear" w:color="auto" w:fill="auto"/>
          </w:tcPr>
          <w:p>
            <w:pPr>
              <w:spacing w:line="360" w:lineRule="auto"/>
              <w:rPr>
                <w:rFonts w:hint="eastAsia" w:ascii="仿宋" w:hAnsi="仿宋" w:eastAsia="仿宋" w:cs="仿宋"/>
                <w:sz w:val="21"/>
                <w:szCs w:val="21"/>
              </w:rPr>
            </w:pPr>
            <w:r>
              <w:rPr>
                <w:rFonts w:hint="eastAsia" w:ascii="仿宋" w:hAnsi="仿宋" w:eastAsia="仿宋" w:cs="仿宋"/>
                <w:sz w:val="21"/>
                <w:szCs w:val="21"/>
              </w:rPr>
              <w:t>重复性</w:t>
            </w:r>
          </w:p>
        </w:tc>
        <w:tc>
          <w:tcPr>
            <w:tcW w:w="1249" w:type="pct"/>
            <w:shd w:val="clear" w:color="auto" w:fill="auto"/>
          </w:tcPr>
          <w:p>
            <w:pPr>
              <w:rPr>
                <w:rFonts w:hint="eastAsia" w:ascii="仿宋" w:hAnsi="仿宋" w:eastAsia="仿宋" w:cs="仿宋"/>
                <w:sz w:val="21"/>
                <w:szCs w:val="21"/>
              </w:rPr>
            </w:pPr>
            <w:r>
              <w:rPr>
                <w:rFonts w:hint="eastAsia" w:ascii="仿宋" w:hAnsi="仿宋" w:eastAsia="仿宋" w:cs="仿宋"/>
                <w:sz w:val="21"/>
                <w:szCs w:val="21"/>
              </w:rPr>
              <w:t>以0.125ng/L为例，重复性优于3%；以0.5 ng/L 、2.5ng/L</w:t>
            </w:r>
            <w:bookmarkStart w:id="0" w:name="_Hlk16707838"/>
            <w:r>
              <w:rPr>
                <w:rFonts w:hint="eastAsia" w:ascii="仿宋" w:hAnsi="仿宋" w:eastAsia="仿宋" w:cs="仿宋"/>
                <w:sz w:val="21"/>
                <w:szCs w:val="21"/>
              </w:rPr>
              <w:t>为例，重复性优于2%</w:t>
            </w:r>
            <w:bookmarkEnd w:id="0"/>
            <w:r>
              <w:rPr>
                <w:rFonts w:hint="eastAsia" w:ascii="仿宋" w:hAnsi="仿宋" w:eastAsia="仿宋" w:cs="仿宋"/>
                <w:sz w:val="21"/>
                <w:szCs w:val="21"/>
              </w:rPr>
              <w:t>；</w:t>
            </w:r>
          </w:p>
        </w:tc>
        <w:tc>
          <w:tcPr>
            <w:tcW w:w="1250" w:type="pct"/>
            <w:shd w:val="clear" w:color="auto" w:fill="auto"/>
          </w:tcPr>
          <w:p>
            <w:pPr>
              <w:rPr>
                <w:rFonts w:hint="eastAsia" w:ascii="仿宋" w:hAnsi="仿宋" w:eastAsia="仿宋" w:cs="仿宋"/>
                <w:sz w:val="21"/>
                <w:szCs w:val="21"/>
              </w:rPr>
            </w:pPr>
            <w:r>
              <w:rPr>
                <w:rFonts w:hint="eastAsia" w:ascii="仿宋" w:hAnsi="仿宋" w:eastAsia="仿宋" w:cs="仿宋"/>
                <w:sz w:val="21"/>
                <w:szCs w:val="21"/>
              </w:rPr>
              <w:t>以0.125ng/L为例，重复性优于5%</w:t>
            </w:r>
          </w:p>
        </w:tc>
        <w:tc>
          <w:tcPr>
            <w:tcW w:w="1250" w:type="pct"/>
            <w:shd w:val="clear" w:color="auto" w:fill="auto"/>
          </w:tcPr>
          <w:p>
            <w:pPr>
              <w:rPr>
                <w:rFonts w:hint="eastAsia" w:ascii="仿宋" w:hAnsi="仿宋" w:eastAsia="仿宋" w:cs="仿宋"/>
                <w:sz w:val="21"/>
                <w:szCs w:val="21"/>
              </w:rPr>
            </w:pPr>
            <w:r>
              <w:rPr>
                <w:rFonts w:hint="eastAsia" w:ascii="仿宋" w:hAnsi="仿宋" w:eastAsia="仿宋" w:cs="仿宋"/>
                <w:sz w:val="21"/>
                <w:szCs w:val="21"/>
              </w:rPr>
              <w:t>以0.125ng/L为例，重复性优于3%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9" w:type="pct"/>
            <w:shd w:val="clear" w:color="auto" w:fill="auto"/>
          </w:tcPr>
          <w:p>
            <w:pPr>
              <w:spacing w:line="360" w:lineRule="auto"/>
              <w:rPr>
                <w:rFonts w:hint="eastAsia" w:ascii="仿宋" w:hAnsi="仿宋" w:eastAsia="仿宋" w:cs="仿宋"/>
                <w:sz w:val="21"/>
                <w:szCs w:val="21"/>
              </w:rPr>
            </w:pPr>
            <w:r>
              <w:rPr>
                <w:rFonts w:hint="eastAsia" w:ascii="仿宋" w:hAnsi="仿宋" w:eastAsia="仿宋" w:cs="仿宋"/>
                <w:sz w:val="21"/>
                <w:szCs w:val="21"/>
              </w:rPr>
              <w:t>仪器交叉污染</w:t>
            </w:r>
          </w:p>
        </w:tc>
        <w:tc>
          <w:tcPr>
            <w:tcW w:w="1249" w:type="pct"/>
            <w:shd w:val="clear" w:color="auto" w:fill="auto"/>
          </w:tcPr>
          <w:p>
            <w:pPr>
              <w:rPr>
                <w:rFonts w:hint="eastAsia" w:ascii="仿宋" w:hAnsi="仿宋" w:eastAsia="仿宋" w:cs="仿宋"/>
                <w:sz w:val="21"/>
                <w:szCs w:val="21"/>
              </w:rPr>
            </w:pPr>
            <w:r>
              <w:rPr>
                <w:rFonts w:hint="eastAsia" w:ascii="仿宋" w:hAnsi="仿宋" w:eastAsia="仿宋" w:cs="仿宋"/>
                <w:sz w:val="21"/>
                <w:szCs w:val="21"/>
              </w:rPr>
              <w:t>进3个25ng/L的样品，再进3个空白，残留少于千分之2。</w:t>
            </w:r>
          </w:p>
        </w:tc>
        <w:tc>
          <w:tcPr>
            <w:tcW w:w="1250" w:type="pct"/>
            <w:shd w:val="clear" w:color="auto" w:fill="auto"/>
          </w:tcPr>
          <w:p>
            <w:pPr>
              <w:rPr>
                <w:rFonts w:hint="eastAsia" w:ascii="仿宋" w:hAnsi="仿宋" w:eastAsia="仿宋" w:cs="仿宋"/>
                <w:sz w:val="21"/>
                <w:szCs w:val="21"/>
              </w:rPr>
            </w:pPr>
            <w:r>
              <w:rPr>
                <w:rFonts w:hint="eastAsia" w:ascii="仿宋" w:hAnsi="仿宋" w:eastAsia="仿宋" w:cs="仿宋"/>
                <w:sz w:val="21"/>
                <w:szCs w:val="21"/>
              </w:rPr>
              <w:t>5‰(25ng/L)</w:t>
            </w:r>
          </w:p>
        </w:tc>
        <w:tc>
          <w:tcPr>
            <w:tcW w:w="1250" w:type="pct"/>
            <w:shd w:val="clear" w:color="auto" w:fill="auto"/>
          </w:tcPr>
          <w:p>
            <w:pPr>
              <w:rPr>
                <w:rFonts w:hint="eastAsia" w:ascii="仿宋" w:hAnsi="仿宋" w:eastAsia="仿宋" w:cs="仿宋"/>
                <w:sz w:val="21"/>
                <w:szCs w:val="21"/>
              </w:rPr>
            </w:pPr>
            <w:r>
              <w:rPr>
                <w:rFonts w:hint="eastAsia" w:ascii="仿宋" w:hAnsi="仿宋" w:eastAsia="仿宋" w:cs="仿宋"/>
                <w:sz w:val="21"/>
                <w:szCs w:val="21"/>
              </w:rPr>
              <w:t>3‰(25ng/L)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9" w:type="pct"/>
            <w:shd w:val="clear" w:color="auto" w:fill="auto"/>
          </w:tcPr>
          <w:p>
            <w:pPr>
              <w:spacing w:line="360" w:lineRule="auto"/>
              <w:rPr>
                <w:rFonts w:hint="eastAsia" w:ascii="仿宋" w:hAnsi="仿宋" w:eastAsia="仿宋" w:cs="仿宋"/>
                <w:sz w:val="21"/>
                <w:szCs w:val="21"/>
              </w:rPr>
            </w:pPr>
            <w:r>
              <w:rPr>
                <w:rFonts w:hint="eastAsia" w:ascii="仿宋" w:hAnsi="仿宋" w:eastAsia="仿宋" w:cs="仿宋"/>
                <w:sz w:val="21"/>
                <w:szCs w:val="21"/>
              </w:rPr>
              <w:t>自动进样器位数</w:t>
            </w:r>
          </w:p>
        </w:tc>
        <w:tc>
          <w:tcPr>
            <w:tcW w:w="1249" w:type="pct"/>
            <w:shd w:val="clear" w:color="auto" w:fill="auto"/>
          </w:tcPr>
          <w:p>
            <w:pPr>
              <w:rPr>
                <w:rFonts w:hint="eastAsia" w:ascii="仿宋" w:hAnsi="仿宋" w:eastAsia="仿宋" w:cs="仿宋"/>
                <w:sz w:val="21"/>
                <w:szCs w:val="21"/>
              </w:rPr>
            </w:pPr>
            <w:r>
              <w:rPr>
                <w:rFonts w:hint="eastAsia" w:ascii="仿宋" w:hAnsi="仿宋" w:eastAsia="仿宋" w:cs="仿宋"/>
                <w:sz w:val="21"/>
                <w:szCs w:val="21"/>
              </w:rPr>
              <w:t>72</w:t>
            </w:r>
          </w:p>
        </w:tc>
        <w:tc>
          <w:tcPr>
            <w:tcW w:w="1250" w:type="pct"/>
            <w:shd w:val="clear" w:color="auto" w:fill="auto"/>
          </w:tcPr>
          <w:p>
            <w:pPr>
              <w:rPr>
                <w:rFonts w:hint="eastAsia" w:ascii="仿宋" w:hAnsi="仿宋" w:eastAsia="仿宋" w:cs="仿宋"/>
                <w:sz w:val="21"/>
                <w:szCs w:val="21"/>
              </w:rPr>
            </w:pPr>
            <w:r>
              <w:rPr>
                <w:rFonts w:hint="eastAsia" w:ascii="仿宋" w:hAnsi="仿宋" w:eastAsia="仿宋" w:cs="仿宋"/>
                <w:sz w:val="21"/>
                <w:szCs w:val="21"/>
              </w:rPr>
              <w:t>72</w:t>
            </w:r>
          </w:p>
        </w:tc>
        <w:tc>
          <w:tcPr>
            <w:tcW w:w="1250" w:type="pct"/>
            <w:shd w:val="clear" w:color="auto" w:fill="auto"/>
          </w:tcPr>
          <w:p>
            <w:pPr>
              <w:rPr>
                <w:rFonts w:hint="eastAsia" w:ascii="仿宋" w:hAnsi="仿宋" w:eastAsia="仿宋" w:cs="仿宋"/>
                <w:sz w:val="21"/>
                <w:szCs w:val="21"/>
              </w:rPr>
            </w:pPr>
            <w:r>
              <w:rPr>
                <w:rFonts w:hint="eastAsia" w:ascii="仿宋" w:hAnsi="仿宋" w:eastAsia="仿宋" w:cs="仿宋"/>
                <w:sz w:val="21"/>
                <w:szCs w:val="21"/>
              </w:rPr>
              <w:t>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9" w:type="pct"/>
            <w:shd w:val="clear" w:color="auto" w:fill="auto"/>
          </w:tcPr>
          <w:p>
            <w:pPr>
              <w:spacing w:line="360" w:lineRule="auto"/>
              <w:rPr>
                <w:rFonts w:hint="eastAsia" w:ascii="仿宋" w:hAnsi="仿宋" w:eastAsia="仿宋" w:cs="仿宋"/>
                <w:sz w:val="21"/>
                <w:szCs w:val="21"/>
              </w:rPr>
            </w:pPr>
            <w:r>
              <w:rPr>
                <w:rFonts w:hint="eastAsia" w:ascii="仿宋" w:hAnsi="仿宋" w:eastAsia="仿宋" w:cs="仿宋"/>
                <w:sz w:val="21"/>
                <w:szCs w:val="21"/>
              </w:rPr>
              <w:t>市场占有率</w:t>
            </w:r>
          </w:p>
        </w:tc>
        <w:tc>
          <w:tcPr>
            <w:tcW w:w="1249" w:type="pct"/>
            <w:shd w:val="clear" w:color="auto" w:fill="auto"/>
          </w:tcPr>
          <w:p>
            <w:pPr>
              <w:rPr>
                <w:rFonts w:hint="eastAsia" w:ascii="仿宋" w:hAnsi="仿宋" w:eastAsia="仿宋" w:cs="仿宋"/>
                <w:sz w:val="21"/>
                <w:szCs w:val="21"/>
              </w:rPr>
            </w:pPr>
            <w:r>
              <w:rPr>
                <w:rFonts w:hint="eastAsia" w:ascii="仿宋" w:hAnsi="仿宋" w:eastAsia="仿宋" w:cs="仿宋"/>
                <w:sz w:val="21"/>
                <w:szCs w:val="21"/>
              </w:rPr>
              <w:t>95%</w:t>
            </w:r>
          </w:p>
        </w:tc>
        <w:tc>
          <w:tcPr>
            <w:tcW w:w="1250" w:type="pct"/>
            <w:shd w:val="clear" w:color="auto" w:fill="auto"/>
          </w:tcPr>
          <w:p>
            <w:pPr>
              <w:rPr>
                <w:rFonts w:hint="eastAsia" w:ascii="仿宋" w:hAnsi="仿宋" w:eastAsia="仿宋" w:cs="仿宋"/>
                <w:sz w:val="21"/>
                <w:szCs w:val="21"/>
              </w:rPr>
            </w:pPr>
            <w:r>
              <w:rPr>
                <w:rFonts w:hint="eastAsia" w:ascii="仿宋" w:hAnsi="仿宋" w:eastAsia="仿宋" w:cs="仿宋"/>
                <w:sz w:val="21"/>
                <w:szCs w:val="21"/>
              </w:rPr>
              <w:t>3%</w:t>
            </w:r>
          </w:p>
        </w:tc>
        <w:tc>
          <w:tcPr>
            <w:tcW w:w="1250" w:type="pct"/>
            <w:shd w:val="clear" w:color="auto" w:fill="auto"/>
          </w:tcPr>
          <w:p>
            <w:pPr>
              <w:rPr>
                <w:rFonts w:hint="eastAsia" w:ascii="仿宋" w:hAnsi="仿宋" w:eastAsia="仿宋" w:cs="仿宋"/>
                <w:sz w:val="21"/>
                <w:szCs w:val="21"/>
              </w:rPr>
            </w:pPr>
            <w:r>
              <w:rPr>
                <w:rFonts w:hint="eastAsia" w:ascii="仿宋" w:hAnsi="仿宋" w:eastAsia="仿宋" w:cs="仿宋"/>
                <w:sz w:val="21"/>
                <w:szCs w:val="21"/>
              </w:rPr>
              <w:t>2%</w:t>
            </w:r>
          </w:p>
        </w:tc>
      </w:tr>
    </w:tbl>
    <w:p>
      <w:pPr>
        <w:spacing w:line="360" w:lineRule="auto"/>
        <w:rPr>
          <w:rFonts w:hint="eastAsia" w:ascii="仿宋" w:hAnsi="仿宋" w:eastAsia="仿宋" w:cs="仿宋"/>
          <w:b/>
          <w:color w:val="000000"/>
          <w:kern w:val="0"/>
          <w:sz w:val="28"/>
          <w:szCs w:val="28"/>
        </w:rPr>
      </w:pPr>
    </w:p>
    <w:p>
      <w:pPr>
        <w:spacing w:line="360" w:lineRule="auto"/>
        <w:rPr>
          <w:rFonts w:hint="eastAsia" w:ascii="仿宋" w:hAnsi="仿宋" w:eastAsia="仿宋" w:cs="仿宋"/>
          <w:b/>
          <w:color w:val="000000"/>
          <w:kern w:val="0"/>
          <w:sz w:val="28"/>
          <w:szCs w:val="28"/>
        </w:rPr>
      </w:pPr>
      <w:r>
        <w:rPr>
          <w:rFonts w:hint="eastAsia" w:ascii="仿宋" w:hAnsi="仿宋" w:eastAsia="仿宋" w:cs="仿宋"/>
          <w:b/>
          <w:color w:val="000000"/>
          <w:kern w:val="0"/>
          <w:sz w:val="28"/>
          <w:szCs w:val="28"/>
        </w:rPr>
        <w:t>5、</w:t>
      </w:r>
      <w:r>
        <w:rPr>
          <w:rFonts w:hint="eastAsia" w:ascii="仿宋" w:hAnsi="仿宋" w:eastAsia="仿宋" w:cs="仿宋"/>
          <w:b/>
          <w:sz w:val="28"/>
          <w:szCs w:val="28"/>
        </w:rPr>
        <w:t>结论</w:t>
      </w:r>
      <w:r>
        <w:rPr>
          <w:rFonts w:hint="eastAsia" w:ascii="仿宋" w:hAnsi="仿宋" w:eastAsia="仿宋" w:cs="仿宋"/>
          <w:b/>
          <w:color w:val="000000"/>
          <w:kern w:val="0"/>
          <w:sz w:val="28"/>
          <w:szCs w:val="28"/>
        </w:rPr>
        <w:t xml:space="preserve">  </w:t>
      </w:r>
    </w:p>
    <w:p>
      <w:pPr>
        <w:spacing w:line="360" w:lineRule="auto"/>
        <w:ind w:firstLine="560" w:firstLineChars="200"/>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经调研，此次申请的全自动烷基汞分析仪主要用于各种水体及土壤、生物样品中的烷基汞超痕量烷基汞的定量分析。要求产品检出限低，线性范围宽，重现性好，回收率高，交叉污染低。进口的全自动烷基汞分析仪中烷基汞分析检出限低于0.002ng/L，线性范围0-40ng/L，重现性优于3%，交叉污染低于2‰，采用电子流量计控制气体流量，可升级为全自动总汞分析系统，能够满足我单位科研人员的分析要求。目前，国产的全自动烷基汞测定仪多为近年开发，检出限、低浓度样品重现性和回收率等参数暂无法满足我单位对烷基汞的分析要求。</w:t>
      </w:r>
    </w:p>
    <w:p>
      <w:pPr>
        <w:widowControl w:val="0"/>
        <w:numPr>
          <w:ilvl w:val="0"/>
          <w:numId w:val="0"/>
        </w:numPr>
        <w:ind w:firstLine="560" w:firstLineChars="200"/>
        <w:jc w:val="both"/>
        <w:rPr>
          <w:rFonts w:hint="eastAsia" w:ascii="仿宋" w:hAnsi="仿宋" w:eastAsia="仿宋" w:cs="仿宋"/>
          <w:b/>
          <w:bCs/>
          <w:sz w:val="28"/>
          <w:szCs w:val="28"/>
          <w:lang w:val="en-US" w:eastAsia="zh-CN"/>
        </w:rPr>
      </w:pPr>
      <w:r>
        <w:rPr>
          <w:rFonts w:hint="eastAsia" w:ascii="仿宋" w:hAnsi="仿宋" w:eastAsia="仿宋" w:cs="仿宋"/>
          <w:color w:val="000000"/>
          <w:kern w:val="0"/>
          <w:sz w:val="28"/>
          <w:szCs w:val="28"/>
        </w:rPr>
        <w:t>因此，申请采购进口产品的全自动烷基汞分析系统。</w:t>
      </w:r>
    </w:p>
    <w:p>
      <w:pPr>
        <w:numPr>
          <w:ilvl w:val="0"/>
          <w:numId w:val="1"/>
        </w:numPr>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XRF</w:t>
      </w:r>
      <w:r>
        <w:rPr>
          <w:rFonts w:hint="eastAsia" w:ascii="仿宋" w:hAnsi="仿宋" w:eastAsia="仿宋" w:cs="仿宋"/>
          <w:b/>
          <w:bCs/>
          <w:sz w:val="28"/>
          <w:szCs w:val="28"/>
        </w:rPr>
        <w:t>X射线荧光光谱仪</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X射线荧光光谱（XRF）分析法是对各种各样材料进行元素测定的一种现代化的通用分析方法。不管是固体样品、粉末样品、还是液体样品，位于元素周期表上从6号元素C到95号元素Am之间的所有元素都可以进行精确的定性、定量及无标样分析，同时还可对薄膜的厚度进行测定。根据不同应用要求，其分析浓度范围可从0.1ppm高至100%，而且即使高至100%的元素浓度也能直接进行测量而无须进行稀释，测量重现性优于±0.05%。XRF分析具有样品制备简单、测定元素范围广、测定精度高、重现性好、测量速度快、无环境污染等特点。</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在环境保护、地质科学、矿物学的广阔领域中，XRF通常应用于分析土壤、岩石、矿物、水泥、粉尘、污泥或过滤物等。</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对于不均匀的固体样品，如岩石、土壤、矿物、矿石、粉尘、污泥等，样品的制备十分简单快速。将样品粉碎，磨细至粒度小于200目（由机器制备），压成片即可。根据分析的需要，也可制成熔融片。对于均匀的固态样品，如玻璃、陶瓷、高分子聚合物或金属，可直接测量。</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液体样品如燃料、油、各种溶剂，可用溶液样杯或滤纸片装载直接进行分析。通过一定的富集方法，对ppb级痕量元素的分析也是可能的。</w:t>
      </w:r>
    </w:p>
    <w:p>
      <w:pPr>
        <w:spacing w:before="156" w:beforeLines="50" w:line="360" w:lineRule="auto"/>
        <w:rPr>
          <w:rFonts w:hint="eastAsia" w:ascii="黑体" w:hAnsi="黑体" w:eastAsia="黑体" w:cs="黑体"/>
          <w:b/>
          <w:sz w:val="28"/>
          <w:szCs w:val="28"/>
        </w:rPr>
      </w:pPr>
      <w:r>
        <w:rPr>
          <w:rFonts w:hint="eastAsia" w:ascii="黑体" w:hAnsi="黑体" w:eastAsia="黑体" w:cs="黑体"/>
          <w:b/>
          <w:sz w:val="28"/>
          <w:szCs w:val="28"/>
          <w:lang w:val="en-US" w:eastAsia="zh-CN"/>
        </w:rPr>
        <w:t>二</w:t>
      </w:r>
      <w:r>
        <w:rPr>
          <w:rFonts w:hint="eastAsia" w:ascii="黑体" w:hAnsi="黑体" w:eastAsia="黑体" w:cs="黑体"/>
          <w:b/>
          <w:sz w:val="28"/>
          <w:szCs w:val="28"/>
        </w:rPr>
        <w:t>、X射线荧光光谱仪</w:t>
      </w:r>
    </w:p>
    <w:p>
      <w:pPr>
        <w:spacing w:line="360" w:lineRule="auto"/>
        <w:rPr>
          <w:rFonts w:hint="eastAsia" w:ascii="仿宋" w:hAnsi="仿宋" w:eastAsia="仿宋" w:cs="仿宋"/>
          <w:b/>
          <w:sz w:val="28"/>
          <w:szCs w:val="28"/>
        </w:rPr>
      </w:pPr>
      <w:r>
        <w:rPr>
          <w:rFonts w:hint="eastAsia" w:ascii="仿宋" w:hAnsi="仿宋" w:eastAsia="仿宋" w:cs="仿宋"/>
          <w:b/>
          <w:sz w:val="28"/>
          <w:szCs w:val="28"/>
        </w:rPr>
        <w:t>1、需求及现状</w:t>
      </w:r>
    </w:p>
    <w:p>
      <w:pPr>
        <w:spacing w:line="360" w:lineRule="auto"/>
        <w:rPr>
          <w:rFonts w:hint="eastAsia" w:ascii="仿宋" w:hAnsi="仿宋" w:eastAsia="仿宋" w:cs="仿宋"/>
          <w:kern w:val="0"/>
          <w:sz w:val="28"/>
          <w:szCs w:val="28"/>
        </w:rPr>
      </w:pPr>
      <w:r>
        <w:rPr>
          <w:rFonts w:hint="eastAsia" w:ascii="仿宋" w:hAnsi="仿宋" w:eastAsia="仿宋" w:cs="仿宋"/>
          <w:kern w:val="0"/>
          <w:sz w:val="28"/>
          <w:szCs w:val="28"/>
        </w:rPr>
        <w:t>（1）采购需求</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结合前期对国内开展类似监测工作的单位进行调研的结果，HJ780-2015《土壤和沉积物 无机元素的测定 波长色散X射线荧光光谱法》、HJ830-2017《环境空气 颗粒物中无机元素的测定 波长色散-X射线荧光光谱法》、HJ1211-2021《固体废物 无机元素的测定 波长色散X射线荧光光谱法》等规范的要求，拟采购仪器需满足如下技术要求：</w:t>
      </w:r>
    </w:p>
    <w:p>
      <w:pPr>
        <w:spacing w:line="360" w:lineRule="auto"/>
        <w:rPr>
          <w:rFonts w:hint="eastAsia" w:ascii="仿宋" w:hAnsi="仿宋" w:eastAsia="仿宋" w:cs="仿宋"/>
          <w:kern w:val="0"/>
          <w:sz w:val="28"/>
          <w:szCs w:val="28"/>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1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①</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顺序式波长色散X射线荧光光谱</w:t>
      </w:r>
    </w:p>
    <w:p>
      <w:pPr>
        <w:spacing w:line="360" w:lineRule="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2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②</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元素范围O-Am；</w:t>
      </w:r>
    </w:p>
    <w:p>
      <w:pPr>
        <w:spacing w:line="360" w:lineRule="auto"/>
        <w:rPr>
          <w:rFonts w:hint="eastAsia" w:ascii="仿宋" w:hAnsi="仿宋" w:eastAsia="仿宋" w:cs="仿宋"/>
          <w:spacing w:val="6"/>
          <w:sz w:val="28"/>
          <w:szCs w:val="28"/>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3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③</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含量范围：</w:t>
      </w:r>
      <w:r>
        <w:rPr>
          <w:rFonts w:hint="eastAsia" w:ascii="仿宋" w:hAnsi="仿宋" w:eastAsia="仿宋" w:cs="仿宋"/>
          <w:spacing w:val="6"/>
          <w:sz w:val="28"/>
          <w:szCs w:val="28"/>
        </w:rPr>
        <w:t>ppm-100%；</w:t>
      </w:r>
    </w:p>
    <w:p>
      <w:pPr>
        <w:spacing w:line="360" w:lineRule="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4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④</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精密度≤±0.05%；</w:t>
      </w:r>
    </w:p>
    <w:p>
      <w:pPr>
        <w:spacing w:line="360" w:lineRule="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5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⑤</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 xml:space="preserve">无标样分析软件 </w:t>
      </w:r>
    </w:p>
    <w:p>
      <w:pPr>
        <w:pStyle w:val="6"/>
        <w:spacing w:line="360" w:lineRule="auto"/>
        <w:ind w:firstLine="0" w:firstLineChars="0"/>
        <w:rPr>
          <w:rFonts w:hint="eastAsia" w:ascii="仿宋" w:hAnsi="仿宋" w:eastAsia="仿宋" w:cs="仿宋"/>
          <w:kern w:val="0"/>
          <w:sz w:val="28"/>
          <w:szCs w:val="28"/>
        </w:rPr>
      </w:pPr>
      <w:r>
        <w:rPr>
          <w:rFonts w:hint="eastAsia" w:ascii="仿宋" w:hAnsi="仿宋" w:eastAsia="仿宋" w:cs="仿宋"/>
          <w:kern w:val="0"/>
          <w:sz w:val="28"/>
          <w:szCs w:val="28"/>
        </w:rPr>
        <w:t>（2）采购前现状</w:t>
      </w:r>
    </w:p>
    <w:p>
      <w:pPr>
        <w:widowControl/>
        <w:spacing w:line="360" w:lineRule="auto"/>
        <w:ind w:firstLine="560" w:firstLineChars="200"/>
        <w:outlineLvl w:val="1"/>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我</w:t>
      </w:r>
      <w:r>
        <w:rPr>
          <w:rFonts w:hint="eastAsia" w:ascii="仿宋" w:hAnsi="仿宋" w:eastAsia="仿宋" w:cs="仿宋"/>
          <w:color w:val="000000"/>
          <w:kern w:val="0"/>
          <w:sz w:val="28"/>
          <w:szCs w:val="28"/>
          <w:lang w:val="en-US" w:eastAsia="zh-CN"/>
        </w:rPr>
        <w:t>院</w:t>
      </w:r>
      <w:r>
        <w:rPr>
          <w:rFonts w:hint="eastAsia" w:ascii="仿宋" w:hAnsi="仿宋" w:eastAsia="仿宋" w:cs="仿宋"/>
          <w:color w:val="000000"/>
          <w:kern w:val="0"/>
          <w:sz w:val="28"/>
          <w:szCs w:val="28"/>
        </w:rPr>
        <w:t>尚未采购过满足上述需求的同类或相关设备，需购置X射线荧光光谱仪完善检测体系，满足开展</w:t>
      </w:r>
      <w:r>
        <w:rPr>
          <w:rFonts w:hint="eastAsia" w:ascii="仿宋" w:hAnsi="仿宋" w:eastAsia="仿宋" w:cs="仿宋"/>
          <w:color w:val="000000"/>
          <w:kern w:val="0"/>
          <w:sz w:val="28"/>
          <w:szCs w:val="28"/>
          <w:lang w:val="en-US" w:eastAsia="zh-CN"/>
        </w:rPr>
        <w:t>危废</w:t>
      </w:r>
      <w:r>
        <w:rPr>
          <w:rFonts w:hint="eastAsia" w:ascii="仿宋" w:hAnsi="仿宋" w:eastAsia="仿宋" w:cs="仿宋"/>
          <w:color w:val="000000"/>
          <w:kern w:val="0"/>
          <w:sz w:val="28"/>
          <w:szCs w:val="28"/>
        </w:rPr>
        <w:t>污染防治工作的要求。</w:t>
      </w:r>
    </w:p>
    <w:p>
      <w:pPr>
        <w:spacing w:line="360" w:lineRule="auto"/>
        <w:rPr>
          <w:rFonts w:hint="eastAsia" w:ascii="仿宋" w:hAnsi="仿宋" w:eastAsia="仿宋" w:cs="仿宋"/>
          <w:b/>
          <w:sz w:val="28"/>
          <w:szCs w:val="28"/>
        </w:rPr>
      </w:pPr>
      <w:r>
        <w:rPr>
          <w:rFonts w:hint="eastAsia" w:ascii="仿宋" w:hAnsi="仿宋" w:eastAsia="仿宋" w:cs="仿宋"/>
          <w:b/>
          <w:sz w:val="28"/>
          <w:szCs w:val="28"/>
        </w:rPr>
        <w:t>2、调研方式及调研厂家品牌情况</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color w:val="000000"/>
          <w:kern w:val="0"/>
          <w:sz w:val="28"/>
          <w:szCs w:val="28"/>
        </w:rPr>
        <w:t>目前市面上主要生产</w:t>
      </w:r>
      <w:r>
        <w:rPr>
          <w:rFonts w:hint="eastAsia" w:ascii="仿宋" w:hAnsi="仿宋" w:eastAsia="仿宋" w:cs="仿宋"/>
          <w:kern w:val="0"/>
          <w:sz w:val="28"/>
          <w:szCs w:val="28"/>
        </w:rPr>
        <w:t>波长色散X射线荧光光谱仪</w:t>
      </w:r>
      <w:r>
        <w:rPr>
          <w:rFonts w:hint="eastAsia" w:ascii="仿宋" w:hAnsi="仿宋" w:eastAsia="仿宋" w:cs="仿宋"/>
          <w:color w:val="000000"/>
          <w:kern w:val="0"/>
          <w:sz w:val="28"/>
          <w:szCs w:val="28"/>
        </w:rPr>
        <w:t>的主要厂家都为进口厂家，</w:t>
      </w:r>
      <w:r>
        <w:rPr>
          <w:rFonts w:hint="eastAsia" w:ascii="仿宋" w:hAnsi="仿宋" w:eastAsia="仿宋" w:cs="仿宋"/>
          <w:sz w:val="28"/>
          <w:szCs w:val="28"/>
        </w:rPr>
        <w:t>主要有：ThermoFisher(美国赛默飞)、Bruker (德国</w:t>
      </w:r>
      <w:bookmarkStart w:id="1" w:name="OLE_LINK1"/>
      <w:r>
        <w:rPr>
          <w:rFonts w:hint="eastAsia" w:ascii="仿宋" w:hAnsi="仿宋" w:eastAsia="仿宋" w:cs="仿宋"/>
          <w:sz w:val="28"/>
          <w:szCs w:val="28"/>
        </w:rPr>
        <w:t>布鲁克</w:t>
      </w:r>
      <w:bookmarkEnd w:id="1"/>
      <w:r>
        <w:rPr>
          <w:rFonts w:hint="eastAsia" w:ascii="仿宋" w:hAnsi="仿宋" w:eastAsia="仿宋" w:cs="仿宋"/>
          <w:sz w:val="28"/>
          <w:szCs w:val="28"/>
        </w:rPr>
        <w:t>)、日本</w:t>
      </w:r>
      <w:r>
        <w:rPr>
          <w:rFonts w:hint="eastAsia" w:ascii="仿宋" w:hAnsi="仿宋" w:eastAsia="仿宋" w:cs="仿宋"/>
          <w:sz w:val="28"/>
          <w:szCs w:val="28"/>
          <w:lang w:val="en-US" w:eastAsia="zh-CN"/>
        </w:rPr>
        <w:t>理学</w:t>
      </w:r>
      <w:r>
        <w:rPr>
          <w:rFonts w:hint="eastAsia" w:ascii="仿宋" w:hAnsi="仿宋" w:eastAsia="仿宋" w:cs="仿宋"/>
          <w:sz w:val="28"/>
          <w:szCs w:val="28"/>
        </w:rPr>
        <w:t>可配置</w:t>
      </w:r>
      <w:r>
        <w:rPr>
          <w:rFonts w:hint="eastAsia" w:ascii="仿宋" w:hAnsi="仿宋" w:eastAsia="仿宋" w:cs="仿宋"/>
          <w:kern w:val="0"/>
          <w:sz w:val="28"/>
          <w:szCs w:val="28"/>
        </w:rPr>
        <w:t>波长色散X射线荧光光谱仪</w:t>
      </w:r>
    </w:p>
    <w:p>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国产厂商只有江苏天瑞一家厂商生产，其生产的顺序式波长色散X射线荧光光谱仪没有无标样软件，不能满足HJ1211-2021对固废样品检测的需求。</w:t>
      </w:r>
    </w:p>
    <w:p>
      <w:pPr>
        <w:widowControl/>
        <w:spacing w:line="360" w:lineRule="auto"/>
        <w:ind w:firstLine="560" w:firstLineChars="200"/>
        <w:outlineLvl w:val="1"/>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我科室通过电话沟通的方式对不同品牌仪器设备生产商（赛默飞世尔科技（中国）有限公司、布鲁克（北京）科技有限公司、理学电企仪器(北京)有限公司、上海思百吉仪器系统有限公司）的国内分公司或办事处开展广泛的调研；通过面谈的方式同（赛默飞世尔科技（中国）有限公司、布鲁克（北京）科技有限公司、理学电企仪器(北京)有限公司、上海思百吉仪器系统有限公司</w:t>
      </w:r>
      <w:r>
        <w:rPr>
          <w:rFonts w:hint="eastAsia" w:ascii="仿宋" w:hAnsi="仿宋" w:eastAsia="仿宋" w:cs="仿宋"/>
          <w:sz w:val="28"/>
          <w:szCs w:val="28"/>
        </w:rPr>
        <w:t>等设备生产商进行参数交流。</w:t>
      </w:r>
      <w:r>
        <w:rPr>
          <w:rFonts w:hint="eastAsia" w:ascii="仿宋" w:hAnsi="仿宋" w:eastAsia="仿宋" w:cs="仿宋"/>
          <w:color w:val="000000"/>
          <w:kern w:val="0"/>
          <w:sz w:val="28"/>
          <w:szCs w:val="28"/>
        </w:rPr>
        <w:t>并且通过电话的方式与兄弟业务单位、科研高校和相关使用单位（</w:t>
      </w:r>
      <w:r>
        <w:rPr>
          <w:rFonts w:hint="eastAsia" w:ascii="仿宋" w:hAnsi="仿宋" w:eastAsia="仿宋" w:cs="仿宋"/>
          <w:color w:val="000000" w:themeColor="text1"/>
          <w:sz w:val="28"/>
          <w:szCs w:val="28"/>
          <w14:textFill>
            <w14:solidFill>
              <w14:schemeClr w14:val="tx1"/>
            </w14:solidFill>
          </w14:textFill>
        </w:rPr>
        <w:t>江苏省环境监测中心</w:t>
      </w:r>
      <w:r>
        <w:rPr>
          <w:rFonts w:hint="eastAsia" w:ascii="仿宋" w:hAnsi="仿宋" w:eastAsia="仿宋" w:cs="仿宋"/>
          <w:color w:val="000000"/>
          <w:kern w:val="0"/>
          <w:sz w:val="28"/>
          <w:szCs w:val="28"/>
        </w:rPr>
        <w:t>、湖南省环境监测中心、中日友好环境保护中心</w:t>
      </w:r>
      <w:r>
        <w:rPr>
          <w:rFonts w:hint="eastAsia" w:ascii="仿宋" w:hAnsi="仿宋" w:eastAsia="仿宋" w:cs="仿宋"/>
          <w:color w:val="000000" w:themeColor="text1"/>
          <w:sz w:val="28"/>
          <w:szCs w:val="28"/>
          <w14:textFill>
            <w14:solidFill>
              <w14:schemeClr w14:val="tx1"/>
            </w14:solidFill>
          </w14:textFill>
        </w:rPr>
        <w:t>、浙江省生态环境监测中心、国家环境监测中心、上海市环境监测中心、北京市环境监测中心站、厦门大学、</w:t>
      </w:r>
      <w:r>
        <w:rPr>
          <w:rFonts w:hint="eastAsia" w:ascii="仿宋" w:hAnsi="仿宋" w:eastAsia="仿宋" w:cs="仿宋"/>
          <w:sz w:val="28"/>
          <w:szCs w:val="28"/>
        </w:rPr>
        <w:t>厦门市环境监测站、福建省环境监测中心</w:t>
      </w:r>
      <w:r>
        <w:rPr>
          <w:rFonts w:hint="eastAsia" w:ascii="仿宋" w:hAnsi="仿宋" w:eastAsia="仿宋" w:cs="仿宋"/>
          <w:color w:val="000000"/>
          <w:kern w:val="0"/>
          <w:sz w:val="28"/>
          <w:szCs w:val="28"/>
        </w:rPr>
        <w:t>）对监测频次、采样方式、样品前处理及检测设备等进行深入的技术交流，其中</w:t>
      </w:r>
      <w:r>
        <w:rPr>
          <w:rFonts w:hint="eastAsia" w:ascii="仿宋" w:hAnsi="仿宋" w:eastAsia="仿宋" w:cs="仿宋"/>
          <w:color w:val="000000" w:themeColor="text1"/>
          <w:sz w:val="28"/>
          <w:szCs w:val="28"/>
          <w14:textFill>
            <w14:solidFill>
              <w14:schemeClr w14:val="tx1"/>
            </w14:solidFill>
          </w14:textFill>
        </w:rPr>
        <w:t>江苏省环境监测中心</w:t>
      </w:r>
      <w:r>
        <w:rPr>
          <w:rFonts w:hint="eastAsia" w:ascii="仿宋" w:hAnsi="仿宋" w:eastAsia="仿宋" w:cs="仿宋"/>
          <w:color w:val="000000"/>
          <w:kern w:val="0"/>
          <w:sz w:val="28"/>
          <w:szCs w:val="28"/>
        </w:rPr>
        <w:t>、中日友好环境保护中心、</w:t>
      </w:r>
      <w:r>
        <w:rPr>
          <w:rFonts w:hint="eastAsia" w:ascii="仿宋" w:hAnsi="仿宋" w:eastAsia="仿宋" w:cs="仿宋"/>
          <w:color w:val="000000" w:themeColor="text1"/>
          <w:sz w:val="28"/>
          <w:szCs w:val="28"/>
          <w14:textFill>
            <w14:solidFill>
              <w14:schemeClr w14:val="tx1"/>
            </w14:solidFill>
          </w14:textFill>
        </w:rPr>
        <w:t>湖南省环境监测中心均为相关标准起草单位，</w:t>
      </w:r>
      <w:r>
        <w:rPr>
          <w:rFonts w:hint="eastAsia" w:ascii="仿宋" w:hAnsi="仿宋" w:eastAsia="仿宋" w:cs="仿宋"/>
          <w:color w:val="000000"/>
          <w:kern w:val="0"/>
          <w:sz w:val="28"/>
          <w:szCs w:val="28"/>
        </w:rPr>
        <w:t>了解到这些已开展相关监测单位目前采购的均为进口品牌的仪器。</w:t>
      </w:r>
    </w:p>
    <w:p>
      <w:pPr>
        <w:spacing w:line="360" w:lineRule="auto"/>
        <w:rPr>
          <w:rFonts w:hint="eastAsia" w:ascii="仿宋" w:hAnsi="仿宋" w:eastAsia="仿宋" w:cs="仿宋"/>
          <w:b/>
          <w:sz w:val="28"/>
          <w:szCs w:val="28"/>
        </w:rPr>
      </w:pPr>
      <w:r>
        <w:rPr>
          <w:rFonts w:hint="eastAsia" w:ascii="仿宋" w:hAnsi="仿宋" w:eastAsia="仿宋" w:cs="仿宋"/>
          <w:b/>
          <w:sz w:val="28"/>
          <w:szCs w:val="28"/>
        </w:rPr>
        <w:t>3、国产同类产品情况</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据调研，目前没有同类国产设备满足采购需求。</w:t>
      </w:r>
    </w:p>
    <w:p>
      <w:pPr>
        <w:spacing w:line="360" w:lineRule="auto"/>
        <w:rPr>
          <w:rFonts w:hint="eastAsia" w:ascii="仿宋" w:hAnsi="仿宋" w:eastAsia="仿宋" w:cs="仿宋"/>
          <w:b/>
          <w:sz w:val="28"/>
          <w:szCs w:val="28"/>
        </w:rPr>
      </w:pPr>
      <w:r>
        <w:rPr>
          <w:rFonts w:hint="eastAsia" w:ascii="仿宋" w:hAnsi="仿宋" w:eastAsia="仿宋" w:cs="仿宋"/>
          <w:b/>
          <w:sz w:val="28"/>
          <w:szCs w:val="28"/>
        </w:rPr>
        <w:t>4、进口产品具备的优势：</w:t>
      </w:r>
    </w:p>
    <w:p>
      <w:pPr>
        <w:pStyle w:val="6"/>
        <w:spacing w:line="360" w:lineRule="auto"/>
        <w:ind w:firstLine="480" w:firstLineChars="0"/>
        <w:rPr>
          <w:rFonts w:hint="eastAsia" w:ascii="仿宋" w:hAnsi="仿宋" w:eastAsia="仿宋" w:cs="仿宋"/>
          <w:kern w:val="0"/>
          <w:sz w:val="28"/>
          <w:szCs w:val="28"/>
        </w:rPr>
      </w:pPr>
      <w:r>
        <w:rPr>
          <w:rFonts w:hint="eastAsia" w:ascii="仿宋" w:hAnsi="仿宋" w:eastAsia="仿宋" w:cs="仿宋"/>
          <w:kern w:val="0"/>
          <w:sz w:val="28"/>
          <w:szCs w:val="28"/>
        </w:rPr>
        <w:t>具有高效的无标样分析软件，可以快速的识别固体废弃物。拥有氦气模式，可测量固液混合的样品。仪器分辨率更好，定性分析结果更可靠。国产波长色散X射线仪器还没有在环境行业成功应用的先例</w:t>
      </w:r>
    </w:p>
    <w:p>
      <w:pPr>
        <w:pStyle w:val="6"/>
        <w:spacing w:line="360" w:lineRule="auto"/>
        <w:ind w:firstLine="480" w:firstLineChars="0"/>
        <w:rPr>
          <w:rFonts w:hint="eastAsia" w:ascii="仿宋" w:hAnsi="仿宋" w:eastAsia="仿宋" w:cs="仿宋"/>
          <w:kern w:val="0"/>
          <w:sz w:val="28"/>
          <w:szCs w:val="28"/>
        </w:rPr>
      </w:pPr>
      <w:r>
        <w:rPr>
          <w:rFonts w:hint="eastAsia" w:ascii="仿宋" w:hAnsi="仿宋" w:eastAsia="仿宋" w:cs="仿宋"/>
          <w:kern w:val="0"/>
          <w:sz w:val="28"/>
          <w:szCs w:val="28"/>
        </w:rPr>
        <w:t>国外品牌个主要技术指标对比见表</w:t>
      </w:r>
      <w:r>
        <w:rPr>
          <w:rFonts w:hint="eastAsia" w:ascii="仿宋" w:hAnsi="仿宋" w:eastAsia="仿宋" w:cs="仿宋"/>
          <w:kern w:val="0"/>
          <w:sz w:val="28"/>
          <w:szCs w:val="28"/>
          <w:lang w:val="en-US" w:eastAsia="zh-CN"/>
        </w:rPr>
        <w:t>2</w:t>
      </w:r>
      <w:r>
        <w:rPr>
          <w:rFonts w:hint="eastAsia" w:ascii="仿宋" w:hAnsi="仿宋" w:eastAsia="仿宋" w:cs="仿宋"/>
          <w:kern w:val="0"/>
          <w:sz w:val="28"/>
          <w:szCs w:val="28"/>
        </w:rPr>
        <w:t>。</w:t>
      </w:r>
    </w:p>
    <w:p>
      <w:pPr>
        <w:spacing w:line="360" w:lineRule="auto"/>
        <w:jc w:val="center"/>
        <w:rPr>
          <w:rFonts w:hint="eastAsia" w:ascii="仿宋" w:hAnsi="仿宋" w:eastAsia="仿宋" w:cs="仿宋"/>
          <w:b/>
          <w:bCs w:val="0"/>
          <w:sz w:val="28"/>
          <w:szCs w:val="28"/>
        </w:rPr>
      </w:pPr>
      <w:r>
        <w:rPr>
          <w:rFonts w:hint="eastAsia" w:ascii="仿宋" w:hAnsi="仿宋" w:eastAsia="仿宋" w:cs="仿宋"/>
          <w:b/>
          <w:bCs w:val="0"/>
          <w:sz w:val="28"/>
          <w:szCs w:val="28"/>
        </w:rPr>
        <w:t>表</w:t>
      </w:r>
      <w:r>
        <w:rPr>
          <w:rFonts w:hint="eastAsia" w:ascii="仿宋" w:hAnsi="仿宋" w:eastAsia="仿宋" w:cs="仿宋"/>
          <w:b/>
          <w:bCs w:val="0"/>
          <w:sz w:val="28"/>
          <w:szCs w:val="28"/>
          <w:lang w:val="en-US" w:eastAsia="zh-CN"/>
        </w:rPr>
        <w:t>2</w:t>
      </w:r>
      <w:r>
        <w:rPr>
          <w:rFonts w:hint="eastAsia" w:ascii="仿宋" w:hAnsi="仿宋" w:eastAsia="仿宋" w:cs="仿宋"/>
          <w:b/>
          <w:bCs w:val="0"/>
          <w:sz w:val="28"/>
          <w:szCs w:val="28"/>
        </w:rPr>
        <w:t xml:space="preserve"> 国外品牌主要技术指标对比</w:t>
      </w:r>
    </w:p>
    <w:tbl>
      <w:tblPr>
        <w:tblStyle w:val="4"/>
        <w:tblW w:w="550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39"/>
        <w:gridCol w:w="1896"/>
        <w:gridCol w:w="1730"/>
        <w:gridCol w:w="2424"/>
        <w:gridCol w:w="2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674" w:type="pct"/>
            <w:tcBorders>
              <w:bottom w:val="single" w:color="auto" w:sz="4" w:space="0"/>
            </w:tcBorders>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公司</w:t>
            </w:r>
          </w:p>
        </w:tc>
        <w:tc>
          <w:tcPr>
            <w:tcW w:w="959" w:type="pct"/>
            <w:tcBorders>
              <w:bottom w:val="single" w:color="auto" w:sz="4" w:space="0"/>
            </w:tcBorders>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美国赛默飞世尔</w:t>
            </w:r>
          </w:p>
        </w:tc>
        <w:tc>
          <w:tcPr>
            <w:tcW w:w="935" w:type="pct"/>
            <w:tcBorders>
              <w:bottom w:val="single" w:color="auto" w:sz="4" w:space="0"/>
            </w:tcBorders>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日本理学</w:t>
            </w:r>
          </w:p>
        </w:tc>
        <w:tc>
          <w:tcPr>
            <w:tcW w:w="1305" w:type="pct"/>
            <w:tcBorders>
              <w:bottom w:val="single" w:color="auto" w:sz="4" w:space="0"/>
            </w:tcBorders>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德国布鲁克</w:t>
            </w:r>
          </w:p>
        </w:tc>
        <w:tc>
          <w:tcPr>
            <w:tcW w:w="1127" w:type="pct"/>
            <w:tcBorders>
              <w:bottom w:val="single" w:color="auto" w:sz="4" w:space="0"/>
            </w:tcBorders>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思百吉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674" w:type="pct"/>
            <w:tcBorders>
              <w:bottom w:val="single" w:color="auto" w:sz="4" w:space="0"/>
            </w:tcBorders>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型号</w:t>
            </w:r>
          </w:p>
        </w:tc>
        <w:tc>
          <w:tcPr>
            <w:tcW w:w="959" w:type="pct"/>
            <w:tcBorders>
              <w:bottom w:val="single" w:color="auto" w:sz="4" w:space="0"/>
            </w:tcBorders>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Perform’X</w:t>
            </w:r>
          </w:p>
        </w:tc>
        <w:tc>
          <w:tcPr>
            <w:tcW w:w="935" w:type="pct"/>
            <w:tcBorders>
              <w:bottom w:val="single" w:color="auto" w:sz="4" w:space="0"/>
            </w:tcBorders>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ZSX Primus</w:t>
            </w:r>
          </w:p>
        </w:tc>
        <w:tc>
          <w:tcPr>
            <w:tcW w:w="1305" w:type="pct"/>
            <w:tcBorders>
              <w:bottom w:val="single" w:color="auto" w:sz="4" w:space="0"/>
            </w:tcBorders>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color w:val="231F20"/>
                <w:sz w:val="21"/>
                <w:szCs w:val="21"/>
              </w:rPr>
              <w:t>S8TIGER</w:t>
            </w:r>
          </w:p>
        </w:tc>
        <w:tc>
          <w:tcPr>
            <w:tcW w:w="1127" w:type="pct"/>
            <w:tcBorders>
              <w:bottom w:val="single" w:color="auto" w:sz="4" w:space="0"/>
            </w:tcBorders>
            <w:vAlign w:val="center"/>
          </w:tcPr>
          <w:p>
            <w:pPr>
              <w:spacing w:line="400" w:lineRule="exact"/>
              <w:jc w:val="center"/>
              <w:rPr>
                <w:rFonts w:hint="eastAsia" w:ascii="仿宋" w:hAnsi="仿宋" w:eastAsia="仿宋" w:cs="仿宋"/>
                <w:sz w:val="21"/>
                <w:szCs w:val="21"/>
              </w:rPr>
            </w:pPr>
            <w:r>
              <w:rPr>
                <w:rFonts w:hint="eastAsia" w:ascii="仿宋" w:hAnsi="仿宋" w:eastAsia="仿宋" w:cs="仿宋"/>
                <w:sz w:val="21"/>
                <w:szCs w:val="21"/>
              </w:rPr>
              <w:t>Zetium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674" w:type="pct"/>
            <w:tcBorders>
              <w:bottom w:val="single" w:color="auto" w:sz="4" w:space="0"/>
            </w:tcBorders>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color w:val="000000" w:themeColor="text1"/>
                <w:sz w:val="21"/>
                <w:szCs w:val="21"/>
                <w14:textFill>
                  <w14:solidFill>
                    <w14:schemeClr w14:val="tx1"/>
                  </w14:solidFill>
                </w14:textFill>
              </w:rPr>
              <w:t>1、元素范围</w:t>
            </w:r>
          </w:p>
        </w:tc>
        <w:tc>
          <w:tcPr>
            <w:tcW w:w="959" w:type="pct"/>
            <w:tcBorders>
              <w:bottom w:val="single" w:color="auto" w:sz="4" w:space="0"/>
            </w:tcBorders>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kern w:val="0"/>
                <w:sz w:val="21"/>
                <w:szCs w:val="21"/>
              </w:rPr>
              <w:t>O-U(标配)</w:t>
            </w:r>
          </w:p>
        </w:tc>
        <w:tc>
          <w:tcPr>
            <w:tcW w:w="935" w:type="pct"/>
            <w:tcBorders>
              <w:bottom w:val="single" w:color="auto" w:sz="4" w:space="0"/>
            </w:tcBorders>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kern w:val="0"/>
                <w:sz w:val="21"/>
                <w:szCs w:val="21"/>
              </w:rPr>
              <w:t>O-U(标配)</w:t>
            </w:r>
          </w:p>
        </w:tc>
        <w:tc>
          <w:tcPr>
            <w:tcW w:w="1305" w:type="pct"/>
            <w:tcBorders>
              <w:bottom w:val="single" w:color="auto" w:sz="4" w:space="0"/>
            </w:tcBorders>
            <w:vAlign w:val="center"/>
          </w:tcPr>
          <w:p>
            <w:pPr>
              <w:spacing w:line="400" w:lineRule="exact"/>
              <w:jc w:val="center"/>
              <w:rPr>
                <w:rFonts w:hint="eastAsia" w:ascii="仿宋" w:hAnsi="仿宋" w:eastAsia="仿宋" w:cs="仿宋"/>
                <w:color w:val="231F20"/>
                <w:sz w:val="21"/>
                <w:szCs w:val="21"/>
              </w:rPr>
            </w:pPr>
            <w:r>
              <w:rPr>
                <w:rFonts w:hint="eastAsia" w:ascii="仿宋" w:hAnsi="仿宋" w:eastAsia="仿宋" w:cs="仿宋"/>
                <w:kern w:val="0"/>
                <w:sz w:val="21"/>
                <w:szCs w:val="21"/>
              </w:rPr>
              <w:t>O-Am(标配)</w:t>
            </w:r>
          </w:p>
        </w:tc>
        <w:tc>
          <w:tcPr>
            <w:tcW w:w="1127" w:type="pct"/>
            <w:tcBorders>
              <w:bottom w:val="single" w:color="auto" w:sz="4" w:space="0"/>
            </w:tcBorders>
            <w:vAlign w:val="center"/>
          </w:tcPr>
          <w:p>
            <w:pPr>
              <w:spacing w:line="40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O-Am(标配)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674" w:type="pct"/>
            <w:shd w:val="clear" w:color="auto" w:fill="auto"/>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2、含量范围</w:t>
            </w:r>
          </w:p>
        </w:tc>
        <w:tc>
          <w:tcPr>
            <w:tcW w:w="959" w:type="pct"/>
            <w:shd w:val="clear" w:color="auto" w:fill="auto"/>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ppm-100%</w:t>
            </w:r>
          </w:p>
        </w:tc>
        <w:tc>
          <w:tcPr>
            <w:tcW w:w="935" w:type="pct"/>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ppm-100%</w:t>
            </w:r>
          </w:p>
        </w:tc>
        <w:tc>
          <w:tcPr>
            <w:tcW w:w="1305" w:type="pct"/>
            <w:shd w:val="clear" w:color="auto" w:fill="auto"/>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ppm-100%</w:t>
            </w:r>
          </w:p>
        </w:tc>
        <w:tc>
          <w:tcPr>
            <w:tcW w:w="1127" w:type="pct"/>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ppm-100%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674" w:type="pct"/>
            <w:shd w:val="clear" w:color="auto" w:fill="auto"/>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3、最大激发性能</w:t>
            </w:r>
          </w:p>
        </w:tc>
        <w:tc>
          <w:tcPr>
            <w:tcW w:w="959" w:type="pct"/>
            <w:shd w:val="clear" w:color="auto" w:fill="auto"/>
            <w:vAlign w:val="center"/>
          </w:tcPr>
          <w:p>
            <w:pPr>
              <w:spacing w:line="400" w:lineRule="exact"/>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bCs/>
                <w:sz w:val="21"/>
                <w:szCs w:val="21"/>
              </w:rPr>
              <w:t>4.2kw/70kv/120mA</w:t>
            </w:r>
          </w:p>
        </w:tc>
        <w:tc>
          <w:tcPr>
            <w:tcW w:w="935" w:type="pct"/>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4kw/60kv/150mA</w:t>
            </w:r>
          </w:p>
        </w:tc>
        <w:tc>
          <w:tcPr>
            <w:tcW w:w="1305" w:type="pct"/>
            <w:shd w:val="clear" w:color="auto" w:fill="auto"/>
            <w:vAlign w:val="center"/>
          </w:tcPr>
          <w:p>
            <w:pPr>
              <w:spacing w:line="400" w:lineRule="exact"/>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bCs/>
                <w:sz w:val="21"/>
                <w:szCs w:val="21"/>
              </w:rPr>
              <w:t>4kw/60kv/170mA</w:t>
            </w:r>
          </w:p>
        </w:tc>
        <w:tc>
          <w:tcPr>
            <w:tcW w:w="1127" w:type="pct"/>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4kw/60kv/160mA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674" w:type="pct"/>
            <w:shd w:val="clear" w:color="auto" w:fill="auto"/>
            <w:vAlign w:val="center"/>
          </w:tcPr>
          <w:p>
            <w:pPr>
              <w:spacing w:line="360" w:lineRule="auto"/>
              <w:jc w:val="center"/>
              <w:rPr>
                <w:rFonts w:hint="eastAsia" w:ascii="仿宋" w:hAnsi="仿宋" w:eastAsia="仿宋" w:cs="仿宋"/>
                <w:bCs/>
                <w:sz w:val="21"/>
                <w:szCs w:val="21"/>
              </w:rPr>
            </w:pPr>
            <w:r>
              <w:rPr>
                <w:rFonts w:hint="eastAsia" w:ascii="仿宋" w:hAnsi="仿宋" w:eastAsia="仿宋" w:cs="仿宋"/>
                <w:bCs/>
                <w:sz w:val="21"/>
                <w:szCs w:val="21"/>
              </w:rPr>
              <w:t>4. 光管性能</w:t>
            </w:r>
          </w:p>
        </w:tc>
        <w:tc>
          <w:tcPr>
            <w:tcW w:w="959" w:type="pct"/>
            <w:shd w:val="clear" w:color="auto" w:fill="auto"/>
            <w:vAlign w:val="center"/>
          </w:tcPr>
          <w:p>
            <w:pPr>
              <w:spacing w:line="360" w:lineRule="auto"/>
              <w:jc w:val="center"/>
              <w:rPr>
                <w:rFonts w:hint="eastAsia" w:ascii="仿宋" w:hAnsi="仿宋" w:eastAsia="仿宋" w:cs="仿宋"/>
                <w:sz w:val="21"/>
                <w:szCs w:val="21"/>
              </w:rPr>
            </w:pPr>
            <w:r>
              <w:rPr>
                <w:rFonts w:hint="eastAsia" w:ascii="仿宋" w:hAnsi="仿宋" w:eastAsia="仿宋" w:cs="仿宋"/>
                <w:bCs/>
                <w:sz w:val="21"/>
                <w:szCs w:val="21"/>
              </w:rPr>
              <w:t>4.2kw/70kv/120mA</w:t>
            </w:r>
          </w:p>
        </w:tc>
        <w:tc>
          <w:tcPr>
            <w:tcW w:w="935" w:type="pct"/>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4kw/60kv/150mA</w:t>
            </w:r>
          </w:p>
        </w:tc>
        <w:tc>
          <w:tcPr>
            <w:tcW w:w="1305" w:type="pct"/>
            <w:shd w:val="clear" w:color="auto" w:fill="auto"/>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4kw/60kv/170mA</w:t>
            </w:r>
          </w:p>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独有低温光管头技术，适合膜样品测试</w:t>
            </w:r>
          </w:p>
        </w:tc>
        <w:tc>
          <w:tcPr>
            <w:tcW w:w="1127" w:type="pct"/>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4kw/60kv/160mA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674" w:type="pct"/>
            <w:shd w:val="clear" w:color="auto" w:fill="auto"/>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5、精密度</w:t>
            </w:r>
          </w:p>
        </w:tc>
        <w:tc>
          <w:tcPr>
            <w:tcW w:w="959" w:type="pct"/>
            <w:shd w:val="clear" w:color="auto" w:fill="auto"/>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±0.05%</w:t>
            </w:r>
          </w:p>
        </w:tc>
        <w:tc>
          <w:tcPr>
            <w:tcW w:w="935" w:type="pct"/>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±0.05%</w:t>
            </w:r>
          </w:p>
        </w:tc>
        <w:tc>
          <w:tcPr>
            <w:tcW w:w="1305" w:type="pct"/>
            <w:shd w:val="clear" w:color="auto" w:fill="auto"/>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±0.04%</w:t>
            </w:r>
          </w:p>
        </w:tc>
        <w:tc>
          <w:tcPr>
            <w:tcW w:w="1127" w:type="pct"/>
            <w:vAlign w:val="center"/>
          </w:tcPr>
          <w:p>
            <w:pPr>
              <w:spacing w:line="400" w:lineRule="exact"/>
              <w:jc w:val="center"/>
              <w:rPr>
                <w:rFonts w:hint="eastAsia" w:ascii="仿宋" w:hAnsi="仿宋" w:eastAsia="仿宋" w:cs="仿宋"/>
                <w:sz w:val="21"/>
                <w:szCs w:val="21"/>
              </w:rPr>
            </w:pPr>
            <w:r>
              <w:rPr>
                <w:rFonts w:hint="eastAsia" w:ascii="仿宋" w:hAnsi="仿宋" w:eastAsia="仿宋" w:cs="仿宋"/>
                <w:bCs/>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674" w:type="pct"/>
            <w:shd w:val="clear" w:color="auto" w:fill="auto"/>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6、液体样品气体消耗</w:t>
            </w:r>
          </w:p>
        </w:tc>
        <w:tc>
          <w:tcPr>
            <w:tcW w:w="959" w:type="pct"/>
            <w:shd w:val="clear" w:color="auto" w:fill="auto"/>
            <w:vAlign w:val="center"/>
          </w:tcPr>
          <w:p>
            <w:pPr>
              <w:spacing w:line="400" w:lineRule="exact"/>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bCs/>
                <w:sz w:val="21"/>
                <w:szCs w:val="21"/>
              </w:rPr>
              <w:t>80L/h</w:t>
            </w:r>
          </w:p>
        </w:tc>
        <w:tc>
          <w:tcPr>
            <w:tcW w:w="935" w:type="pct"/>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80L/h</w:t>
            </w:r>
          </w:p>
        </w:tc>
        <w:tc>
          <w:tcPr>
            <w:tcW w:w="1305" w:type="pct"/>
            <w:shd w:val="clear" w:color="auto" w:fill="auto"/>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常压模式80L/h(易挥发样品)</w:t>
            </w:r>
          </w:p>
          <w:p>
            <w:pPr>
              <w:spacing w:line="400" w:lineRule="exact"/>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bCs/>
                <w:sz w:val="21"/>
                <w:szCs w:val="21"/>
              </w:rPr>
              <w:t>减压模式20L/h（常规样品）</w:t>
            </w:r>
          </w:p>
        </w:tc>
        <w:tc>
          <w:tcPr>
            <w:tcW w:w="1127" w:type="pct"/>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80L/h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674" w:type="pct"/>
            <w:shd w:val="clear" w:color="auto" w:fill="auto"/>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7、检测系统线性</w:t>
            </w:r>
          </w:p>
        </w:tc>
        <w:tc>
          <w:tcPr>
            <w:tcW w:w="959" w:type="pct"/>
            <w:shd w:val="clear" w:color="auto" w:fill="auto"/>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最大</w:t>
            </w:r>
          </w:p>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FC: 2000kcps</w:t>
            </w:r>
          </w:p>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SC: 1500kcps</w:t>
            </w:r>
          </w:p>
        </w:tc>
        <w:tc>
          <w:tcPr>
            <w:tcW w:w="935" w:type="pct"/>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最大</w:t>
            </w:r>
          </w:p>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FC: 2000kcps</w:t>
            </w:r>
          </w:p>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SC: 1500kcps</w:t>
            </w:r>
          </w:p>
        </w:tc>
        <w:tc>
          <w:tcPr>
            <w:tcW w:w="1305" w:type="pct"/>
            <w:shd w:val="clear" w:color="auto" w:fill="auto"/>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最大</w:t>
            </w:r>
          </w:p>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FC: 4000kcps</w:t>
            </w:r>
          </w:p>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SC: 4000kcps</w:t>
            </w:r>
          </w:p>
        </w:tc>
        <w:tc>
          <w:tcPr>
            <w:tcW w:w="1127" w:type="pct"/>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最大</w:t>
            </w:r>
          </w:p>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FC: 3000kcps</w:t>
            </w:r>
          </w:p>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SC: 1500kcps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674" w:type="pct"/>
            <w:shd w:val="clear" w:color="auto" w:fill="auto"/>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8、无标样软件</w:t>
            </w:r>
          </w:p>
        </w:tc>
        <w:tc>
          <w:tcPr>
            <w:tcW w:w="959" w:type="pct"/>
            <w:shd w:val="clear" w:color="auto" w:fill="auto"/>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XR-OX-Uniquant定点模式测量</w:t>
            </w:r>
          </w:p>
        </w:tc>
        <w:tc>
          <w:tcPr>
            <w:tcW w:w="935" w:type="pct"/>
            <w:tcBorders>
              <w:bottom w:val="single" w:color="auto" w:sz="4" w:space="0"/>
            </w:tcBorders>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SQX无标样分析软件，只有扫描测量模式，没有定点测量模式</w:t>
            </w:r>
          </w:p>
        </w:tc>
        <w:tc>
          <w:tcPr>
            <w:tcW w:w="1305" w:type="pct"/>
            <w:shd w:val="clear" w:color="auto" w:fill="auto"/>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QUANT EXPRESSTM无标样软件包，有扫描测量模式、定点测量模式和结合测量模式</w:t>
            </w:r>
          </w:p>
        </w:tc>
        <w:tc>
          <w:tcPr>
            <w:tcW w:w="1127" w:type="pct"/>
            <w:vAlign w:val="center"/>
          </w:tcPr>
          <w:p>
            <w:pPr>
              <w:spacing w:line="400" w:lineRule="exact"/>
              <w:jc w:val="center"/>
              <w:rPr>
                <w:rFonts w:hint="eastAsia" w:ascii="仿宋" w:hAnsi="仿宋" w:eastAsia="仿宋" w:cs="仿宋"/>
                <w:bCs/>
                <w:sz w:val="21"/>
                <w:szCs w:val="21"/>
              </w:rPr>
            </w:pPr>
            <w:r>
              <w:rPr>
                <w:rFonts w:hint="eastAsia" w:ascii="仿宋" w:hAnsi="仿宋" w:eastAsia="仿宋" w:cs="仿宋"/>
                <w:bCs/>
                <w:sz w:val="21"/>
                <w:szCs w:val="21"/>
              </w:rPr>
              <w:t>Omnian无标样软件，有扫描测量模式和定点测量模式</w:t>
            </w:r>
          </w:p>
        </w:tc>
      </w:tr>
    </w:tbl>
    <w:p>
      <w:pPr>
        <w:spacing w:line="360" w:lineRule="auto"/>
        <w:rPr>
          <w:rFonts w:hint="eastAsia" w:ascii="仿宋" w:hAnsi="仿宋" w:eastAsia="仿宋" w:cs="仿宋"/>
          <w:b/>
          <w:color w:val="000000"/>
          <w:kern w:val="0"/>
          <w:sz w:val="28"/>
          <w:szCs w:val="28"/>
        </w:rPr>
      </w:pPr>
      <w:r>
        <w:rPr>
          <w:rFonts w:hint="eastAsia" w:ascii="仿宋" w:hAnsi="仿宋" w:eastAsia="仿宋" w:cs="仿宋"/>
          <w:b/>
          <w:color w:val="000000"/>
          <w:kern w:val="0"/>
          <w:sz w:val="28"/>
          <w:szCs w:val="28"/>
        </w:rPr>
        <w:t>5、</w:t>
      </w:r>
      <w:r>
        <w:rPr>
          <w:rFonts w:hint="eastAsia" w:ascii="仿宋" w:hAnsi="仿宋" w:eastAsia="仿宋" w:cs="仿宋"/>
          <w:b/>
          <w:sz w:val="28"/>
          <w:szCs w:val="28"/>
        </w:rPr>
        <w:t>结论</w:t>
      </w:r>
      <w:r>
        <w:rPr>
          <w:rFonts w:hint="eastAsia" w:ascii="仿宋" w:hAnsi="仿宋" w:eastAsia="仿宋" w:cs="仿宋"/>
          <w:b/>
          <w:color w:val="000000"/>
          <w:kern w:val="0"/>
          <w:sz w:val="28"/>
          <w:szCs w:val="28"/>
        </w:rPr>
        <w:t xml:space="preserve">  </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color w:val="000000"/>
          <w:kern w:val="0"/>
          <w:sz w:val="28"/>
          <w:szCs w:val="28"/>
        </w:rPr>
        <w:t>经调研，HJ780-2015《土壤和沉积物 无机元素的测定 波长色散X射线荧光光谱法》、HJ830-2017《环境空气 颗粒物中无机元素的测定 波长色散-X射线荧光光谱法》、HJ1211-2021《固体废物 无机元素的测定 波长色散X射线荧光光谱法》等规范的要求</w:t>
      </w:r>
      <w:r>
        <w:rPr>
          <w:rFonts w:hint="eastAsia" w:ascii="仿宋" w:hAnsi="仿宋" w:eastAsia="仿宋" w:cs="仿宋"/>
          <w:kern w:val="0"/>
          <w:sz w:val="28"/>
          <w:szCs w:val="28"/>
        </w:rPr>
        <w:t>，</w:t>
      </w:r>
      <w:r>
        <w:rPr>
          <w:rFonts w:hint="eastAsia" w:ascii="仿宋" w:hAnsi="仿宋" w:eastAsia="仿宋" w:cs="仿宋"/>
          <w:color w:val="000000"/>
          <w:kern w:val="0"/>
          <w:sz w:val="28"/>
          <w:szCs w:val="28"/>
        </w:rPr>
        <w:t>，无国产设备能够满足</w:t>
      </w:r>
      <w:r>
        <w:rPr>
          <w:rFonts w:hint="eastAsia" w:ascii="仿宋" w:hAnsi="仿宋" w:eastAsia="仿宋" w:cs="仿宋"/>
          <w:kern w:val="0"/>
          <w:sz w:val="28"/>
          <w:szCs w:val="28"/>
        </w:rPr>
        <w:t>这些规范监测的需要，几个主流进口品牌的产品均可满足我单位的监测需求</w:t>
      </w:r>
      <w:r>
        <w:rPr>
          <w:rFonts w:hint="eastAsia" w:ascii="仿宋" w:hAnsi="仿宋" w:eastAsia="仿宋" w:cs="仿宋"/>
          <w:color w:val="000000"/>
          <w:kern w:val="0"/>
          <w:sz w:val="28"/>
          <w:szCs w:val="28"/>
        </w:rPr>
        <w:t>，故</w:t>
      </w:r>
      <w:r>
        <w:rPr>
          <w:rFonts w:hint="eastAsia" w:ascii="仿宋" w:hAnsi="仿宋" w:eastAsia="仿宋" w:cs="仿宋"/>
          <w:kern w:val="0"/>
          <w:sz w:val="28"/>
          <w:szCs w:val="28"/>
        </w:rPr>
        <w:t>申请采购进口产品。</w:t>
      </w:r>
    </w:p>
    <w:p>
      <w:pPr>
        <w:widowControl w:val="0"/>
        <w:numPr>
          <w:ilvl w:val="0"/>
          <w:numId w:val="1"/>
        </w:numPr>
        <w:ind w:left="0" w:leftChars="0" w:firstLine="0" w:firstLineChars="0"/>
        <w:jc w:val="both"/>
        <w:rPr>
          <w:rFonts w:hint="eastAsia" w:ascii="黑体" w:hAnsi="黑体" w:eastAsia="黑体" w:cs="黑体"/>
          <w:b/>
          <w:bCs/>
          <w:sz w:val="28"/>
          <w:szCs w:val="28"/>
        </w:rPr>
      </w:pPr>
      <w:r>
        <w:rPr>
          <w:rFonts w:hint="eastAsia" w:ascii="黑体" w:hAnsi="黑体" w:eastAsia="黑体" w:cs="黑体"/>
          <w:b/>
          <w:bCs/>
          <w:sz w:val="28"/>
          <w:szCs w:val="28"/>
        </w:rPr>
        <w:t>ICP</w:t>
      </w:r>
      <w:r>
        <w:rPr>
          <w:rFonts w:hint="eastAsia" w:ascii="黑体" w:hAnsi="黑体" w:eastAsia="黑体" w:cs="黑体"/>
          <w:b/>
          <w:bCs/>
          <w:sz w:val="28"/>
          <w:szCs w:val="28"/>
          <w:lang w:val="en-US" w:eastAsia="zh-CN"/>
        </w:rPr>
        <w:t>-</w:t>
      </w:r>
      <w:r>
        <w:rPr>
          <w:rFonts w:hint="eastAsia" w:ascii="黑体" w:hAnsi="黑体" w:eastAsia="黑体" w:cs="黑体"/>
          <w:b/>
          <w:bCs/>
          <w:sz w:val="28"/>
          <w:szCs w:val="28"/>
        </w:rPr>
        <w:t>MS电感耦合等离子体质谱仪</w:t>
      </w:r>
    </w:p>
    <w:p>
      <w:pPr>
        <w:spacing w:line="360" w:lineRule="auto"/>
        <w:rPr>
          <w:rFonts w:hint="eastAsia" w:ascii="仿宋" w:hAnsi="仿宋" w:eastAsia="仿宋" w:cs="仿宋"/>
          <w:b/>
          <w:sz w:val="28"/>
          <w:szCs w:val="28"/>
        </w:rPr>
      </w:pPr>
      <w:r>
        <w:rPr>
          <w:rFonts w:hint="eastAsia" w:ascii="仿宋" w:hAnsi="仿宋" w:eastAsia="仿宋" w:cs="仿宋"/>
          <w:b/>
          <w:sz w:val="28"/>
          <w:szCs w:val="28"/>
        </w:rPr>
        <w:t>1、需求及现状</w:t>
      </w:r>
    </w:p>
    <w:p>
      <w:pPr>
        <w:spacing w:line="360" w:lineRule="auto"/>
        <w:rPr>
          <w:rFonts w:hint="eastAsia" w:ascii="仿宋" w:hAnsi="仿宋" w:eastAsia="仿宋" w:cs="仿宋"/>
          <w:kern w:val="0"/>
          <w:sz w:val="28"/>
          <w:szCs w:val="28"/>
        </w:rPr>
      </w:pPr>
      <w:r>
        <w:rPr>
          <w:rFonts w:hint="eastAsia" w:ascii="仿宋" w:hAnsi="仿宋" w:eastAsia="仿宋" w:cs="仿宋"/>
          <w:kern w:val="0"/>
          <w:sz w:val="28"/>
          <w:szCs w:val="28"/>
        </w:rPr>
        <w:t>（1）采购需求</w:t>
      </w:r>
    </w:p>
    <w:p>
      <w:pPr>
        <w:pStyle w:val="3"/>
        <w:spacing w:before="0" w:beforeAutospacing="0" w:after="0" w:afterAutospacing="0"/>
        <w:ind w:firstLine="560" w:firstLineChars="200"/>
        <w:textAlignment w:val="bottom"/>
        <w:rPr>
          <w:rFonts w:hint="eastAsia" w:ascii="仿宋" w:hAnsi="仿宋" w:eastAsia="仿宋" w:cs="仿宋"/>
          <w:sz w:val="28"/>
          <w:szCs w:val="28"/>
        </w:rPr>
      </w:pPr>
      <w:r>
        <w:rPr>
          <w:rFonts w:hint="eastAsia" w:ascii="仿宋" w:hAnsi="仿宋" w:eastAsia="仿宋" w:cs="仿宋"/>
          <w:sz w:val="28"/>
          <w:szCs w:val="28"/>
        </w:rPr>
        <w:t>为满足固体废物 元素的测定 电感耦合等离子体质谱法【 GB 5085.3-2007 附录B】/【HJ 766-2015】技术规程要求的监测内容。拟采购仪器需满足如下技术要求：</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1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①</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kern w:val="0"/>
          <w:sz w:val="28"/>
          <w:szCs w:val="28"/>
        </w:rPr>
        <w:t>抗干扰能力；电感耦合等离子体质谱仪具备碰撞反应池内有质量筛选功能的四极杆或碰撞反应池前端具有质量筛选功能的四极杆组成；</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2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②</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高盐进样系统：</w:t>
      </w:r>
      <w:r>
        <w:rPr>
          <w:rFonts w:hint="eastAsia" w:ascii="仿宋" w:hAnsi="仿宋" w:eastAsia="仿宋" w:cs="仿宋"/>
          <w:kern w:val="0"/>
          <w:sz w:val="28"/>
          <w:szCs w:val="28"/>
        </w:rPr>
        <w:t>配置全自动在线气体稀释装置，自动控制稀释，快速进行样品稀释，稀释倍数至少100倍以上，并且可通入氧气，实现有机样品的直接进样分析；</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3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③</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接口：</w:t>
      </w:r>
      <w:r>
        <w:rPr>
          <w:rFonts w:hint="eastAsia" w:ascii="仿宋" w:hAnsi="仿宋" w:eastAsia="仿宋" w:cs="仿宋"/>
          <w:kern w:val="0"/>
          <w:sz w:val="28"/>
          <w:szCs w:val="28"/>
        </w:rPr>
        <w:t>耐高盐基体设计，采样锥口径≥1.0mm，截取锥要求必须≥0.9mm，保证长期分析高基体、高盐样品的稳定性并满足高通量分析及大批量的检测要求；</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4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④</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kern w:val="0"/>
          <w:sz w:val="28"/>
          <w:szCs w:val="28"/>
        </w:rPr>
        <w:t>离子源；要求频率≥30MHz，频率稳定性&lt;±0.01%；</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5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⑤</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kern w:val="0"/>
          <w:sz w:val="28"/>
          <w:szCs w:val="28"/>
        </w:rPr>
        <w:t>二次放电消除技术：无需屏蔽炬等额外消耗品与维护；</w:t>
      </w:r>
    </w:p>
    <w:p>
      <w:pPr>
        <w:spacing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6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⑥</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离子透镜；免维护；</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 7 \* GB3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⑦</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智能电子稀释：</w:t>
      </w:r>
      <w:r>
        <w:rPr>
          <w:rFonts w:hint="eastAsia" w:ascii="仿宋" w:hAnsi="仿宋" w:eastAsia="仿宋" w:cs="仿宋"/>
          <w:kern w:val="0"/>
          <w:sz w:val="28"/>
          <w:szCs w:val="28"/>
        </w:rPr>
        <w:t>12个数量级的动态线性范围，一次进样高低浓度元素同时测定；</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color w:val="000000" w:themeColor="text1"/>
          <w:sz w:val="28"/>
          <w:szCs w:val="28"/>
          <w14:textFill>
            <w14:solidFill>
              <w14:schemeClr w14:val="tx1"/>
            </w14:solidFill>
          </w14:textFill>
        </w:rPr>
        <w:t>⑧</w:t>
      </w:r>
      <w:r>
        <w:rPr>
          <w:rFonts w:hint="eastAsia" w:ascii="仿宋" w:hAnsi="仿宋" w:eastAsia="仿宋" w:cs="仿宋"/>
          <w:kern w:val="0"/>
          <w:sz w:val="28"/>
          <w:szCs w:val="28"/>
        </w:rPr>
        <w:t>同位素比精度：107Ag/109Ag 同位素比，RSD＜0.08％。</w:t>
      </w:r>
    </w:p>
    <w:p>
      <w:pPr>
        <w:pStyle w:val="6"/>
        <w:spacing w:line="360" w:lineRule="auto"/>
        <w:ind w:firstLine="0" w:firstLineChars="0"/>
        <w:rPr>
          <w:rFonts w:hint="eastAsia" w:ascii="仿宋" w:hAnsi="仿宋" w:eastAsia="仿宋" w:cs="仿宋"/>
          <w:kern w:val="0"/>
          <w:sz w:val="28"/>
          <w:szCs w:val="28"/>
        </w:rPr>
      </w:pPr>
      <w:r>
        <w:rPr>
          <w:rFonts w:hint="eastAsia" w:ascii="仿宋" w:hAnsi="仿宋" w:eastAsia="仿宋" w:cs="仿宋"/>
          <w:kern w:val="0"/>
          <w:sz w:val="28"/>
          <w:szCs w:val="28"/>
        </w:rPr>
        <w:t>（2）采购前现状</w:t>
      </w:r>
    </w:p>
    <w:p>
      <w:pPr>
        <w:pStyle w:val="6"/>
        <w:spacing w:line="360" w:lineRule="auto"/>
        <w:ind w:firstLine="480" w:firstLineChars="0"/>
        <w:rPr>
          <w:rFonts w:hint="eastAsia" w:ascii="仿宋" w:hAnsi="仿宋" w:eastAsia="仿宋" w:cs="仿宋"/>
          <w:kern w:val="0"/>
          <w:sz w:val="28"/>
          <w:szCs w:val="28"/>
        </w:rPr>
      </w:pPr>
      <w:r>
        <w:rPr>
          <w:rFonts w:hint="eastAsia" w:ascii="仿宋" w:hAnsi="仿宋" w:eastAsia="仿宋" w:cs="仿宋"/>
          <w:kern w:val="0"/>
          <w:sz w:val="28"/>
          <w:szCs w:val="28"/>
        </w:rPr>
        <w:t>我院尚未采购过满足上述需求的同类或相关设备</w:t>
      </w:r>
      <w:r>
        <w:rPr>
          <w:rFonts w:hint="eastAsia" w:ascii="仿宋" w:hAnsi="仿宋" w:eastAsia="仿宋" w:cs="仿宋"/>
          <w:color w:val="000000" w:themeColor="text1"/>
          <w:sz w:val="28"/>
          <w:szCs w:val="28"/>
          <w14:textFill>
            <w14:solidFill>
              <w14:schemeClr w14:val="tx1"/>
            </w14:solidFill>
          </w14:textFill>
        </w:rPr>
        <w:t>，需购置ICPMS完善检测体系，满足</w:t>
      </w:r>
      <w:r>
        <w:rPr>
          <w:rFonts w:hint="eastAsia" w:ascii="仿宋" w:hAnsi="仿宋" w:eastAsia="仿宋" w:cs="仿宋"/>
          <w:sz w:val="28"/>
          <w:szCs w:val="28"/>
        </w:rPr>
        <w:t>开展固废中元素的测定</w:t>
      </w:r>
      <w:r>
        <w:rPr>
          <w:rFonts w:hint="eastAsia" w:ascii="仿宋" w:hAnsi="仿宋" w:eastAsia="仿宋" w:cs="仿宋"/>
          <w:color w:val="000000" w:themeColor="text1"/>
          <w:sz w:val="28"/>
          <w:szCs w:val="28"/>
          <w14:textFill>
            <w14:solidFill>
              <w14:schemeClr w14:val="tx1"/>
            </w14:solidFill>
          </w14:textFill>
        </w:rPr>
        <w:t>要求</w:t>
      </w:r>
      <w:r>
        <w:rPr>
          <w:rFonts w:hint="eastAsia" w:ascii="仿宋" w:hAnsi="仿宋" w:eastAsia="仿宋" w:cs="仿宋"/>
          <w:kern w:val="0"/>
          <w:sz w:val="28"/>
          <w:szCs w:val="28"/>
        </w:rPr>
        <w:t>。</w:t>
      </w:r>
    </w:p>
    <w:p>
      <w:pPr>
        <w:spacing w:line="360" w:lineRule="auto"/>
        <w:rPr>
          <w:rFonts w:hint="eastAsia" w:ascii="仿宋" w:hAnsi="仿宋" w:eastAsia="仿宋" w:cs="仿宋"/>
          <w:b/>
          <w:sz w:val="28"/>
          <w:szCs w:val="28"/>
        </w:rPr>
      </w:pPr>
      <w:r>
        <w:rPr>
          <w:rFonts w:hint="eastAsia" w:ascii="仿宋" w:hAnsi="仿宋" w:eastAsia="仿宋" w:cs="仿宋"/>
          <w:b/>
          <w:sz w:val="28"/>
          <w:szCs w:val="28"/>
        </w:rPr>
        <w:t>2、国产同类产品情况</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据调研，目前国产ICP</w:t>
      </w:r>
      <w:r>
        <w:rPr>
          <w:rFonts w:hint="eastAsia" w:ascii="仿宋" w:hAnsi="仿宋" w:eastAsia="仿宋" w:cs="仿宋"/>
          <w:kern w:val="0"/>
          <w:sz w:val="28"/>
          <w:szCs w:val="28"/>
          <w:lang w:val="en-US" w:eastAsia="zh-CN"/>
        </w:rPr>
        <w:t>-</w:t>
      </w:r>
      <w:r>
        <w:rPr>
          <w:rFonts w:hint="eastAsia" w:ascii="仿宋" w:hAnsi="仿宋" w:eastAsia="仿宋" w:cs="仿宋"/>
          <w:kern w:val="0"/>
          <w:sz w:val="28"/>
          <w:szCs w:val="28"/>
        </w:rPr>
        <w:t>MS指标尚不能达到技术要求，在灵敏度、氧化物离子、背景和检出限、长期稳定性、同位素比精密度、抗干扰能力、后续维护成本等诸多方面还达不到检测的要求，暂时不能满足我单位现阶段购买的需要。</w:t>
      </w:r>
    </w:p>
    <w:p>
      <w:pPr>
        <w:spacing w:line="360" w:lineRule="auto"/>
        <w:rPr>
          <w:rFonts w:hint="eastAsia" w:ascii="仿宋" w:hAnsi="仿宋" w:eastAsia="仿宋" w:cs="仿宋"/>
          <w:b/>
          <w:sz w:val="28"/>
          <w:szCs w:val="28"/>
        </w:rPr>
      </w:pPr>
      <w:r>
        <w:rPr>
          <w:rFonts w:hint="eastAsia" w:ascii="仿宋" w:hAnsi="仿宋" w:eastAsia="仿宋" w:cs="仿宋"/>
          <w:b/>
          <w:sz w:val="28"/>
          <w:szCs w:val="28"/>
        </w:rPr>
        <w:t>3、进口产品具备的优势：</w:t>
      </w:r>
    </w:p>
    <w:p>
      <w:pPr>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进口ICPMS技术先进、质量稳定可靠，具有以下技术特点：</w:t>
      </w:r>
    </w:p>
    <w:p>
      <w:pPr>
        <w:ind w:firstLine="495"/>
        <w:rPr>
          <w:rFonts w:hint="eastAsia" w:ascii="仿宋" w:hAnsi="仿宋" w:eastAsia="仿宋" w:cs="仿宋"/>
          <w:kern w:val="0"/>
          <w:sz w:val="28"/>
          <w:szCs w:val="28"/>
        </w:rPr>
      </w:pPr>
      <w:r>
        <w:rPr>
          <w:rFonts w:hint="eastAsia" w:ascii="仿宋" w:hAnsi="仿宋" w:eastAsia="仿宋" w:cs="仿宋"/>
          <w:kern w:val="0"/>
          <w:sz w:val="28"/>
          <w:szCs w:val="28"/>
        </w:rPr>
        <w:t>1、离子提取系统：四级杆离子偏转器将待分析离子方向偏转90度，彻底分离中性粒子和光子，避免了主四级杆的污染以及后续的清洗维护工作。国产产品还未能提供此技术。</w:t>
      </w:r>
    </w:p>
    <w:p>
      <w:pPr>
        <w:ind w:firstLine="495"/>
        <w:rPr>
          <w:rFonts w:hint="eastAsia" w:ascii="仿宋" w:hAnsi="仿宋" w:eastAsia="仿宋" w:cs="仿宋"/>
          <w:kern w:val="0"/>
          <w:sz w:val="28"/>
          <w:szCs w:val="28"/>
        </w:rPr>
      </w:pPr>
      <w:r>
        <w:rPr>
          <w:rFonts w:hint="eastAsia" w:ascii="仿宋" w:hAnsi="仿宋" w:eastAsia="仿宋" w:cs="仿宋"/>
          <w:kern w:val="0"/>
          <w:sz w:val="28"/>
          <w:szCs w:val="28"/>
        </w:rPr>
        <w:t>2、高频发生器采用两路射频技术来消除线圈与采样锥之间的二次放电，确保等离子体的稳定性及延长矩管的寿命，且无需屏蔽炬套圈等消耗品。国产产品未能实现该技术，后续使用成本高。</w:t>
      </w:r>
    </w:p>
    <w:p>
      <w:pPr>
        <w:ind w:firstLine="495"/>
        <w:rPr>
          <w:rFonts w:hint="eastAsia" w:ascii="仿宋" w:hAnsi="仿宋" w:eastAsia="仿宋" w:cs="仿宋"/>
          <w:kern w:val="0"/>
          <w:sz w:val="28"/>
          <w:szCs w:val="28"/>
        </w:rPr>
      </w:pPr>
      <w:r>
        <w:rPr>
          <w:rFonts w:hint="eastAsia" w:ascii="仿宋" w:hAnsi="仿宋" w:eastAsia="仿宋" w:cs="仿宋"/>
          <w:kern w:val="0"/>
          <w:sz w:val="28"/>
          <w:szCs w:val="28"/>
        </w:rPr>
        <w:t>3、分析的质量范围2-280amu或以上，可分析放射性元素如锕系元素及其氧化物，且在一次分析中，仪器的分辨率可由0.2-2.0amu连续可调。国产产品分辨率固定不可调，应用范围窄。</w:t>
      </w:r>
    </w:p>
    <w:p>
      <w:pPr>
        <w:ind w:firstLine="495"/>
        <w:rPr>
          <w:rFonts w:hint="eastAsia" w:ascii="仿宋" w:hAnsi="仿宋" w:eastAsia="仿宋" w:cs="仿宋"/>
          <w:kern w:val="0"/>
          <w:sz w:val="28"/>
          <w:szCs w:val="28"/>
        </w:rPr>
      </w:pPr>
      <w:r>
        <w:rPr>
          <w:rFonts w:hint="eastAsia" w:ascii="仿宋" w:hAnsi="仿宋" w:eastAsia="仿宋" w:cs="仿宋"/>
          <w:kern w:val="0"/>
          <w:sz w:val="28"/>
          <w:szCs w:val="28"/>
        </w:rPr>
        <w:t>4、采用大口径锥的接口技术，防止复杂基体及其高盐样品在锥口的沉积堵塞，确保仪器的长期稳定运行。国产仪器都是采用小锥口的设计，对于高盐的复杂基体样品稳定性差，后续使用成本高。</w:t>
      </w:r>
    </w:p>
    <w:p>
      <w:pPr>
        <w:ind w:firstLine="495"/>
        <w:rPr>
          <w:rFonts w:hint="eastAsia" w:ascii="仿宋" w:hAnsi="仿宋" w:eastAsia="仿宋" w:cs="仿宋"/>
          <w:kern w:val="0"/>
          <w:sz w:val="28"/>
          <w:szCs w:val="28"/>
        </w:rPr>
      </w:pPr>
      <w:r>
        <w:rPr>
          <w:rFonts w:hint="eastAsia" w:ascii="仿宋" w:hAnsi="仿宋" w:eastAsia="仿宋" w:cs="仿宋"/>
          <w:kern w:val="0"/>
          <w:sz w:val="28"/>
          <w:szCs w:val="28"/>
        </w:rPr>
        <w:t>5、智能电子稀释功能：12个数量级的动态线性范围，实现一次进样高低含量元素同时测定，线性相关系数优于0.9999，大大提供工作效率与仪器使用的便利性。国产仪器不具备该功能</w:t>
      </w:r>
      <w:r>
        <w:rPr>
          <w:rFonts w:hint="eastAsia" w:ascii="仿宋" w:hAnsi="仿宋" w:eastAsia="仿宋" w:cs="仿宋"/>
          <w:kern w:val="0"/>
          <w:sz w:val="28"/>
          <w:szCs w:val="28"/>
          <w:lang w:eastAsia="zh-CN"/>
        </w:rPr>
        <w:t>，</w:t>
      </w:r>
      <w:r>
        <w:rPr>
          <w:rFonts w:hint="eastAsia" w:ascii="仿宋" w:hAnsi="仿宋" w:eastAsia="仿宋" w:cs="仿宋"/>
          <w:kern w:val="0"/>
          <w:sz w:val="28"/>
          <w:szCs w:val="28"/>
          <w:lang w:val="en-US" w:eastAsia="zh-CN"/>
        </w:rPr>
        <w:t>详见表3</w:t>
      </w:r>
      <w:r>
        <w:rPr>
          <w:rFonts w:hint="eastAsia" w:ascii="仿宋" w:hAnsi="仿宋" w:eastAsia="仿宋" w:cs="仿宋"/>
          <w:kern w:val="0"/>
          <w:sz w:val="28"/>
          <w:szCs w:val="28"/>
        </w:rPr>
        <w:t>。</w:t>
      </w:r>
    </w:p>
    <w:p>
      <w:pPr>
        <w:pStyle w:val="6"/>
        <w:spacing w:line="360" w:lineRule="auto"/>
        <w:ind w:left="0" w:leftChars="0" w:firstLine="0" w:firstLineChars="0"/>
        <w:jc w:val="center"/>
        <w:rPr>
          <w:rFonts w:hint="eastAsia" w:ascii="仿宋" w:hAnsi="仿宋" w:eastAsia="仿宋" w:cs="仿宋"/>
          <w:b/>
          <w:bCs/>
          <w:kern w:val="0"/>
          <w:sz w:val="28"/>
          <w:szCs w:val="28"/>
        </w:rPr>
      </w:pPr>
      <w:r>
        <w:rPr>
          <w:rFonts w:hint="eastAsia" w:ascii="仿宋" w:hAnsi="仿宋" w:eastAsia="仿宋" w:cs="仿宋"/>
          <w:b/>
          <w:bCs/>
          <w:kern w:val="0"/>
          <w:sz w:val="28"/>
          <w:szCs w:val="28"/>
          <w:lang w:val="en-US" w:eastAsia="zh-CN"/>
        </w:rPr>
        <w:t xml:space="preserve">表3 </w:t>
      </w:r>
      <w:r>
        <w:rPr>
          <w:rFonts w:hint="eastAsia" w:ascii="仿宋" w:hAnsi="仿宋" w:eastAsia="仿宋" w:cs="仿宋"/>
          <w:b/>
          <w:bCs/>
          <w:kern w:val="0"/>
          <w:sz w:val="28"/>
          <w:szCs w:val="28"/>
        </w:rPr>
        <w:t>国外品牌主要技术指标对比</w:t>
      </w:r>
    </w:p>
    <w:tbl>
      <w:tblPr>
        <w:tblStyle w:val="4"/>
        <w:tblW w:w="88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29"/>
        <w:gridCol w:w="23"/>
        <w:gridCol w:w="2569"/>
        <w:gridCol w:w="2653"/>
        <w:gridCol w:w="41"/>
        <w:gridCol w:w="2369"/>
        <w:gridCol w:w="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1152" w:type="dxa"/>
            <w:gridSpan w:val="2"/>
          </w:tcPr>
          <w:p>
            <w:pPr>
              <w:jc w:val="center"/>
              <w:rPr>
                <w:rFonts w:hint="eastAsia" w:ascii="仿宋" w:hAnsi="仿宋" w:eastAsia="仿宋" w:cs="仿宋"/>
                <w:sz w:val="21"/>
                <w:szCs w:val="21"/>
              </w:rPr>
            </w:pPr>
            <w:r>
              <w:rPr>
                <w:rFonts w:hint="eastAsia" w:ascii="仿宋" w:hAnsi="仿宋" w:eastAsia="仿宋" w:cs="仿宋"/>
                <w:sz w:val="21"/>
                <w:szCs w:val="21"/>
              </w:rPr>
              <w:t>技术参数</w:t>
            </w:r>
          </w:p>
        </w:tc>
        <w:tc>
          <w:tcPr>
            <w:tcW w:w="2569" w:type="dxa"/>
            <w:shd w:val="clear" w:color="auto" w:fill="auto"/>
          </w:tcPr>
          <w:p>
            <w:pPr>
              <w:jc w:val="center"/>
              <w:rPr>
                <w:rFonts w:hint="eastAsia" w:ascii="仿宋" w:hAnsi="仿宋" w:eastAsia="仿宋" w:cs="仿宋"/>
                <w:sz w:val="21"/>
                <w:szCs w:val="21"/>
              </w:rPr>
            </w:pPr>
            <w:r>
              <w:rPr>
                <w:rFonts w:hint="eastAsia" w:ascii="仿宋" w:hAnsi="仿宋" w:eastAsia="仿宋" w:cs="仿宋"/>
                <w:sz w:val="21"/>
                <w:szCs w:val="21"/>
              </w:rPr>
              <w:t>PE 珀金埃尔默</w:t>
            </w:r>
          </w:p>
          <w:p>
            <w:pPr>
              <w:jc w:val="center"/>
              <w:rPr>
                <w:rFonts w:hint="eastAsia" w:ascii="仿宋" w:hAnsi="仿宋" w:eastAsia="仿宋" w:cs="仿宋"/>
                <w:sz w:val="21"/>
                <w:szCs w:val="21"/>
              </w:rPr>
            </w:pPr>
            <w:r>
              <w:rPr>
                <w:rFonts w:hint="eastAsia" w:ascii="仿宋" w:hAnsi="仿宋" w:eastAsia="仿宋" w:cs="仿宋"/>
                <w:sz w:val="21"/>
                <w:szCs w:val="21"/>
              </w:rPr>
              <w:t xml:space="preserve">NexION 1000G </w:t>
            </w:r>
          </w:p>
        </w:tc>
        <w:tc>
          <w:tcPr>
            <w:tcW w:w="2694" w:type="dxa"/>
            <w:gridSpan w:val="2"/>
            <w:shd w:val="clear" w:color="auto" w:fill="auto"/>
          </w:tcPr>
          <w:p>
            <w:pPr>
              <w:rPr>
                <w:rFonts w:hint="eastAsia" w:ascii="仿宋" w:hAnsi="仿宋" w:eastAsia="仿宋" w:cs="仿宋"/>
                <w:sz w:val="21"/>
                <w:szCs w:val="21"/>
              </w:rPr>
            </w:pPr>
            <w:r>
              <w:rPr>
                <w:rFonts w:hint="eastAsia" w:ascii="仿宋" w:hAnsi="仿宋" w:eastAsia="仿宋" w:cs="仿宋"/>
                <w:sz w:val="21"/>
                <w:szCs w:val="21"/>
              </w:rPr>
              <w:t xml:space="preserve">    Agilent 安捷伦</w:t>
            </w:r>
          </w:p>
          <w:p>
            <w:pPr>
              <w:rPr>
                <w:rFonts w:hint="eastAsia" w:ascii="仿宋" w:hAnsi="仿宋" w:eastAsia="仿宋" w:cs="仿宋"/>
                <w:sz w:val="21"/>
                <w:szCs w:val="21"/>
              </w:rPr>
            </w:pPr>
            <w:r>
              <w:rPr>
                <w:rFonts w:hint="eastAsia" w:ascii="仿宋" w:hAnsi="仿宋" w:eastAsia="仿宋" w:cs="仿宋"/>
                <w:sz w:val="21"/>
                <w:szCs w:val="21"/>
              </w:rPr>
              <w:t xml:space="preserve">       7900</w:t>
            </w:r>
          </w:p>
        </w:tc>
        <w:tc>
          <w:tcPr>
            <w:tcW w:w="2399" w:type="dxa"/>
            <w:gridSpan w:val="2"/>
            <w:shd w:val="clear" w:color="auto" w:fill="auto"/>
          </w:tcPr>
          <w:p>
            <w:pPr>
              <w:jc w:val="center"/>
              <w:rPr>
                <w:rFonts w:hint="eastAsia" w:ascii="仿宋" w:hAnsi="仿宋" w:eastAsia="仿宋" w:cs="仿宋"/>
                <w:sz w:val="21"/>
                <w:szCs w:val="21"/>
              </w:rPr>
            </w:pPr>
            <w:r>
              <w:rPr>
                <w:rFonts w:hint="eastAsia" w:ascii="仿宋" w:hAnsi="仿宋" w:eastAsia="仿宋" w:cs="仿宋"/>
                <w:sz w:val="21"/>
                <w:szCs w:val="21"/>
              </w:rPr>
              <w:t>Thermo 赛默飞</w:t>
            </w:r>
          </w:p>
          <w:p>
            <w:pPr>
              <w:rPr>
                <w:rFonts w:hint="eastAsia" w:ascii="仿宋" w:hAnsi="仿宋" w:eastAsia="仿宋" w:cs="仿宋"/>
                <w:sz w:val="21"/>
                <w:szCs w:val="21"/>
              </w:rPr>
            </w:pPr>
            <w:r>
              <w:rPr>
                <w:rFonts w:hint="eastAsia" w:ascii="仿宋" w:hAnsi="仿宋" w:eastAsia="仿宋" w:cs="仿宋"/>
                <w:sz w:val="21"/>
                <w:szCs w:val="21"/>
              </w:rPr>
              <w:t xml:space="preserve">       iCAP RQ</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1152" w:type="dxa"/>
            <w:gridSpan w:val="2"/>
          </w:tcPr>
          <w:p>
            <w:pPr>
              <w:rPr>
                <w:rFonts w:hint="eastAsia" w:ascii="仿宋" w:hAnsi="仿宋" w:eastAsia="仿宋" w:cs="仿宋"/>
                <w:sz w:val="21"/>
                <w:szCs w:val="21"/>
              </w:rPr>
            </w:pPr>
            <w:r>
              <w:rPr>
                <w:rFonts w:hint="eastAsia" w:ascii="仿宋" w:hAnsi="仿宋" w:eastAsia="仿宋" w:cs="仿宋"/>
                <w:sz w:val="21"/>
                <w:szCs w:val="21"/>
                <w:lang w:val="en-US" w:eastAsia="zh-CN"/>
              </w:rPr>
              <w:t>1、</w:t>
            </w:r>
            <w:r>
              <w:rPr>
                <w:rFonts w:hint="eastAsia" w:ascii="仿宋" w:hAnsi="仿宋" w:eastAsia="仿宋" w:cs="仿宋"/>
                <w:sz w:val="21"/>
                <w:szCs w:val="21"/>
              </w:rPr>
              <w:t>ICP 离子源</w:t>
            </w:r>
          </w:p>
        </w:tc>
        <w:tc>
          <w:tcPr>
            <w:tcW w:w="2569" w:type="dxa"/>
            <w:shd w:val="clear" w:color="auto" w:fill="auto"/>
          </w:tcPr>
          <w:p>
            <w:pPr>
              <w:rPr>
                <w:rFonts w:hint="eastAsia" w:ascii="仿宋" w:hAnsi="仿宋" w:eastAsia="仿宋" w:cs="仿宋"/>
                <w:sz w:val="21"/>
                <w:szCs w:val="21"/>
              </w:rPr>
            </w:pPr>
            <w:r>
              <w:rPr>
                <w:rFonts w:hint="eastAsia" w:ascii="仿宋" w:hAnsi="仿宋" w:eastAsia="仿宋" w:cs="仿宋"/>
                <w:sz w:val="21"/>
                <w:szCs w:val="21"/>
              </w:rPr>
              <w:t>34MHz</w:t>
            </w:r>
          </w:p>
        </w:tc>
        <w:tc>
          <w:tcPr>
            <w:tcW w:w="2694" w:type="dxa"/>
            <w:gridSpan w:val="2"/>
            <w:shd w:val="clear" w:color="auto" w:fill="auto"/>
          </w:tcPr>
          <w:p>
            <w:pPr>
              <w:rPr>
                <w:rFonts w:hint="eastAsia" w:ascii="仿宋" w:hAnsi="仿宋" w:eastAsia="仿宋" w:cs="仿宋"/>
                <w:sz w:val="21"/>
                <w:szCs w:val="21"/>
              </w:rPr>
            </w:pPr>
            <w:r>
              <w:rPr>
                <w:rFonts w:hint="eastAsia" w:ascii="仿宋" w:hAnsi="仿宋" w:eastAsia="仿宋" w:cs="仿宋"/>
                <w:sz w:val="21"/>
                <w:szCs w:val="21"/>
              </w:rPr>
              <w:t>27MHz</w:t>
            </w:r>
          </w:p>
          <w:p>
            <w:pPr>
              <w:rPr>
                <w:rFonts w:hint="eastAsia" w:ascii="仿宋" w:hAnsi="仿宋" w:eastAsia="仿宋" w:cs="仿宋"/>
                <w:sz w:val="21"/>
                <w:szCs w:val="21"/>
              </w:rPr>
            </w:pPr>
          </w:p>
        </w:tc>
        <w:tc>
          <w:tcPr>
            <w:tcW w:w="2399" w:type="dxa"/>
            <w:gridSpan w:val="2"/>
            <w:shd w:val="clear" w:color="auto" w:fill="auto"/>
          </w:tcPr>
          <w:p>
            <w:pPr>
              <w:rPr>
                <w:rFonts w:hint="eastAsia" w:ascii="仿宋" w:hAnsi="仿宋" w:eastAsia="仿宋" w:cs="仿宋"/>
                <w:sz w:val="21"/>
                <w:szCs w:val="21"/>
              </w:rPr>
            </w:pPr>
            <w:r>
              <w:rPr>
                <w:rFonts w:hint="eastAsia" w:ascii="仿宋" w:hAnsi="仿宋" w:eastAsia="仿宋" w:cs="仿宋"/>
                <w:sz w:val="21"/>
                <w:szCs w:val="21"/>
              </w:rPr>
              <w:t>27MHz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trPr>
        <w:tc>
          <w:tcPr>
            <w:tcW w:w="1152" w:type="dxa"/>
            <w:gridSpan w:val="2"/>
          </w:tcPr>
          <w:p>
            <w:pPr>
              <w:rPr>
                <w:rFonts w:hint="eastAsia" w:ascii="仿宋" w:hAnsi="仿宋" w:eastAsia="仿宋" w:cs="仿宋"/>
                <w:sz w:val="21"/>
                <w:szCs w:val="21"/>
              </w:rPr>
            </w:pPr>
            <w:r>
              <w:rPr>
                <w:rFonts w:hint="eastAsia" w:ascii="仿宋" w:hAnsi="仿宋" w:eastAsia="仿宋" w:cs="仿宋"/>
                <w:sz w:val="21"/>
                <w:szCs w:val="21"/>
                <w:lang w:val="en-US" w:eastAsia="zh-CN"/>
              </w:rPr>
              <w:t>2、</w:t>
            </w:r>
            <w:r>
              <w:rPr>
                <w:rFonts w:hint="eastAsia" w:ascii="仿宋" w:hAnsi="仿宋" w:eastAsia="仿宋" w:cs="仿宋"/>
                <w:sz w:val="21"/>
                <w:szCs w:val="21"/>
              </w:rPr>
              <w:t>接口</w:t>
            </w:r>
          </w:p>
        </w:tc>
        <w:tc>
          <w:tcPr>
            <w:tcW w:w="2569" w:type="dxa"/>
            <w:shd w:val="clear" w:color="auto" w:fill="auto"/>
          </w:tcPr>
          <w:p>
            <w:pPr>
              <w:autoSpaceDE w:val="0"/>
              <w:autoSpaceDN w:val="0"/>
              <w:adjustRightInd w:val="0"/>
              <w:rPr>
                <w:rFonts w:hint="eastAsia" w:ascii="仿宋" w:hAnsi="仿宋" w:eastAsia="仿宋" w:cs="仿宋"/>
                <w:sz w:val="21"/>
                <w:szCs w:val="21"/>
              </w:rPr>
            </w:pPr>
            <w:r>
              <w:rPr>
                <w:rFonts w:hint="eastAsia" w:ascii="仿宋" w:hAnsi="仿宋" w:eastAsia="仿宋" w:cs="仿宋"/>
                <w:sz w:val="21"/>
                <w:szCs w:val="21"/>
              </w:rPr>
              <w:t xml:space="preserve">采样锥1.1mm </w:t>
            </w:r>
          </w:p>
          <w:p>
            <w:pPr>
              <w:autoSpaceDE w:val="0"/>
              <w:autoSpaceDN w:val="0"/>
              <w:adjustRightInd w:val="0"/>
              <w:rPr>
                <w:rFonts w:hint="eastAsia" w:ascii="仿宋" w:hAnsi="仿宋" w:eastAsia="仿宋" w:cs="仿宋"/>
                <w:sz w:val="21"/>
                <w:szCs w:val="21"/>
              </w:rPr>
            </w:pPr>
            <w:r>
              <w:rPr>
                <w:rFonts w:hint="eastAsia" w:ascii="仿宋" w:hAnsi="仿宋" w:eastAsia="仿宋" w:cs="仿宋"/>
                <w:sz w:val="21"/>
                <w:szCs w:val="21"/>
              </w:rPr>
              <w:t>截取锥0.9mm 大口径，耐高盐、不易堵、寿命长</w:t>
            </w:r>
          </w:p>
          <w:p>
            <w:pPr>
              <w:autoSpaceDE w:val="0"/>
              <w:autoSpaceDN w:val="0"/>
              <w:adjustRightInd w:val="0"/>
              <w:rPr>
                <w:rFonts w:hint="eastAsia" w:ascii="仿宋" w:hAnsi="仿宋" w:eastAsia="仿宋" w:cs="仿宋"/>
                <w:sz w:val="21"/>
                <w:szCs w:val="21"/>
              </w:rPr>
            </w:pPr>
          </w:p>
          <w:p>
            <w:pPr>
              <w:rPr>
                <w:rFonts w:hint="eastAsia" w:ascii="仿宋" w:hAnsi="仿宋" w:eastAsia="仿宋" w:cs="仿宋"/>
                <w:sz w:val="21"/>
                <w:szCs w:val="21"/>
              </w:rPr>
            </w:pPr>
            <w:r>
              <w:rPr>
                <w:rFonts w:hint="eastAsia" w:ascii="仿宋" w:hAnsi="仿宋" w:eastAsia="仿宋" w:cs="仿宋"/>
                <w:sz w:val="21"/>
                <w:szCs w:val="21"/>
              </w:rPr>
              <w:t xml:space="preserve">  </w:t>
            </w:r>
          </w:p>
        </w:tc>
        <w:tc>
          <w:tcPr>
            <w:tcW w:w="2694" w:type="dxa"/>
            <w:gridSpan w:val="2"/>
            <w:shd w:val="clear" w:color="auto" w:fill="auto"/>
          </w:tcPr>
          <w:p>
            <w:pPr>
              <w:autoSpaceDE w:val="0"/>
              <w:autoSpaceDN w:val="0"/>
              <w:adjustRightInd w:val="0"/>
              <w:rPr>
                <w:rFonts w:hint="eastAsia" w:ascii="仿宋" w:hAnsi="仿宋" w:eastAsia="仿宋" w:cs="仿宋"/>
                <w:sz w:val="21"/>
                <w:szCs w:val="21"/>
              </w:rPr>
            </w:pPr>
            <w:r>
              <w:rPr>
                <w:rFonts w:hint="eastAsia" w:ascii="仿宋" w:hAnsi="仿宋" w:eastAsia="仿宋" w:cs="仿宋"/>
                <w:sz w:val="21"/>
                <w:szCs w:val="21"/>
              </w:rPr>
              <w:t xml:space="preserve">采样锥1.1mm </w:t>
            </w:r>
          </w:p>
          <w:p>
            <w:pPr>
              <w:rPr>
                <w:rFonts w:hint="eastAsia" w:ascii="仿宋" w:hAnsi="仿宋" w:eastAsia="仿宋" w:cs="仿宋"/>
                <w:sz w:val="21"/>
                <w:szCs w:val="21"/>
              </w:rPr>
            </w:pPr>
            <w:r>
              <w:rPr>
                <w:rFonts w:hint="eastAsia" w:ascii="仿宋" w:hAnsi="仿宋" w:eastAsia="仿宋" w:cs="仿宋"/>
                <w:sz w:val="21"/>
                <w:szCs w:val="21"/>
              </w:rPr>
              <w:t>截取锥0.45mm ，小口径，易堵、寿命短</w:t>
            </w:r>
          </w:p>
          <w:p>
            <w:pPr>
              <w:rPr>
                <w:rFonts w:hint="eastAsia" w:ascii="仿宋" w:hAnsi="仿宋" w:eastAsia="仿宋" w:cs="仿宋"/>
                <w:sz w:val="21"/>
                <w:szCs w:val="21"/>
              </w:rPr>
            </w:pPr>
            <w:r>
              <w:rPr>
                <w:rFonts w:hint="eastAsia" w:ascii="仿宋" w:hAnsi="仿宋" w:eastAsia="仿宋" w:cs="仿宋"/>
                <w:sz w:val="21"/>
                <w:szCs w:val="21"/>
              </w:rPr>
              <w:t xml:space="preserve">  </w:t>
            </w:r>
          </w:p>
        </w:tc>
        <w:tc>
          <w:tcPr>
            <w:tcW w:w="2399" w:type="dxa"/>
            <w:gridSpan w:val="2"/>
            <w:shd w:val="clear" w:color="auto" w:fill="auto"/>
          </w:tcPr>
          <w:p>
            <w:pPr>
              <w:autoSpaceDE w:val="0"/>
              <w:autoSpaceDN w:val="0"/>
              <w:adjustRightInd w:val="0"/>
              <w:rPr>
                <w:rFonts w:hint="eastAsia" w:ascii="仿宋" w:hAnsi="仿宋" w:eastAsia="仿宋" w:cs="仿宋"/>
                <w:sz w:val="21"/>
                <w:szCs w:val="21"/>
              </w:rPr>
            </w:pPr>
            <w:r>
              <w:rPr>
                <w:rFonts w:hint="eastAsia" w:ascii="仿宋" w:hAnsi="仿宋" w:eastAsia="仿宋" w:cs="仿宋"/>
                <w:sz w:val="21"/>
                <w:szCs w:val="21"/>
              </w:rPr>
              <w:t xml:space="preserve">采样锥1.1mm </w:t>
            </w:r>
          </w:p>
          <w:p>
            <w:pPr>
              <w:rPr>
                <w:rFonts w:hint="eastAsia" w:ascii="仿宋" w:hAnsi="仿宋" w:eastAsia="仿宋" w:cs="仿宋"/>
                <w:sz w:val="21"/>
                <w:szCs w:val="21"/>
              </w:rPr>
            </w:pPr>
            <w:r>
              <w:rPr>
                <w:rFonts w:hint="eastAsia" w:ascii="仿宋" w:hAnsi="仿宋" w:eastAsia="仿宋" w:cs="仿宋"/>
                <w:sz w:val="21"/>
                <w:szCs w:val="21"/>
              </w:rPr>
              <w:t>截取锥0.5mm ，小口径，易堵、寿命短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trPr>
        <w:tc>
          <w:tcPr>
            <w:tcW w:w="1152" w:type="dxa"/>
            <w:gridSpan w:val="2"/>
          </w:tcPr>
          <w:p>
            <w:pPr>
              <w:rPr>
                <w:rFonts w:hint="eastAsia" w:ascii="仿宋" w:hAnsi="仿宋" w:eastAsia="仿宋" w:cs="仿宋"/>
                <w:sz w:val="21"/>
                <w:szCs w:val="21"/>
              </w:rPr>
            </w:pPr>
            <w:r>
              <w:rPr>
                <w:rFonts w:hint="eastAsia" w:ascii="仿宋" w:hAnsi="仿宋" w:eastAsia="仿宋" w:cs="仿宋"/>
                <w:sz w:val="21"/>
                <w:szCs w:val="21"/>
                <w:lang w:val="en-US" w:eastAsia="zh-CN"/>
              </w:rPr>
              <w:t>3、</w:t>
            </w:r>
            <w:r>
              <w:rPr>
                <w:rFonts w:hint="eastAsia" w:ascii="仿宋" w:hAnsi="仿宋" w:eastAsia="仿宋" w:cs="仿宋"/>
                <w:sz w:val="21"/>
                <w:szCs w:val="21"/>
              </w:rPr>
              <w:t>干扰消除能力</w:t>
            </w:r>
          </w:p>
        </w:tc>
        <w:tc>
          <w:tcPr>
            <w:tcW w:w="2569" w:type="dxa"/>
            <w:shd w:val="clear" w:color="auto" w:fill="auto"/>
          </w:tcPr>
          <w:p>
            <w:pPr>
              <w:autoSpaceDE w:val="0"/>
              <w:autoSpaceDN w:val="0"/>
              <w:adjustRightInd w:val="0"/>
              <w:rPr>
                <w:rFonts w:hint="eastAsia" w:ascii="仿宋" w:hAnsi="仿宋" w:eastAsia="仿宋" w:cs="仿宋"/>
                <w:sz w:val="21"/>
                <w:szCs w:val="21"/>
              </w:rPr>
            </w:pPr>
            <w:r>
              <w:rPr>
                <w:rFonts w:hint="eastAsia" w:ascii="仿宋" w:hAnsi="仿宋" w:eastAsia="仿宋" w:cs="仿宋"/>
                <w:sz w:val="21"/>
                <w:szCs w:val="21"/>
              </w:rPr>
              <w:t>Se &lt; 1.0ppt</w:t>
            </w:r>
          </w:p>
        </w:tc>
        <w:tc>
          <w:tcPr>
            <w:tcW w:w="2694" w:type="dxa"/>
            <w:gridSpan w:val="2"/>
            <w:shd w:val="clear" w:color="auto" w:fill="auto"/>
          </w:tcPr>
          <w:p>
            <w:pPr>
              <w:autoSpaceDE w:val="0"/>
              <w:autoSpaceDN w:val="0"/>
              <w:adjustRightInd w:val="0"/>
              <w:rPr>
                <w:rFonts w:hint="eastAsia" w:ascii="仿宋" w:hAnsi="仿宋" w:eastAsia="仿宋" w:cs="仿宋"/>
                <w:sz w:val="21"/>
                <w:szCs w:val="21"/>
              </w:rPr>
            </w:pPr>
            <w:r>
              <w:rPr>
                <w:rFonts w:hint="eastAsia" w:ascii="仿宋" w:hAnsi="仿宋" w:eastAsia="仿宋" w:cs="仿宋"/>
                <w:sz w:val="21"/>
                <w:szCs w:val="21"/>
              </w:rPr>
              <w:t>Se &lt; 5.0ppt</w:t>
            </w:r>
          </w:p>
        </w:tc>
        <w:tc>
          <w:tcPr>
            <w:tcW w:w="2399" w:type="dxa"/>
            <w:gridSpan w:val="2"/>
            <w:shd w:val="clear" w:color="auto" w:fill="auto"/>
          </w:tcPr>
          <w:p>
            <w:pPr>
              <w:rPr>
                <w:rFonts w:hint="eastAsia" w:ascii="仿宋" w:hAnsi="仿宋" w:eastAsia="仿宋" w:cs="仿宋"/>
                <w:color w:val="000000"/>
                <w:sz w:val="21"/>
                <w:szCs w:val="21"/>
              </w:rPr>
            </w:pPr>
            <w:r>
              <w:rPr>
                <w:rFonts w:hint="eastAsia" w:ascii="仿宋" w:hAnsi="仿宋" w:eastAsia="仿宋" w:cs="仿宋"/>
                <w:sz w:val="21"/>
                <w:szCs w:val="21"/>
              </w:rPr>
              <w:t>Se &lt; 5.0ppt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0" w:type="dxa"/>
          <w:trHeight w:val="320" w:hRule="atLeast"/>
        </w:trPr>
        <w:tc>
          <w:tcPr>
            <w:tcW w:w="1129" w:type="dxa"/>
          </w:tcPr>
          <w:p>
            <w:pPr>
              <w:rPr>
                <w:rFonts w:hint="eastAsia" w:ascii="仿宋" w:hAnsi="仿宋" w:eastAsia="仿宋" w:cs="仿宋"/>
                <w:sz w:val="21"/>
                <w:szCs w:val="21"/>
              </w:rPr>
            </w:pPr>
            <w:r>
              <w:rPr>
                <w:rFonts w:hint="eastAsia" w:ascii="仿宋" w:hAnsi="仿宋" w:eastAsia="仿宋" w:cs="仿宋"/>
                <w:sz w:val="21"/>
                <w:szCs w:val="21"/>
                <w:lang w:val="en-US" w:eastAsia="zh-CN"/>
              </w:rPr>
              <w:t>4、</w:t>
            </w:r>
            <w:r>
              <w:rPr>
                <w:rFonts w:hint="eastAsia" w:ascii="仿宋" w:hAnsi="仿宋" w:eastAsia="仿宋" w:cs="仿宋"/>
                <w:sz w:val="21"/>
                <w:szCs w:val="21"/>
              </w:rPr>
              <w:t>电子稀释</w:t>
            </w:r>
          </w:p>
        </w:tc>
        <w:tc>
          <w:tcPr>
            <w:tcW w:w="2592" w:type="dxa"/>
            <w:gridSpan w:val="2"/>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rPr>
              <w:t>线性范围12个数量级</w:t>
            </w:r>
          </w:p>
          <w:p>
            <w:pPr>
              <w:rPr>
                <w:rFonts w:hint="eastAsia" w:ascii="仿宋" w:hAnsi="仿宋" w:eastAsia="仿宋" w:cs="仿宋"/>
                <w:sz w:val="21"/>
                <w:szCs w:val="21"/>
              </w:rPr>
            </w:pPr>
          </w:p>
        </w:tc>
        <w:tc>
          <w:tcPr>
            <w:tcW w:w="2653" w:type="dxa"/>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rPr>
              <w:t>线性范围11个数量级</w:t>
            </w:r>
          </w:p>
          <w:p>
            <w:pPr>
              <w:rPr>
                <w:rFonts w:hint="eastAsia" w:ascii="仿宋" w:hAnsi="仿宋" w:eastAsia="仿宋" w:cs="仿宋"/>
                <w:sz w:val="21"/>
                <w:szCs w:val="21"/>
              </w:rPr>
            </w:pPr>
          </w:p>
        </w:tc>
        <w:tc>
          <w:tcPr>
            <w:tcW w:w="2410" w:type="dxa"/>
            <w:gridSpan w:val="2"/>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rPr>
              <w:t>线性范围10个数量级</w:t>
            </w:r>
          </w:p>
          <w:p>
            <w:pPr>
              <w:pStyle w:val="7"/>
              <w:rPr>
                <w:rFonts w:hint="eastAsia" w:ascii="仿宋" w:hAnsi="仿宋" w:eastAsia="仿宋" w:cs="仿宋"/>
                <w:color w:val="auto"/>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0" w:type="dxa"/>
          <w:trHeight w:val="320" w:hRule="atLeast"/>
        </w:trPr>
        <w:tc>
          <w:tcPr>
            <w:tcW w:w="1129" w:type="dxa"/>
          </w:tcPr>
          <w:p>
            <w:pPr>
              <w:rPr>
                <w:rFonts w:hint="eastAsia" w:ascii="仿宋" w:hAnsi="仿宋" w:eastAsia="仿宋" w:cs="仿宋"/>
                <w:sz w:val="21"/>
                <w:szCs w:val="21"/>
              </w:rPr>
            </w:pPr>
            <w:r>
              <w:rPr>
                <w:rFonts w:hint="eastAsia" w:ascii="仿宋" w:hAnsi="仿宋" w:eastAsia="仿宋" w:cs="仿宋"/>
                <w:sz w:val="21"/>
                <w:szCs w:val="21"/>
                <w:lang w:val="en-US" w:eastAsia="zh-CN"/>
              </w:rPr>
              <w:t>5、</w:t>
            </w:r>
            <w:r>
              <w:rPr>
                <w:rFonts w:hint="eastAsia" w:ascii="仿宋" w:hAnsi="仿宋" w:eastAsia="仿宋" w:cs="仿宋"/>
                <w:sz w:val="21"/>
                <w:szCs w:val="21"/>
              </w:rPr>
              <w:t>样品耐受性</w:t>
            </w:r>
          </w:p>
        </w:tc>
        <w:tc>
          <w:tcPr>
            <w:tcW w:w="2592" w:type="dxa"/>
            <w:gridSpan w:val="2"/>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rPr>
              <w:t>AMS进样系统，200倍气体稀释能力</w:t>
            </w:r>
          </w:p>
        </w:tc>
        <w:tc>
          <w:tcPr>
            <w:tcW w:w="2653" w:type="dxa"/>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rPr>
              <w:t>UHMI进样系统，100倍气体稀释能力</w:t>
            </w:r>
          </w:p>
        </w:tc>
        <w:tc>
          <w:tcPr>
            <w:tcW w:w="2410" w:type="dxa"/>
            <w:gridSpan w:val="2"/>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rPr>
              <w:t>进样系统，50倍气体稀释能力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0" w:type="dxa"/>
          <w:trHeight w:val="320" w:hRule="atLeast"/>
        </w:trPr>
        <w:tc>
          <w:tcPr>
            <w:tcW w:w="1129" w:type="dxa"/>
          </w:tcPr>
          <w:p>
            <w:pPr>
              <w:rPr>
                <w:rFonts w:hint="eastAsia" w:ascii="仿宋" w:hAnsi="仿宋" w:eastAsia="仿宋" w:cs="仿宋"/>
                <w:sz w:val="21"/>
                <w:szCs w:val="21"/>
              </w:rPr>
            </w:pPr>
            <w:r>
              <w:rPr>
                <w:rFonts w:hint="eastAsia" w:ascii="仿宋" w:hAnsi="仿宋" w:eastAsia="仿宋" w:cs="仿宋"/>
                <w:sz w:val="21"/>
                <w:szCs w:val="21"/>
                <w:lang w:val="en-US" w:eastAsia="zh-CN"/>
              </w:rPr>
              <w:t>6、</w:t>
            </w:r>
            <w:r>
              <w:rPr>
                <w:rFonts w:hint="eastAsia" w:ascii="仿宋" w:hAnsi="仿宋" w:eastAsia="仿宋" w:cs="仿宋"/>
                <w:sz w:val="21"/>
                <w:szCs w:val="21"/>
              </w:rPr>
              <w:t>同位素</w:t>
            </w:r>
          </w:p>
        </w:tc>
        <w:tc>
          <w:tcPr>
            <w:tcW w:w="2592" w:type="dxa"/>
            <w:gridSpan w:val="2"/>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vertAlign w:val="superscript"/>
              </w:rPr>
              <w:t>107</w:t>
            </w:r>
            <w:r>
              <w:rPr>
                <w:rFonts w:hint="eastAsia" w:ascii="仿宋" w:hAnsi="仿宋" w:eastAsia="仿宋" w:cs="仿宋"/>
                <w:sz w:val="21"/>
                <w:szCs w:val="21"/>
              </w:rPr>
              <w:t>Ag/</w:t>
            </w:r>
            <w:r>
              <w:rPr>
                <w:rFonts w:hint="eastAsia" w:ascii="仿宋" w:hAnsi="仿宋" w:eastAsia="仿宋" w:cs="仿宋"/>
                <w:sz w:val="21"/>
                <w:szCs w:val="21"/>
                <w:vertAlign w:val="superscript"/>
              </w:rPr>
              <w:t>109</w:t>
            </w:r>
            <w:r>
              <w:rPr>
                <w:rFonts w:hint="eastAsia" w:ascii="仿宋" w:hAnsi="仿宋" w:eastAsia="仿宋" w:cs="仿宋"/>
                <w:sz w:val="21"/>
                <w:szCs w:val="21"/>
              </w:rPr>
              <w:t xml:space="preserve">Ag </w:t>
            </w:r>
            <w:r>
              <w:rPr>
                <w:rFonts w:hint="eastAsia" w:ascii="仿宋" w:hAnsi="仿宋" w:eastAsia="仿宋" w:cs="仿宋"/>
                <w:color w:val="auto"/>
                <w:sz w:val="21"/>
                <w:szCs w:val="21"/>
              </w:rPr>
              <w:t xml:space="preserve">&lt; </w:t>
            </w:r>
            <w:r>
              <w:rPr>
                <w:rFonts w:hint="eastAsia" w:ascii="仿宋" w:hAnsi="仿宋" w:eastAsia="仿宋" w:cs="仿宋"/>
                <w:b/>
                <w:bCs/>
                <w:color w:val="auto"/>
                <w:sz w:val="21"/>
                <w:szCs w:val="21"/>
              </w:rPr>
              <w:t>0.08%</w:t>
            </w:r>
            <w:r>
              <w:rPr>
                <w:rFonts w:hint="eastAsia" w:ascii="仿宋" w:hAnsi="仿宋" w:eastAsia="仿宋" w:cs="仿宋"/>
                <w:sz w:val="21"/>
                <w:szCs w:val="21"/>
              </w:rPr>
              <w:t>（RSD）</w:t>
            </w:r>
          </w:p>
        </w:tc>
        <w:tc>
          <w:tcPr>
            <w:tcW w:w="2653" w:type="dxa"/>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vertAlign w:val="superscript"/>
              </w:rPr>
              <w:t>107</w:t>
            </w:r>
            <w:r>
              <w:rPr>
                <w:rFonts w:hint="eastAsia" w:ascii="仿宋" w:hAnsi="仿宋" w:eastAsia="仿宋" w:cs="仿宋"/>
                <w:sz w:val="21"/>
                <w:szCs w:val="21"/>
              </w:rPr>
              <w:t>Ag/</w:t>
            </w:r>
            <w:r>
              <w:rPr>
                <w:rFonts w:hint="eastAsia" w:ascii="仿宋" w:hAnsi="仿宋" w:eastAsia="仿宋" w:cs="仿宋"/>
                <w:sz w:val="21"/>
                <w:szCs w:val="21"/>
                <w:vertAlign w:val="superscript"/>
              </w:rPr>
              <w:t>109</w:t>
            </w:r>
            <w:r>
              <w:rPr>
                <w:rFonts w:hint="eastAsia" w:ascii="仿宋" w:hAnsi="仿宋" w:eastAsia="仿宋" w:cs="仿宋"/>
                <w:sz w:val="21"/>
                <w:szCs w:val="21"/>
              </w:rPr>
              <w:t xml:space="preserve">Ag </w:t>
            </w:r>
            <w:r>
              <w:rPr>
                <w:rFonts w:hint="eastAsia" w:ascii="仿宋" w:hAnsi="仿宋" w:eastAsia="仿宋" w:cs="仿宋"/>
                <w:color w:val="auto"/>
                <w:sz w:val="21"/>
                <w:szCs w:val="21"/>
              </w:rPr>
              <w:t xml:space="preserve">&lt; </w:t>
            </w:r>
            <w:r>
              <w:rPr>
                <w:rFonts w:hint="eastAsia" w:ascii="仿宋" w:hAnsi="仿宋" w:eastAsia="仿宋" w:cs="仿宋"/>
                <w:b/>
                <w:bCs/>
                <w:color w:val="auto"/>
                <w:sz w:val="21"/>
                <w:szCs w:val="21"/>
              </w:rPr>
              <w:t>0.1%</w:t>
            </w:r>
            <w:r>
              <w:rPr>
                <w:rFonts w:hint="eastAsia" w:ascii="仿宋" w:hAnsi="仿宋" w:eastAsia="仿宋" w:cs="仿宋"/>
                <w:sz w:val="21"/>
                <w:szCs w:val="21"/>
              </w:rPr>
              <w:t>（RSD）</w:t>
            </w:r>
          </w:p>
        </w:tc>
        <w:tc>
          <w:tcPr>
            <w:tcW w:w="2410" w:type="dxa"/>
            <w:gridSpan w:val="2"/>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vertAlign w:val="superscript"/>
              </w:rPr>
              <w:t>107</w:t>
            </w:r>
            <w:r>
              <w:rPr>
                <w:rFonts w:hint="eastAsia" w:ascii="仿宋" w:hAnsi="仿宋" w:eastAsia="仿宋" w:cs="仿宋"/>
                <w:sz w:val="21"/>
                <w:szCs w:val="21"/>
              </w:rPr>
              <w:t>Ag/</w:t>
            </w:r>
            <w:r>
              <w:rPr>
                <w:rFonts w:hint="eastAsia" w:ascii="仿宋" w:hAnsi="仿宋" w:eastAsia="仿宋" w:cs="仿宋"/>
                <w:sz w:val="21"/>
                <w:szCs w:val="21"/>
                <w:vertAlign w:val="superscript"/>
              </w:rPr>
              <w:t>109</w:t>
            </w:r>
            <w:r>
              <w:rPr>
                <w:rFonts w:hint="eastAsia" w:ascii="仿宋" w:hAnsi="仿宋" w:eastAsia="仿宋" w:cs="仿宋"/>
                <w:sz w:val="21"/>
                <w:szCs w:val="21"/>
              </w:rPr>
              <w:t xml:space="preserve">Ag </w:t>
            </w:r>
            <w:r>
              <w:rPr>
                <w:rFonts w:hint="eastAsia" w:ascii="仿宋" w:hAnsi="仿宋" w:eastAsia="仿宋" w:cs="仿宋"/>
                <w:color w:val="auto"/>
                <w:sz w:val="21"/>
                <w:szCs w:val="21"/>
              </w:rPr>
              <w:t xml:space="preserve">&lt; </w:t>
            </w:r>
            <w:r>
              <w:rPr>
                <w:rFonts w:hint="eastAsia" w:ascii="仿宋" w:hAnsi="仿宋" w:eastAsia="仿宋" w:cs="仿宋"/>
                <w:b/>
                <w:bCs/>
                <w:color w:val="auto"/>
                <w:sz w:val="21"/>
                <w:szCs w:val="21"/>
              </w:rPr>
              <w:t>0.1%</w:t>
            </w:r>
            <w:r>
              <w:rPr>
                <w:rFonts w:hint="eastAsia" w:ascii="仿宋" w:hAnsi="仿宋" w:eastAsia="仿宋" w:cs="仿宋"/>
                <w:sz w:val="21"/>
                <w:szCs w:val="21"/>
              </w:rPr>
              <w:t>（RSD）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0" w:type="dxa"/>
          <w:trHeight w:val="320" w:hRule="atLeast"/>
        </w:trPr>
        <w:tc>
          <w:tcPr>
            <w:tcW w:w="1129" w:type="dxa"/>
          </w:tcPr>
          <w:p>
            <w:pPr>
              <w:rPr>
                <w:rFonts w:hint="eastAsia" w:ascii="仿宋" w:hAnsi="仿宋" w:eastAsia="仿宋" w:cs="仿宋"/>
                <w:sz w:val="21"/>
                <w:szCs w:val="21"/>
              </w:rPr>
            </w:pPr>
            <w:r>
              <w:rPr>
                <w:rFonts w:hint="eastAsia" w:ascii="仿宋" w:hAnsi="仿宋" w:eastAsia="仿宋" w:cs="仿宋"/>
                <w:sz w:val="21"/>
                <w:szCs w:val="21"/>
                <w:lang w:val="en-US" w:eastAsia="zh-CN"/>
              </w:rPr>
              <w:t>7、</w:t>
            </w:r>
            <w:r>
              <w:rPr>
                <w:rFonts w:hint="eastAsia" w:ascii="仿宋" w:hAnsi="仿宋" w:eastAsia="仿宋" w:cs="仿宋"/>
                <w:sz w:val="21"/>
                <w:szCs w:val="21"/>
              </w:rPr>
              <w:t>质量范围</w:t>
            </w:r>
          </w:p>
        </w:tc>
        <w:tc>
          <w:tcPr>
            <w:tcW w:w="2592" w:type="dxa"/>
            <w:gridSpan w:val="2"/>
            <w:shd w:val="clear" w:color="auto" w:fill="auto"/>
          </w:tcPr>
          <w:p>
            <w:pPr>
              <w:pStyle w:val="7"/>
              <w:spacing w:after="0" w:line="276" w:lineRule="auto"/>
              <w:rPr>
                <w:rFonts w:hint="eastAsia" w:ascii="仿宋" w:hAnsi="仿宋" w:eastAsia="仿宋" w:cs="仿宋"/>
                <w:sz w:val="21"/>
                <w:szCs w:val="21"/>
                <w:vertAlign w:val="superscript"/>
              </w:rPr>
            </w:pPr>
            <w:r>
              <w:rPr>
                <w:rFonts w:hint="eastAsia" w:ascii="仿宋" w:hAnsi="仿宋" w:eastAsia="仿宋" w:cs="仿宋"/>
                <w:sz w:val="21"/>
                <w:szCs w:val="21"/>
              </w:rPr>
              <w:t>1-285 amu</w:t>
            </w:r>
          </w:p>
        </w:tc>
        <w:tc>
          <w:tcPr>
            <w:tcW w:w="2653" w:type="dxa"/>
            <w:shd w:val="clear" w:color="auto" w:fill="auto"/>
          </w:tcPr>
          <w:p>
            <w:pPr>
              <w:pStyle w:val="7"/>
              <w:spacing w:after="0" w:line="276" w:lineRule="auto"/>
              <w:rPr>
                <w:rFonts w:hint="eastAsia" w:ascii="仿宋" w:hAnsi="仿宋" w:eastAsia="仿宋" w:cs="仿宋"/>
                <w:sz w:val="21"/>
                <w:szCs w:val="21"/>
                <w:vertAlign w:val="superscript"/>
              </w:rPr>
            </w:pPr>
            <w:r>
              <w:rPr>
                <w:rFonts w:hint="eastAsia" w:ascii="仿宋" w:hAnsi="仿宋" w:eastAsia="仿宋" w:cs="仿宋"/>
                <w:sz w:val="21"/>
                <w:szCs w:val="21"/>
              </w:rPr>
              <w:t>2-265 amu</w:t>
            </w:r>
          </w:p>
        </w:tc>
        <w:tc>
          <w:tcPr>
            <w:tcW w:w="2410" w:type="dxa"/>
            <w:gridSpan w:val="2"/>
            <w:shd w:val="clear" w:color="auto" w:fill="auto"/>
          </w:tcPr>
          <w:p>
            <w:pPr>
              <w:pStyle w:val="7"/>
              <w:spacing w:after="0" w:line="276" w:lineRule="auto"/>
              <w:rPr>
                <w:rFonts w:hint="eastAsia" w:ascii="仿宋" w:hAnsi="仿宋" w:eastAsia="仿宋" w:cs="仿宋"/>
                <w:sz w:val="21"/>
                <w:szCs w:val="21"/>
                <w:vertAlign w:val="superscript"/>
              </w:rPr>
            </w:pPr>
            <w:r>
              <w:rPr>
                <w:rFonts w:hint="eastAsia" w:ascii="仿宋" w:hAnsi="仿宋" w:eastAsia="仿宋" w:cs="仿宋"/>
                <w:sz w:val="21"/>
                <w:szCs w:val="21"/>
              </w:rPr>
              <w:t>2-290 amu</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0" w:type="dxa"/>
          <w:trHeight w:val="320" w:hRule="atLeast"/>
        </w:trPr>
        <w:tc>
          <w:tcPr>
            <w:tcW w:w="1129" w:type="dxa"/>
          </w:tcPr>
          <w:p>
            <w:pPr>
              <w:rPr>
                <w:rFonts w:hint="eastAsia" w:ascii="仿宋" w:hAnsi="仿宋" w:eastAsia="仿宋" w:cs="仿宋"/>
                <w:sz w:val="21"/>
                <w:szCs w:val="21"/>
              </w:rPr>
            </w:pPr>
            <w:r>
              <w:rPr>
                <w:rFonts w:hint="eastAsia" w:ascii="仿宋" w:hAnsi="仿宋" w:eastAsia="仿宋" w:cs="仿宋"/>
                <w:sz w:val="21"/>
                <w:szCs w:val="21"/>
                <w:lang w:val="en-US" w:eastAsia="zh-CN"/>
              </w:rPr>
              <w:t>8、</w:t>
            </w:r>
            <w:r>
              <w:rPr>
                <w:rFonts w:hint="eastAsia" w:ascii="仿宋" w:hAnsi="仿宋" w:eastAsia="仿宋" w:cs="仿宋"/>
                <w:sz w:val="21"/>
                <w:szCs w:val="21"/>
              </w:rPr>
              <w:t>分辨率</w:t>
            </w:r>
          </w:p>
        </w:tc>
        <w:tc>
          <w:tcPr>
            <w:tcW w:w="2592" w:type="dxa"/>
            <w:gridSpan w:val="2"/>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rPr>
              <w:t>0.2~2.0 amu 在线连续可调</w:t>
            </w:r>
          </w:p>
        </w:tc>
        <w:tc>
          <w:tcPr>
            <w:tcW w:w="2653" w:type="dxa"/>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rPr>
              <w:t>不能在线可调</w:t>
            </w:r>
          </w:p>
        </w:tc>
        <w:tc>
          <w:tcPr>
            <w:tcW w:w="2410" w:type="dxa"/>
            <w:gridSpan w:val="2"/>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rPr>
              <w:t>0.35,0.75两档可调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0" w:type="dxa"/>
          <w:trHeight w:val="320" w:hRule="atLeast"/>
        </w:trPr>
        <w:tc>
          <w:tcPr>
            <w:tcW w:w="1129" w:type="dxa"/>
          </w:tcPr>
          <w:p>
            <w:pPr>
              <w:rPr>
                <w:rFonts w:hint="eastAsia" w:ascii="仿宋" w:hAnsi="仿宋" w:eastAsia="仿宋" w:cs="仿宋"/>
                <w:sz w:val="21"/>
                <w:szCs w:val="21"/>
              </w:rPr>
            </w:pPr>
            <w:r>
              <w:rPr>
                <w:rFonts w:hint="eastAsia" w:ascii="仿宋" w:hAnsi="仿宋" w:eastAsia="仿宋" w:cs="仿宋"/>
                <w:sz w:val="21"/>
                <w:szCs w:val="21"/>
                <w:lang w:val="en-US" w:eastAsia="zh-CN"/>
              </w:rPr>
              <w:t>9、</w:t>
            </w:r>
            <w:r>
              <w:rPr>
                <w:rFonts w:hint="eastAsia" w:ascii="仿宋" w:hAnsi="仿宋" w:eastAsia="仿宋" w:cs="仿宋"/>
                <w:sz w:val="21"/>
                <w:szCs w:val="21"/>
              </w:rPr>
              <w:t>长期稳定性</w:t>
            </w:r>
          </w:p>
        </w:tc>
        <w:tc>
          <w:tcPr>
            <w:tcW w:w="2592" w:type="dxa"/>
            <w:gridSpan w:val="2"/>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rPr>
              <w:t>RSD &lt; 3%</w:t>
            </w:r>
          </w:p>
        </w:tc>
        <w:tc>
          <w:tcPr>
            <w:tcW w:w="2653" w:type="dxa"/>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rPr>
              <w:t>RSD &lt; 3%</w:t>
            </w:r>
          </w:p>
        </w:tc>
        <w:tc>
          <w:tcPr>
            <w:tcW w:w="2410" w:type="dxa"/>
            <w:gridSpan w:val="2"/>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rPr>
              <w:t>RSD &lt; 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0" w:type="dxa"/>
          <w:trHeight w:val="320" w:hRule="atLeast"/>
        </w:trPr>
        <w:tc>
          <w:tcPr>
            <w:tcW w:w="1129" w:type="dxa"/>
          </w:tcPr>
          <w:p>
            <w:pPr>
              <w:rPr>
                <w:rFonts w:hint="eastAsia" w:ascii="仿宋" w:hAnsi="仿宋" w:eastAsia="仿宋" w:cs="仿宋"/>
                <w:sz w:val="21"/>
                <w:szCs w:val="21"/>
              </w:rPr>
            </w:pPr>
            <w:r>
              <w:rPr>
                <w:rFonts w:hint="eastAsia" w:ascii="仿宋" w:hAnsi="仿宋" w:eastAsia="仿宋" w:cs="仿宋"/>
                <w:sz w:val="21"/>
                <w:szCs w:val="21"/>
                <w:lang w:val="en-US" w:eastAsia="zh-CN"/>
              </w:rPr>
              <w:t>10、</w:t>
            </w:r>
            <w:r>
              <w:rPr>
                <w:rFonts w:hint="eastAsia" w:ascii="仿宋" w:hAnsi="仿宋" w:eastAsia="仿宋" w:cs="仿宋"/>
                <w:sz w:val="21"/>
                <w:szCs w:val="21"/>
              </w:rPr>
              <w:t>纳米分析能力</w:t>
            </w:r>
          </w:p>
        </w:tc>
        <w:tc>
          <w:tcPr>
            <w:tcW w:w="2592" w:type="dxa"/>
            <w:gridSpan w:val="2"/>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rPr>
              <w:t>100000 数据点 / 秒</w:t>
            </w:r>
          </w:p>
        </w:tc>
        <w:tc>
          <w:tcPr>
            <w:tcW w:w="2653" w:type="dxa"/>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rPr>
              <w:t>10000数据点 / 秒</w:t>
            </w:r>
          </w:p>
        </w:tc>
        <w:tc>
          <w:tcPr>
            <w:tcW w:w="2410" w:type="dxa"/>
            <w:gridSpan w:val="2"/>
            <w:shd w:val="clear" w:color="auto" w:fill="auto"/>
          </w:tcPr>
          <w:p>
            <w:pPr>
              <w:pStyle w:val="7"/>
              <w:spacing w:after="0" w:line="276" w:lineRule="auto"/>
              <w:rPr>
                <w:rFonts w:hint="eastAsia" w:ascii="仿宋" w:hAnsi="仿宋" w:eastAsia="仿宋" w:cs="仿宋"/>
                <w:sz w:val="21"/>
                <w:szCs w:val="21"/>
              </w:rPr>
            </w:pPr>
            <w:r>
              <w:rPr>
                <w:rFonts w:hint="eastAsia" w:ascii="仿宋" w:hAnsi="仿宋" w:eastAsia="仿宋" w:cs="仿宋"/>
                <w:sz w:val="21"/>
                <w:szCs w:val="21"/>
              </w:rPr>
              <w:t>5000 数据点 / 秒</w:t>
            </w:r>
          </w:p>
        </w:tc>
      </w:tr>
    </w:tbl>
    <w:p>
      <w:pPr>
        <w:spacing w:line="360" w:lineRule="auto"/>
        <w:rPr>
          <w:rFonts w:hint="eastAsia" w:ascii="仿宋" w:hAnsi="仿宋" w:eastAsia="仿宋" w:cs="仿宋"/>
          <w:b/>
          <w:color w:val="000000"/>
          <w:kern w:val="0"/>
          <w:sz w:val="28"/>
          <w:szCs w:val="28"/>
        </w:rPr>
      </w:pPr>
      <w:r>
        <w:rPr>
          <w:rFonts w:hint="eastAsia" w:ascii="仿宋" w:hAnsi="仿宋" w:eastAsia="仿宋" w:cs="仿宋"/>
          <w:b/>
          <w:color w:val="000000"/>
          <w:kern w:val="0"/>
          <w:sz w:val="28"/>
          <w:szCs w:val="28"/>
        </w:rPr>
        <w:t>4、</w:t>
      </w:r>
      <w:r>
        <w:rPr>
          <w:rFonts w:hint="eastAsia" w:ascii="仿宋" w:hAnsi="仿宋" w:eastAsia="仿宋" w:cs="仿宋"/>
          <w:b/>
          <w:sz w:val="28"/>
          <w:szCs w:val="28"/>
        </w:rPr>
        <w:t>结论</w:t>
      </w:r>
      <w:r>
        <w:rPr>
          <w:rFonts w:hint="eastAsia" w:ascii="仿宋" w:hAnsi="仿宋" w:eastAsia="仿宋" w:cs="仿宋"/>
          <w:b/>
          <w:color w:val="000000"/>
          <w:kern w:val="0"/>
          <w:sz w:val="28"/>
          <w:szCs w:val="28"/>
        </w:rPr>
        <w:t xml:space="preserve">  </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经调研进口品牌的产品可满足</w:t>
      </w:r>
      <w:r>
        <w:rPr>
          <w:rFonts w:hint="eastAsia" w:ascii="仿宋" w:hAnsi="仿宋" w:eastAsia="仿宋" w:cs="仿宋"/>
          <w:kern w:val="0"/>
          <w:sz w:val="28"/>
          <w:szCs w:val="28"/>
          <w:lang w:val="en-US" w:eastAsia="zh-CN"/>
        </w:rPr>
        <w:t>省级危险废物鉴定中心</w:t>
      </w:r>
      <w:r>
        <w:rPr>
          <w:rFonts w:hint="eastAsia" w:ascii="仿宋" w:hAnsi="仿宋" w:eastAsia="仿宋" w:cs="仿宋"/>
          <w:kern w:val="0"/>
          <w:sz w:val="28"/>
          <w:szCs w:val="28"/>
        </w:rPr>
        <w:t>的</w:t>
      </w:r>
      <w:r>
        <w:rPr>
          <w:rFonts w:hint="eastAsia" w:ascii="仿宋" w:hAnsi="仿宋" w:eastAsia="仿宋" w:cs="仿宋"/>
          <w:kern w:val="0"/>
          <w:sz w:val="28"/>
          <w:szCs w:val="28"/>
          <w:lang w:val="en-US" w:eastAsia="zh-CN"/>
        </w:rPr>
        <w:t>固体废物检测</w:t>
      </w:r>
      <w:r>
        <w:rPr>
          <w:rFonts w:hint="eastAsia" w:ascii="仿宋" w:hAnsi="仿宋" w:eastAsia="仿宋" w:cs="仿宋"/>
          <w:kern w:val="0"/>
          <w:sz w:val="28"/>
          <w:szCs w:val="28"/>
        </w:rPr>
        <w:t>需求</w:t>
      </w:r>
      <w:r>
        <w:rPr>
          <w:rFonts w:hint="eastAsia" w:ascii="仿宋" w:hAnsi="仿宋" w:eastAsia="仿宋" w:cs="仿宋"/>
          <w:color w:val="000000"/>
          <w:kern w:val="0"/>
          <w:sz w:val="28"/>
          <w:szCs w:val="28"/>
        </w:rPr>
        <w:t>，故</w:t>
      </w:r>
      <w:r>
        <w:rPr>
          <w:rFonts w:hint="eastAsia" w:ascii="仿宋" w:hAnsi="仿宋" w:eastAsia="仿宋" w:cs="仿宋"/>
          <w:kern w:val="0"/>
          <w:sz w:val="28"/>
          <w:szCs w:val="28"/>
        </w:rPr>
        <w:t>申请采购进口产品。</w:t>
      </w:r>
    </w:p>
    <w:p>
      <w:pPr>
        <w:widowControl w:val="0"/>
        <w:numPr>
          <w:ilvl w:val="0"/>
          <w:numId w:val="1"/>
        </w:numPr>
        <w:ind w:left="0" w:leftChars="0" w:firstLine="0" w:firstLineChars="0"/>
        <w:jc w:val="both"/>
        <w:rPr>
          <w:rFonts w:hint="eastAsia" w:ascii="黑体" w:hAnsi="黑体" w:eastAsia="黑体" w:cs="黑体"/>
          <w:b/>
          <w:bCs/>
          <w:sz w:val="28"/>
          <w:szCs w:val="28"/>
          <w:lang w:val="en-US" w:eastAsia="zh-CN"/>
        </w:rPr>
      </w:pPr>
      <w:r>
        <w:rPr>
          <w:rFonts w:hint="eastAsia" w:ascii="黑体" w:hAnsi="黑体" w:eastAsia="黑体" w:cs="黑体"/>
          <w:b/>
          <w:bCs/>
          <w:sz w:val="28"/>
          <w:szCs w:val="28"/>
          <w:lang w:val="en-US" w:eastAsia="zh-CN"/>
        </w:rPr>
        <w:t>HPLC-MS 高效液相质谱联用仪</w:t>
      </w:r>
    </w:p>
    <w:p>
      <w:pPr>
        <w:spacing w:line="360" w:lineRule="auto"/>
        <w:rPr>
          <w:rFonts w:hint="eastAsia" w:ascii="仿宋" w:hAnsi="仿宋" w:eastAsia="仿宋" w:cs="仿宋"/>
          <w:b/>
          <w:bCs/>
          <w:sz w:val="28"/>
          <w:szCs w:val="28"/>
        </w:rPr>
      </w:pPr>
      <w:r>
        <w:rPr>
          <w:rFonts w:hint="eastAsia" w:ascii="仿宋" w:hAnsi="仿宋" w:eastAsia="仿宋" w:cs="仿宋"/>
          <w:b/>
          <w:bCs/>
          <w:sz w:val="28"/>
          <w:szCs w:val="28"/>
          <w:lang w:val="en-US" w:eastAsia="zh-CN"/>
        </w:rPr>
        <w:t>1、</w:t>
      </w:r>
      <w:r>
        <w:rPr>
          <w:rFonts w:hint="eastAsia" w:ascii="仿宋" w:hAnsi="仿宋" w:eastAsia="仿宋" w:cs="仿宋"/>
          <w:b/>
          <w:bCs/>
          <w:sz w:val="28"/>
          <w:szCs w:val="28"/>
        </w:rPr>
        <w:t>需求及现状</w:t>
      </w:r>
    </w:p>
    <w:p>
      <w:pPr>
        <w:pStyle w:val="3"/>
        <w:spacing w:before="0" w:beforeAutospacing="0" w:after="0" w:afterAutospacing="0" w:line="360" w:lineRule="auto"/>
        <w:rPr>
          <w:rFonts w:hint="eastAsia" w:ascii="仿宋" w:hAnsi="仿宋" w:eastAsia="仿宋" w:cs="仿宋"/>
          <w:kern w:val="2"/>
          <w:sz w:val="28"/>
          <w:szCs w:val="28"/>
        </w:rPr>
      </w:pPr>
      <w:r>
        <w:rPr>
          <w:rFonts w:hint="eastAsia" w:ascii="仿宋" w:hAnsi="仿宋" w:eastAsia="仿宋" w:cs="仿宋"/>
          <w:kern w:val="2"/>
          <w:sz w:val="28"/>
          <w:szCs w:val="28"/>
        </w:rPr>
        <w:t xml:space="preserve">拟采购的超高效液相色谱串联质谱联用系统需满足以下需求标准： </w:t>
      </w:r>
    </w:p>
    <w:p>
      <w:pPr>
        <w:spacing w:line="360" w:lineRule="auto"/>
        <w:rPr>
          <w:rFonts w:hint="eastAsia" w:ascii="仿宋" w:hAnsi="仿宋" w:eastAsia="仿宋" w:cs="仿宋"/>
          <w:sz w:val="28"/>
          <w:szCs w:val="28"/>
        </w:rPr>
      </w:pPr>
      <w:r>
        <w:rPr>
          <w:rFonts w:hint="eastAsia" w:ascii="仿宋" w:hAnsi="仿宋" w:eastAsia="仿宋" w:cs="仿宋"/>
          <w:sz w:val="28"/>
          <w:szCs w:val="28"/>
        </w:rPr>
        <w:t>（1）、ESI离子源流速耐受要求：≥3mL/min（必须为不分流的情况下，且灵敏度不损失，作为验收指标）。</w:t>
      </w:r>
    </w:p>
    <w:p>
      <w:pPr>
        <w:spacing w:line="360" w:lineRule="auto"/>
        <w:rPr>
          <w:rFonts w:hint="eastAsia" w:ascii="仿宋" w:hAnsi="仿宋" w:eastAsia="仿宋" w:cs="仿宋"/>
          <w:sz w:val="28"/>
          <w:szCs w:val="28"/>
        </w:rPr>
      </w:pPr>
      <w:r>
        <w:rPr>
          <w:rFonts w:hint="eastAsia" w:ascii="仿宋" w:hAnsi="仿宋" w:eastAsia="仿宋" w:cs="仿宋"/>
          <w:sz w:val="28"/>
          <w:szCs w:val="28"/>
        </w:rPr>
        <w:t>需求说明：ESI离子源的耐受范围越宽且灵敏度不损失，代表着在不损失灵敏度的情况下，质谱适用的样品液相分离的条件越宽，可以在灵活的条件下适用更大流速的液相分离速度，从而节省分析时间。</w:t>
      </w:r>
    </w:p>
    <w:p>
      <w:pPr>
        <w:spacing w:line="360" w:lineRule="auto"/>
        <w:rPr>
          <w:rFonts w:hint="eastAsia" w:ascii="仿宋" w:hAnsi="仿宋" w:eastAsia="仿宋" w:cs="仿宋"/>
          <w:sz w:val="28"/>
          <w:szCs w:val="28"/>
        </w:rPr>
      </w:pPr>
      <w:r>
        <w:rPr>
          <w:rFonts w:hint="eastAsia" w:ascii="仿宋" w:hAnsi="仿宋" w:eastAsia="仿宋" w:cs="仿宋"/>
          <w:sz w:val="28"/>
          <w:szCs w:val="28"/>
        </w:rPr>
        <w:t>（2）、离子源内两路加热雾化气，辅助加热气温度750℃或以上，而且检测的化合物的灵敏度是随着离子源温度升高而升高的。</w:t>
      </w:r>
    </w:p>
    <w:p>
      <w:pPr>
        <w:spacing w:line="360" w:lineRule="auto"/>
        <w:rPr>
          <w:rFonts w:hint="eastAsia" w:ascii="仿宋" w:hAnsi="仿宋" w:eastAsia="仿宋" w:cs="仿宋"/>
          <w:sz w:val="28"/>
          <w:szCs w:val="28"/>
        </w:rPr>
      </w:pPr>
      <w:r>
        <w:rPr>
          <w:rFonts w:hint="eastAsia" w:ascii="仿宋" w:hAnsi="仿宋" w:eastAsia="仿宋" w:cs="仿宋"/>
          <w:sz w:val="28"/>
          <w:szCs w:val="28"/>
        </w:rPr>
        <w:t>需求说明：越高的离子源温度有助于提升仪器的检测灵敏度</w:t>
      </w:r>
    </w:p>
    <w:p>
      <w:pPr>
        <w:spacing w:line="360" w:lineRule="auto"/>
        <w:rPr>
          <w:rFonts w:hint="eastAsia" w:ascii="仿宋" w:hAnsi="仿宋" w:eastAsia="仿宋" w:cs="仿宋"/>
          <w:sz w:val="28"/>
          <w:szCs w:val="28"/>
        </w:rPr>
      </w:pPr>
      <w:r>
        <w:rPr>
          <w:rFonts w:hint="eastAsia" w:ascii="仿宋" w:hAnsi="仿宋" w:eastAsia="仿宋" w:cs="仿宋"/>
          <w:sz w:val="28"/>
          <w:szCs w:val="28"/>
        </w:rPr>
        <w:t>（3）、离子源具有废气主动排放功能，最大流速10L/min，降低离子源的记忆效应和污染。</w:t>
      </w:r>
    </w:p>
    <w:p>
      <w:pPr>
        <w:spacing w:line="360" w:lineRule="auto"/>
        <w:rPr>
          <w:rFonts w:hint="eastAsia" w:ascii="仿宋" w:hAnsi="仿宋" w:eastAsia="仿宋" w:cs="仿宋"/>
          <w:sz w:val="28"/>
          <w:szCs w:val="28"/>
        </w:rPr>
      </w:pPr>
      <w:r>
        <w:rPr>
          <w:rFonts w:hint="eastAsia" w:ascii="仿宋" w:hAnsi="仿宋" w:eastAsia="仿宋" w:cs="仿宋"/>
          <w:sz w:val="28"/>
          <w:szCs w:val="28"/>
        </w:rPr>
        <w:t>需求说明：废弃排放功能能有效的增强离子源的抗污染能力，对于检测数据的稳定性和长期灵敏度的保持有着至关重要的意义，而主动的废气排放功能是最优的选择，也是长期灵敏度保持的最佳解决方案，可以使得仪器历久弥新，长时间的运行也能保证检出限，从而更好的满足法规标准。</w:t>
      </w:r>
    </w:p>
    <w:p>
      <w:pPr>
        <w:spacing w:line="360" w:lineRule="auto"/>
        <w:rPr>
          <w:rFonts w:hint="eastAsia" w:ascii="仿宋" w:hAnsi="仿宋" w:eastAsia="仿宋" w:cs="仿宋"/>
          <w:sz w:val="28"/>
          <w:szCs w:val="28"/>
        </w:rPr>
      </w:pPr>
      <w:r>
        <w:rPr>
          <w:rFonts w:hint="eastAsia" w:ascii="仿宋" w:hAnsi="仿宋" w:eastAsia="仿宋" w:cs="仿宋"/>
          <w:sz w:val="28"/>
          <w:szCs w:val="28"/>
        </w:rPr>
        <w:t>（4）、离子源接口要求采用带气帘气技术的一级锥孔结构（非二级锥孔结构），无毛细管或其它任何引流管路，以同时保持高灵敏度和优异的抗污染能力。</w:t>
      </w:r>
    </w:p>
    <w:p>
      <w:pPr>
        <w:spacing w:line="360" w:lineRule="auto"/>
        <w:rPr>
          <w:rFonts w:hint="eastAsia" w:ascii="仿宋" w:hAnsi="仿宋" w:eastAsia="仿宋" w:cs="仿宋"/>
          <w:sz w:val="28"/>
          <w:szCs w:val="28"/>
        </w:rPr>
      </w:pPr>
      <w:r>
        <w:rPr>
          <w:rFonts w:hint="eastAsia" w:ascii="仿宋" w:hAnsi="仿宋" w:eastAsia="仿宋" w:cs="仿宋"/>
          <w:sz w:val="28"/>
          <w:szCs w:val="28"/>
        </w:rPr>
        <w:t>需求说明：离子源接口是离子聚焦的至关部件，聚焦效果好仪器的灵敏度就会好，无二级锥孔和无毛细管结构能保证仪器长期使用不堵塞，也保证仪器长期的稳定性，而且减少毛细管的耗材和二级锥孔的清洗费用，每年可节省2万元的费用。</w:t>
      </w:r>
    </w:p>
    <w:p>
      <w:pPr>
        <w:spacing w:line="360" w:lineRule="auto"/>
        <w:rPr>
          <w:rFonts w:hint="eastAsia" w:ascii="仿宋" w:hAnsi="仿宋" w:eastAsia="仿宋" w:cs="仿宋"/>
          <w:sz w:val="28"/>
          <w:szCs w:val="28"/>
        </w:rPr>
      </w:pPr>
      <w:r>
        <w:rPr>
          <w:rFonts w:hint="eastAsia" w:ascii="仿宋" w:hAnsi="仿宋" w:eastAsia="仿宋" w:cs="仿宋"/>
          <w:sz w:val="28"/>
          <w:szCs w:val="28"/>
        </w:rPr>
        <w:t>（5）、离子源基质效应低，前处理采用液液萃取LLE和不同的固相萃取柱如HLB、MCX、MIP，基质效应偏差小于2%。</w:t>
      </w:r>
    </w:p>
    <w:p>
      <w:pPr>
        <w:spacing w:line="360" w:lineRule="auto"/>
        <w:rPr>
          <w:rFonts w:hint="eastAsia" w:ascii="仿宋" w:hAnsi="仿宋" w:eastAsia="仿宋" w:cs="仿宋"/>
          <w:sz w:val="28"/>
          <w:szCs w:val="28"/>
        </w:rPr>
      </w:pPr>
      <w:r>
        <w:rPr>
          <w:rFonts w:hint="eastAsia" w:ascii="仿宋" w:hAnsi="仿宋" w:eastAsia="仿宋" w:cs="仿宋"/>
          <w:sz w:val="28"/>
          <w:szCs w:val="28"/>
        </w:rPr>
        <w:t>需求说明：离子源的基质效应越低，产生的离子之间的干扰越少，目标化合物的灵敏度就越好</w:t>
      </w:r>
    </w:p>
    <w:p>
      <w:pPr>
        <w:spacing w:line="360" w:lineRule="auto"/>
        <w:rPr>
          <w:rFonts w:hint="eastAsia" w:ascii="仿宋" w:hAnsi="仿宋" w:eastAsia="仿宋" w:cs="仿宋"/>
          <w:sz w:val="28"/>
          <w:szCs w:val="28"/>
        </w:rPr>
      </w:pPr>
      <w:r>
        <w:rPr>
          <w:rFonts w:hint="eastAsia" w:ascii="仿宋" w:hAnsi="仿宋" w:eastAsia="仿宋" w:cs="仿宋"/>
          <w:sz w:val="28"/>
          <w:szCs w:val="28"/>
        </w:rPr>
        <w:t>（6）、串联质谱碰撞池技术: 采用180°U型弯曲碰撞池设计（投标时提供结构图证明），且具有线性加速技术。</w:t>
      </w:r>
    </w:p>
    <w:p>
      <w:pPr>
        <w:spacing w:line="360" w:lineRule="auto"/>
        <w:rPr>
          <w:rFonts w:hint="eastAsia" w:ascii="仿宋" w:hAnsi="仿宋" w:eastAsia="仿宋" w:cs="仿宋"/>
          <w:sz w:val="28"/>
          <w:szCs w:val="28"/>
        </w:rPr>
      </w:pPr>
      <w:r>
        <w:rPr>
          <w:rFonts w:hint="eastAsia" w:ascii="仿宋" w:hAnsi="仿宋" w:eastAsia="仿宋" w:cs="仿宋"/>
          <w:sz w:val="28"/>
          <w:szCs w:val="28"/>
        </w:rPr>
        <w:t>需求说明：弯曲的碰撞池能保证碰撞气的杂质不会进入到检测器，从而保证了低的背景噪音也保证了灵敏度；线性加速技术可以使得仪器具备高通量检测的能力，一次进样可以分析几千种化合物，而且彼此化合物之间不干扰，所以化合物的灵敏度都有保证。</w:t>
      </w:r>
    </w:p>
    <w:p>
      <w:pPr>
        <w:spacing w:line="360" w:lineRule="auto"/>
        <w:rPr>
          <w:rFonts w:hint="eastAsia" w:ascii="仿宋" w:hAnsi="仿宋" w:eastAsia="仿宋" w:cs="仿宋"/>
          <w:sz w:val="28"/>
          <w:szCs w:val="28"/>
        </w:rPr>
      </w:pPr>
      <w:r>
        <w:rPr>
          <w:rFonts w:hint="eastAsia" w:ascii="仿宋" w:hAnsi="仿宋" w:eastAsia="仿宋" w:cs="仿宋"/>
          <w:sz w:val="28"/>
          <w:szCs w:val="28"/>
        </w:rPr>
        <w:t>（7）、ESI+：实际柱上进样1pg利血平，流速0.8mL/min，信噪比≥1000000:1(噪音长度不低于0.3min)。</w:t>
      </w:r>
    </w:p>
    <w:p>
      <w:pPr>
        <w:spacing w:line="360" w:lineRule="auto"/>
        <w:rPr>
          <w:rFonts w:hint="eastAsia" w:ascii="仿宋" w:hAnsi="仿宋" w:eastAsia="仿宋" w:cs="仿宋"/>
          <w:sz w:val="28"/>
          <w:szCs w:val="28"/>
        </w:rPr>
      </w:pPr>
      <w:r>
        <w:rPr>
          <w:rFonts w:hint="eastAsia" w:ascii="仿宋" w:hAnsi="仿宋" w:eastAsia="仿宋" w:cs="仿宋"/>
          <w:sz w:val="28"/>
          <w:szCs w:val="28"/>
        </w:rPr>
        <w:t>需求说明：仪器的信噪比是化合物最低检测限的体现，高的信噪比可以长期满足法规标准的要求，而且可以使得前处理更简单，提供工作效率。</w:t>
      </w:r>
    </w:p>
    <w:p>
      <w:pPr>
        <w:spacing w:line="360" w:lineRule="auto"/>
        <w:rPr>
          <w:rFonts w:hint="eastAsia" w:ascii="仿宋" w:hAnsi="仿宋" w:eastAsia="仿宋" w:cs="仿宋"/>
          <w:sz w:val="28"/>
          <w:szCs w:val="28"/>
        </w:rPr>
      </w:pPr>
      <w:r>
        <w:rPr>
          <w:rFonts w:hint="eastAsia" w:ascii="仿宋" w:hAnsi="仿宋" w:eastAsia="仿宋" w:cs="仿宋"/>
          <w:sz w:val="28"/>
          <w:szCs w:val="28"/>
        </w:rPr>
        <w:t>（8）、重现性实验：1pg利血平分别连续进样10次，峰面积CV小于2% 。</w:t>
      </w:r>
    </w:p>
    <w:p>
      <w:pPr>
        <w:numPr>
          <w:ilvl w:val="255"/>
          <w:numId w:val="0"/>
        </w:numPr>
        <w:spacing w:line="360" w:lineRule="auto"/>
        <w:rPr>
          <w:rFonts w:hint="eastAsia" w:ascii="仿宋" w:hAnsi="仿宋" w:eastAsia="仿宋" w:cs="仿宋"/>
          <w:sz w:val="28"/>
          <w:szCs w:val="28"/>
        </w:rPr>
      </w:pPr>
      <w:r>
        <w:rPr>
          <w:rFonts w:hint="eastAsia" w:ascii="仿宋" w:hAnsi="仿宋" w:eastAsia="仿宋" w:cs="仿宋"/>
          <w:sz w:val="28"/>
          <w:szCs w:val="28"/>
        </w:rPr>
        <w:t>需求说明：仪器的重现性越小，稳定性越好。</w:t>
      </w:r>
    </w:p>
    <w:p>
      <w:pPr>
        <w:numPr>
          <w:ilvl w:val="255"/>
          <w:numId w:val="0"/>
        </w:numPr>
        <w:spacing w:line="360" w:lineRule="auto"/>
        <w:rPr>
          <w:rFonts w:hint="eastAsia" w:ascii="仿宋" w:hAnsi="仿宋" w:eastAsia="仿宋" w:cs="仿宋"/>
          <w:sz w:val="28"/>
          <w:szCs w:val="28"/>
        </w:rPr>
      </w:pPr>
      <w:r>
        <w:rPr>
          <w:rFonts w:hint="eastAsia" w:ascii="仿宋" w:hAnsi="仿宋" w:eastAsia="仿宋" w:cs="仿宋"/>
          <w:sz w:val="28"/>
          <w:szCs w:val="28"/>
        </w:rPr>
        <w:t>（9）、仪器后续可升级二级定性能力，有效的在一针的工作流程里做到同时定量和定性，有助于消除假阳性、增强选择性和提高灵敏度，同时定性也能更好的帮助到科研工作。</w:t>
      </w:r>
    </w:p>
    <w:p>
      <w:pPr>
        <w:numPr>
          <w:ilvl w:val="255"/>
          <w:numId w:val="0"/>
        </w:numPr>
        <w:spacing w:line="360" w:lineRule="auto"/>
        <w:rPr>
          <w:rFonts w:hint="eastAsia" w:ascii="仿宋" w:hAnsi="仿宋" w:eastAsia="仿宋" w:cs="仿宋"/>
          <w:sz w:val="28"/>
          <w:szCs w:val="28"/>
        </w:rPr>
      </w:pPr>
      <w:r>
        <w:rPr>
          <w:rFonts w:hint="eastAsia" w:ascii="仿宋" w:hAnsi="仿宋" w:eastAsia="仿宋" w:cs="仿宋"/>
          <w:sz w:val="28"/>
          <w:szCs w:val="28"/>
        </w:rPr>
        <w:t>需求说明：仪器出了具备定量能力外，还需要可扩展定性能力，用于消除数据的假阳性和环境应急检测。</w:t>
      </w:r>
    </w:p>
    <w:p>
      <w:pPr>
        <w:pStyle w:val="6"/>
        <w:spacing w:line="360" w:lineRule="auto"/>
        <w:ind w:firstLine="480" w:firstLineChars="0"/>
        <w:rPr>
          <w:rFonts w:hint="eastAsia" w:ascii="仿宋" w:hAnsi="仿宋" w:eastAsia="仿宋" w:cs="仿宋"/>
          <w:sz w:val="28"/>
          <w:szCs w:val="28"/>
        </w:rPr>
      </w:pPr>
      <w:r>
        <w:rPr>
          <w:rFonts w:hint="eastAsia" w:ascii="仿宋" w:hAnsi="仿宋" w:eastAsia="仿宋" w:cs="仿宋"/>
          <w:sz w:val="28"/>
          <w:szCs w:val="28"/>
        </w:rPr>
        <w:t>我院尚未采购过满足上述需求的同类或相关设备，需购超高效液相色谱三重四级杆质谱仪完善检测体系，满足开展固废中有机物的测定要求。</w:t>
      </w:r>
    </w:p>
    <w:p>
      <w:pPr>
        <w:spacing w:line="360" w:lineRule="auto"/>
        <w:rPr>
          <w:rFonts w:hint="eastAsia" w:ascii="仿宋" w:hAnsi="仿宋" w:eastAsia="仿宋" w:cs="仿宋"/>
          <w:b/>
          <w:bCs/>
          <w:sz w:val="28"/>
          <w:szCs w:val="28"/>
        </w:rPr>
      </w:pPr>
      <w:r>
        <w:rPr>
          <w:rFonts w:hint="eastAsia" w:ascii="仿宋" w:hAnsi="仿宋" w:eastAsia="仿宋" w:cs="仿宋"/>
          <w:b/>
          <w:bCs/>
          <w:sz w:val="28"/>
          <w:szCs w:val="28"/>
          <w:lang w:val="en-US" w:eastAsia="zh-CN"/>
        </w:rPr>
        <w:t>2、</w:t>
      </w:r>
      <w:r>
        <w:rPr>
          <w:rFonts w:hint="eastAsia" w:ascii="仿宋" w:hAnsi="仿宋" w:eastAsia="仿宋" w:cs="仿宋"/>
          <w:b/>
          <w:bCs/>
          <w:sz w:val="28"/>
          <w:szCs w:val="28"/>
        </w:rPr>
        <w:t>国产同类产品情况</w:t>
      </w:r>
    </w:p>
    <w:p>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目前超高效液相色谱串联质谱联用系统基本都是进口品牌的，只有三个国产品牌2019年和2022年才面世，基本没有政府单位的用户，更没有科研系统的用户，应用方案基本没有。进口的超高效液相色谱串联质谱联用系统有7个品牌在市场供应，产品的性能也各有千秋，总体的调查结果来看，我们省内的省市级检测和科研机构基本采购的都是占有率前三的品牌，没有采购国产品牌。</w:t>
      </w:r>
    </w:p>
    <w:p>
      <w:pPr>
        <w:pStyle w:val="2"/>
        <w:spacing w:after="0" w:line="360" w:lineRule="auto"/>
        <w:ind w:left="0" w:leftChars="0" w:firstLine="560" w:firstLineChars="200"/>
        <w:rPr>
          <w:rFonts w:hint="eastAsia" w:ascii="仿宋" w:hAnsi="仿宋" w:eastAsia="仿宋" w:cs="仿宋"/>
          <w:sz w:val="28"/>
          <w:szCs w:val="28"/>
        </w:rPr>
      </w:pPr>
      <w:r>
        <w:rPr>
          <w:rFonts w:hint="eastAsia" w:ascii="仿宋" w:hAnsi="仿宋" w:eastAsia="仿宋" w:cs="仿宋"/>
          <w:sz w:val="28"/>
          <w:szCs w:val="28"/>
        </w:rPr>
        <w:t>国产超高效液相色谱串联质谱联用系统不能满足我院对大量超低痕量化合物的检测、提升工作效率、售后维护方便节省以及准确定量定性和长期稳定的满足法规标准等需求。因此我院需采购一台进口超高效液相色谱串联质谱联用系统，来满足我院对固废和环境中有机污染物的定量和定性分析的需求。</w:t>
      </w:r>
    </w:p>
    <w:p>
      <w:pPr>
        <w:spacing w:line="360" w:lineRule="auto"/>
        <w:rPr>
          <w:rFonts w:hint="eastAsia" w:ascii="仿宋" w:hAnsi="仿宋" w:eastAsia="仿宋" w:cs="仿宋"/>
          <w:b/>
          <w:bCs/>
          <w:sz w:val="28"/>
          <w:szCs w:val="28"/>
        </w:rPr>
      </w:pPr>
      <w:r>
        <w:rPr>
          <w:rFonts w:hint="eastAsia" w:ascii="仿宋" w:hAnsi="仿宋" w:eastAsia="仿宋" w:cs="仿宋"/>
          <w:b/>
          <w:bCs/>
          <w:sz w:val="28"/>
          <w:szCs w:val="28"/>
          <w:lang w:val="en-US" w:eastAsia="zh-CN"/>
        </w:rPr>
        <w:t>3、</w:t>
      </w:r>
      <w:r>
        <w:rPr>
          <w:rFonts w:hint="eastAsia" w:ascii="仿宋" w:hAnsi="仿宋" w:eastAsia="仿宋" w:cs="仿宋"/>
          <w:b/>
          <w:bCs/>
          <w:sz w:val="28"/>
          <w:szCs w:val="28"/>
        </w:rPr>
        <w:t>进口产品具备的优势：</w:t>
      </w:r>
    </w:p>
    <w:p>
      <w:pPr>
        <w:spacing w:line="360" w:lineRule="auto"/>
        <w:rPr>
          <w:rFonts w:hint="eastAsia" w:ascii="仿宋" w:hAnsi="仿宋" w:eastAsia="仿宋" w:cs="仿宋"/>
          <w:sz w:val="28"/>
          <w:szCs w:val="28"/>
        </w:rPr>
      </w:pPr>
      <w:r>
        <w:rPr>
          <w:rFonts w:hint="eastAsia" w:ascii="仿宋" w:hAnsi="仿宋" w:eastAsia="仿宋" w:cs="仿宋"/>
          <w:sz w:val="28"/>
          <w:szCs w:val="28"/>
        </w:rPr>
        <w:t>1、进口产品具有高稳定性和高灵敏度，性能卓越的同时仪器皮实耐用。</w:t>
      </w:r>
    </w:p>
    <w:p>
      <w:pPr>
        <w:spacing w:line="360" w:lineRule="auto"/>
        <w:rPr>
          <w:rFonts w:hint="eastAsia" w:ascii="仿宋" w:hAnsi="仿宋" w:eastAsia="仿宋" w:cs="仿宋"/>
          <w:sz w:val="28"/>
          <w:szCs w:val="28"/>
        </w:rPr>
      </w:pPr>
      <w:r>
        <w:rPr>
          <w:rFonts w:hint="eastAsia" w:ascii="仿宋" w:hAnsi="仿宋" w:eastAsia="仿宋" w:cs="仿宋"/>
          <w:sz w:val="28"/>
          <w:szCs w:val="28"/>
        </w:rPr>
        <w:t>2、进口产品市场占有率99%以上；购买仪器的风险最小。用户基础强大，方法通用性好，很容易找到可以借鉴的用户。</w:t>
      </w:r>
    </w:p>
    <w:p>
      <w:pPr>
        <w:spacing w:line="360" w:lineRule="auto"/>
        <w:rPr>
          <w:rFonts w:hint="eastAsia" w:ascii="仿宋" w:hAnsi="仿宋" w:eastAsia="仿宋" w:cs="仿宋"/>
          <w:sz w:val="28"/>
          <w:szCs w:val="28"/>
        </w:rPr>
      </w:pPr>
      <w:r>
        <w:rPr>
          <w:rFonts w:hint="eastAsia" w:ascii="仿宋" w:hAnsi="仿宋" w:eastAsia="仿宋" w:cs="仿宋"/>
          <w:sz w:val="28"/>
          <w:szCs w:val="28"/>
        </w:rPr>
        <w:t>3、仪器的抗污染和抗基质效应的能力非常强，面对基质样品能保持7-10年内灵敏度不会下降，相比国产产品是超过3倍的表现力。</w:t>
      </w:r>
    </w:p>
    <w:p>
      <w:pPr>
        <w:spacing w:line="360" w:lineRule="auto"/>
        <w:rPr>
          <w:rFonts w:hint="eastAsia" w:ascii="仿宋" w:hAnsi="仿宋" w:eastAsia="仿宋" w:cs="仿宋"/>
          <w:sz w:val="28"/>
          <w:szCs w:val="28"/>
        </w:rPr>
      </w:pPr>
      <w:r>
        <w:rPr>
          <w:rFonts w:hint="eastAsia" w:ascii="仿宋" w:hAnsi="仿宋" w:eastAsia="仿宋" w:cs="仿宋"/>
          <w:sz w:val="28"/>
          <w:szCs w:val="28"/>
        </w:rPr>
        <w:t>4、对于前处理的要求更简单，样品的损失更小，实验室的工作效率更高。</w:t>
      </w:r>
    </w:p>
    <w:p>
      <w:pPr>
        <w:spacing w:line="360" w:lineRule="auto"/>
        <w:rPr>
          <w:rFonts w:hint="eastAsia" w:ascii="仿宋" w:hAnsi="仿宋" w:eastAsia="仿宋" w:cs="仿宋"/>
          <w:sz w:val="28"/>
          <w:szCs w:val="28"/>
        </w:rPr>
      </w:pPr>
      <w:r>
        <w:rPr>
          <w:rFonts w:hint="eastAsia" w:ascii="仿宋" w:hAnsi="仿宋" w:eastAsia="仿宋" w:cs="仿宋"/>
          <w:sz w:val="28"/>
          <w:szCs w:val="28"/>
        </w:rPr>
        <w:t>5、更高的灵敏度容易有更新的发现，数据的稳定性和准确性极好，能保证长期稳定的提供准确的数据，相比国产产品的优势明显，容易通过比对，无需反复测试。</w:t>
      </w:r>
    </w:p>
    <w:p>
      <w:pPr>
        <w:spacing w:line="360" w:lineRule="auto"/>
        <w:rPr>
          <w:rFonts w:hint="eastAsia" w:ascii="仿宋" w:hAnsi="仿宋" w:eastAsia="仿宋" w:cs="仿宋"/>
          <w:sz w:val="28"/>
          <w:szCs w:val="28"/>
        </w:rPr>
      </w:pPr>
      <w:r>
        <w:rPr>
          <w:rFonts w:hint="eastAsia" w:ascii="仿宋" w:hAnsi="仿宋" w:eastAsia="仿宋" w:cs="仿宋"/>
          <w:sz w:val="28"/>
          <w:szCs w:val="28"/>
        </w:rPr>
        <w:t>6、进口仪器通量高，分析速度快。基于线性加速技术，能够保证所有化合物高灵敏的情况下，保持高通量，一针分析几百上千个化合物。国产产品基本要分5针进样，因为国产产品很难保证一针进样所有的化合物都有高灵敏的表现。</w:t>
      </w:r>
    </w:p>
    <w:p>
      <w:pPr>
        <w:spacing w:line="360" w:lineRule="auto"/>
        <w:rPr>
          <w:rFonts w:hint="eastAsia" w:ascii="仿宋" w:hAnsi="仿宋" w:eastAsia="仿宋" w:cs="仿宋"/>
          <w:sz w:val="28"/>
          <w:szCs w:val="28"/>
        </w:rPr>
      </w:pPr>
      <w:r>
        <w:rPr>
          <w:rFonts w:hint="eastAsia" w:ascii="仿宋" w:hAnsi="仿宋" w:eastAsia="仿宋" w:cs="仿宋"/>
          <w:sz w:val="28"/>
          <w:szCs w:val="28"/>
        </w:rPr>
        <w:t>7、直接脉冲信号的检测器带来高准确度，相比国产产品采用的模拟信号的检测器，直接脉冲信号的检测器准确度更高，特别是低浓度的化合物，准确度差异更大。</w:t>
      </w:r>
    </w:p>
    <w:p>
      <w:pPr>
        <w:spacing w:line="360" w:lineRule="auto"/>
        <w:rPr>
          <w:rFonts w:hint="eastAsia" w:ascii="仿宋" w:hAnsi="仿宋" w:eastAsia="仿宋" w:cs="仿宋"/>
          <w:sz w:val="28"/>
          <w:szCs w:val="28"/>
        </w:rPr>
      </w:pPr>
      <w:r>
        <w:rPr>
          <w:rFonts w:hint="eastAsia" w:ascii="仿宋" w:hAnsi="仿宋" w:eastAsia="仿宋" w:cs="仿宋"/>
          <w:sz w:val="28"/>
          <w:szCs w:val="28"/>
        </w:rPr>
        <w:t>8、仪器皮实耐用，10年以上的用户比比皆是，综合性价比高。</w:t>
      </w:r>
    </w:p>
    <w:p>
      <w:pPr>
        <w:spacing w:line="360" w:lineRule="auto"/>
        <w:rPr>
          <w:rFonts w:hint="eastAsia" w:ascii="仿宋" w:hAnsi="仿宋" w:eastAsia="仿宋" w:cs="仿宋"/>
          <w:sz w:val="28"/>
          <w:szCs w:val="28"/>
        </w:rPr>
      </w:pPr>
      <w:r>
        <w:rPr>
          <w:rFonts w:hint="eastAsia" w:ascii="仿宋" w:hAnsi="仿宋" w:eastAsia="仿宋" w:cs="仿宋"/>
          <w:sz w:val="28"/>
          <w:szCs w:val="28"/>
        </w:rPr>
        <w:t>9、仪器简单易用，操作软件20分钟就能上手，而且具有中文版和能够数据批量处理。</w:t>
      </w:r>
    </w:p>
    <w:p>
      <w:pPr>
        <w:spacing w:line="360" w:lineRule="auto"/>
        <w:rPr>
          <w:rFonts w:hint="eastAsia" w:ascii="仿宋" w:hAnsi="仿宋" w:eastAsia="仿宋" w:cs="仿宋"/>
          <w:sz w:val="28"/>
          <w:szCs w:val="28"/>
        </w:rPr>
      </w:pPr>
      <w:r>
        <w:rPr>
          <w:rFonts w:hint="eastAsia" w:ascii="仿宋" w:hAnsi="仿宋" w:eastAsia="仿宋" w:cs="仿宋"/>
          <w:sz w:val="28"/>
          <w:szCs w:val="28"/>
        </w:rPr>
        <w:t>10、维护少耗材少，基本每年比国产产品减少2万以上的费用，而且还大大的提高了工作效率，更好的保障科研检测的进度。</w:t>
      </w:r>
    </w:p>
    <w:p>
      <w:pPr>
        <w:spacing w:line="360" w:lineRule="auto"/>
        <w:rPr>
          <w:rFonts w:hint="eastAsia" w:ascii="仿宋" w:hAnsi="仿宋" w:eastAsia="仿宋" w:cs="仿宋"/>
          <w:sz w:val="28"/>
          <w:szCs w:val="28"/>
        </w:rPr>
      </w:pPr>
      <w:r>
        <w:rPr>
          <w:rFonts w:hint="eastAsia" w:ascii="仿宋" w:hAnsi="仿宋" w:eastAsia="仿宋" w:cs="仿宋"/>
          <w:sz w:val="28"/>
          <w:szCs w:val="28"/>
        </w:rPr>
        <w:t>11、售后和技术支持强，特别是应用技术支持方面，工程师经验丰富专业性强，能更快更好的解决用户的需求，对于用户培训、方法开发和合作项目提供专家级技术服务。</w:t>
      </w:r>
    </w:p>
    <w:p>
      <w:pPr>
        <w:pStyle w:val="6"/>
        <w:spacing w:line="360" w:lineRule="auto"/>
        <w:ind w:left="0" w:leftChars="0"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lang w:val="en-US" w:eastAsia="zh-CN"/>
        </w:rPr>
        <w:t xml:space="preserve">表4 </w:t>
      </w:r>
      <w:r>
        <w:rPr>
          <w:rFonts w:hint="eastAsia" w:ascii="仿宋" w:hAnsi="仿宋" w:eastAsia="仿宋" w:cs="仿宋"/>
          <w:b/>
          <w:bCs/>
          <w:sz w:val="28"/>
          <w:szCs w:val="28"/>
        </w:rPr>
        <w:t>国外品牌主要技术指标对比</w:t>
      </w:r>
    </w:p>
    <w:tbl>
      <w:tblPr>
        <w:tblStyle w:val="4"/>
        <w:tblW w:w="4998" w:type="pct"/>
        <w:tblInd w:w="0" w:type="dxa"/>
        <w:tblLayout w:type="autofit"/>
        <w:tblCellMar>
          <w:top w:w="0" w:type="dxa"/>
          <w:left w:w="108" w:type="dxa"/>
          <w:bottom w:w="0" w:type="dxa"/>
          <w:right w:w="108" w:type="dxa"/>
        </w:tblCellMar>
      </w:tblPr>
      <w:tblGrid>
        <w:gridCol w:w="1060"/>
        <w:gridCol w:w="3076"/>
        <w:gridCol w:w="2069"/>
        <w:gridCol w:w="2314"/>
      </w:tblGrid>
      <w:tr>
        <w:tblPrEx>
          <w:tblCellMar>
            <w:top w:w="0" w:type="dxa"/>
            <w:left w:w="108" w:type="dxa"/>
            <w:bottom w:w="0" w:type="dxa"/>
            <w:right w:w="108" w:type="dxa"/>
          </w:tblCellMar>
        </w:tblPrEx>
        <w:trPr>
          <w:trHeight w:val="300" w:hRule="atLeast"/>
        </w:trPr>
        <w:tc>
          <w:tcPr>
            <w:tcW w:w="622" w:type="pct"/>
            <w:tcBorders>
              <w:top w:val="single" w:color="auto" w:sz="4" w:space="0"/>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公司</w:t>
            </w:r>
          </w:p>
        </w:tc>
        <w:tc>
          <w:tcPr>
            <w:tcW w:w="1805" w:type="pct"/>
            <w:tcBorders>
              <w:top w:val="single" w:color="auto" w:sz="4" w:space="0"/>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Sciex（AB）</w:t>
            </w:r>
          </w:p>
        </w:tc>
        <w:tc>
          <w:tcPr>
            <w:tcW w:w="1214" w:type="pct"/>
            <w:tcBorders>
              <w:top w:val="single" w:color="auto" w:sz="4" w:space="0"/>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Thermofisher</w:t>
            </w:r>
          </w:p>
        </w:tc>
        <w:tc>
          <w:tcPr>
            <w:tcW w:w="1358" w:type="pct"/>
            <w:tcBorders>
              <w:top w:val="single" w:color="auto" w:sz="4" w:space="0"/>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Waters</w:t>
            </w:r>
          </w:p>
        </w:tc>
      </w:tr>
      <w:tr>
        <w:tblPrEx>
          <w:tblCellMar>
            <w:top w:w="0" w:type="dxa"/>
            <w:left w:w="108" w:type="dxa"/>
            <w:bottom w:w="0" w:type="dxa"/>
            <w:right w:w="108" w:type="dxa"/>
          </w:tblCellMar>
        </w:tblPrEx>
        <w:trPr>
          <w:trHeight w:val="300" w:hRule="atLeast"/>
        </w:trPr>
        <w:tc>
          <w:tcPr>
            <w:tcW w:w="622"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型号</w:t>
            </w:r>
          </w:p>
        </w:tc>
        <w:tc>
          <w:tcPr>
            <w:tcW w:w="1805"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TripleQuad5500+</w:t>
            </w:r>
          </w:p>
        </w:tc>
        <w:tc>
          <w:tcPr>
            <w:tcW w:w="1214"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TSQ Altis</w:t>
            </w:r>
          </w:p>
        </w:tc>
        <w:tc>
          <w:tcPr>
            <w:tcW w:w="1358"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Xevo TQ-XS</w:t>
            </w:r>
          </w:p>
        </w:tc>
      </w:tr>
      <w:tr>
        <w:tblPrEx>
          <w:tblCellMar>
            <w:top w:w="0" w:type="dxa"/>
            <w:left w:w="108" w:type="dxa"/>
            <w:bottom w:w="0" w:type="dxa"/>
            <w:right w:w="108" w:type="dxa"/>
          </w:tblCellMar>
        </w:tblPrEx>
        <w:trPr>
          <w:trHeight w:val="1300" w:hRule="atLeast"/>
        </w:trPr>
        <w:tc>
          <w:tcPr>
            <w:tcW w:w="622"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灵敏度</w:t>
            </w:r>
          </w:p>
        </w:tc>
        <w:tc>
          <w:tcPr>
            <w:tcW w:w="1805"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ESI+：1pg 利血平S/N〉1000000：1；ESI-：1pg 氯霉素 S/N〉1000000：1</w:t>
            </w:r>
          </w:p>
        </w:tc>
        <w:tc>
          <w:tcPr>
            <w:tcW w:w="1214"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ESI+：1pg 利血平S/N〉700000：1；ESI-：1pg 氯霉素 S/N〉500000:1</w:t>
            </w:r>
          </w:p>
        </w:tc>
        <w:tc>
          <w:tcPr>
            <w:tcW w:w="1358"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ESI+：1pg 利血平S/N〉800000：1；ESI-：1pg 氯霉素S/N〉400000:1</w:t>
            </w:r>
          </w:p>
        </w:tc>
      </w:tr>
      <w:tr>
        <w:tblPrEx>
          <w:tblCellMar>
            <w:top w:w="0" w:type="dxa"/>
            <w:left w:w="108" w:type="dxa"/>
            <w:bottom w:w="0" w:type="dxa"/>
            <w:right w:w="108" w:type="dxa"/>
          </w:tblCellMar>
        </w:tblPrEx>
        <w:trPr>
          <w:trHeight w:val="520" w:hRule="atLeast"/>
        </w:trPr>
        <w:tc>
          <w:tcPr>
            <w:tcW w:w="622" w:type="pct"/>
            <w:tcBorders>
              <w:top w:val="nil"/>
              <w:left w:val="nil"/>
              <w:bottom w:val="single" w:color="auto" w:sz="4" w:space="0"/>
              <w:right w:val="single" w:color="auto" w:sz="4" w:space="0"/>
            </w:tcBorders>
            <w:shd w:val="clear" w:color="auto" w:fill="auto"/>
            <w:vAlign w:val="center"/>
          </w:tcPr>
          <w:p>
            <w:pPr>
              <w:spacing w:line="380" w:lineRule="exact"/>
              <w:jc w:val="center"/>
              <w:rPr>
                <w:rFonts w:hint="default" w:ascii="仿宋" w:hAnsi="仿宋" w:eastAsia="仿宋" w:cs="仿宋"/>
                <w:sz w:val="21"/>
                <w:szCs w:val="21"/>
                <w:lang w:val="en-US" w:eastAsia="zh-CN"/>
              </w:rPr>
            </w:pPr>
            <w:r>
              <w:rPr>
                <w:rFonts w:hint="eastAsia" w:ascii="仿宋" w:hAnsi="仿宋" w:eastAsia="仿宋" w:cs="仿宋"/>
                <w:sz w:val="21"/>
                <w:szCs w:val="21"/>
              </w:rPr>
              <w:t>离子源</w:t>
            </w:r>
            <w:r>
              <w:rPr>
                <w:rFonts w:hint="eastAsia" w:ascii="仿宋" w:hAnsi="仿宋" w:eastAsia="仿宋" w:cs="仿宋"/>
                <w:sz w:val="21"/>
                <w:szCs w:val="21"/>
                <w:lang w:val="en-US" w:eastAsia="zh-CN"/>
              </w:rPr>
              <w:t>温度</w:t>
            </w:r>
          </w:p>
        </w:tc>
        <w:tc>
          <w:tcPr>
            <w:tcW w:w="1805"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750℃</w:t>
            </w:r>
          </w:p>
        </w:tc>
        <w:tc>
          <w:tcPr>
            <w:tcW w:w="1214"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800℃</w:t>
            </w:r>
          </w:p>
        </w:tc>
        <w:tc>
          <w:tcPr>
            <w:tcW w:w="1358"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650℃</w:t>
            </w:r>
          </w:p>
        </w:tc>
      </w:tr>
      <w:tr>
        <w:tblPrEx>
          <w:tblCellMar>
            <w:top w:w="0" w:type="dxa"/>
            <w:left w:w="108" w:type="dxa"/>
            <w:bottom w:w="0" w:type="dxa"/>
            <w:right w:w="108" w:type="dxa"/>
          </w:tblCellMar>
        </w:tblPrEx>
        <w:trPr>
          <w:trHeight w:val="1040" w:hRule="atLeast"/>
        </w:trPr>
        <w:tc>
          <w:tcPr>
            <w:tcW w:w="622"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离子源接口</w:t>
            </w:r>
          </w:p>
        </w:tc>
        <w:tc>
          <w:tcPr>
            <w:tcW w:w="1805"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气帘气锥孔接口技术，清洗离子源非常方便，不需要停机，抗污染能力强。</w:t>
            </w:r>
          </w:p>
        </w:tc>
        <w:tc>
          <w:tcPr>
            <w:tcW w:w="1214"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加热金属毛细管接口,一定程度上会堵塞，需要经常清洗。</w:t>
            </w:r>
          </w:p>
        </w:tc>
        <w:tc>
          <w:tcPr>
            <w:tcW w:w="1358"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二级锥孔接口技术,抗污染能力尚可，”Z”型多重拐弯设计会降低检测的灵敏度。</w:t>
            </w:r>
          </w:p>
        </w:tc>
      </w:tr>
      <w:tr>
        <w:tblPrEx>
          <w:tblCellMar>
            <w:top w:w="0" w:type="dxa"/>
            <w:left w:w="108" w:type="dxa"/>
            <w:bottom w:w="0" w:type="dxa"/>
            <w:right w:w="108" w:type="dxa"/>
          </w:tblCellMar>
        </w:tblPrEx>
        <w:trPr>
          <w:trHeight w:val="425" w:hRule="atLeast"/>
        </w:trPr>
        <w:tc>
          <w:tcPr>
            <w:tcW w:w="622"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全质量范围</w:t>
            </w:r>
          </w:p>
        </w:tc>
        <w:tc>
          <w:tcPr>
            <w:tcW w:w="1805"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全质量范围0.01%</w:t>
            </w:r>
          </w:p>
        </w:tc>
        <w:tc>
          <w:tcPr>
            <w:tcW w:w="1214"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全质量范围优于0.1u</w:t>
            </w:r>
          </w:p>
        </w:tc>
        <w:tc>
          <w:tcPr>
            <w:tcW w:w="1358"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全质量范围0.01%</w:t>
            </w:r>
          </w:p>
        </w:tc>
      </w:tr>
      <w:tr>
        <w:tblPrEx>
          <w:tblCellMar>
            <w:top w:w="0" w:type="dxa"/>
            <w:left w:w="108" w:type="dxa"/>
            <w:bottom w:w="0" w:type="dxa"/>
            <w:right w:w="108" w:type="dxa"/>
          </w:tblCellMar>
        </w:tblPrEx>
        <w:trPr>
          <w:trHeight w:val="262" w:hRule="atLeast"/>
        </w:trPr>
        <w:tc>
          <w:tcPr>
            <w:tcW w:w="622"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正负离子切换速率</w:t>
            </w:r>
          </w:p>
        </w:tc>
        <w:tc>
          <w:tcPr>
            <w:tcW w:w="1805"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5ms</w:t>
            </w:r>
          </w:p>
        </w:tc>
        <w:tc>
          <w:tcPr>
            <w:tcW w:w="1214"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25ms</w:t>
            </w:r>
          </w:p>
        </w:tc>
        <w:tc>
          <w:tcPr>
            <w:tcW w:w="1358" w:type="pct"/>
            <w:tcBorders>
              <w:top w:val="nil"/>
              <w:left w:val="nil"/>
              <w:bottom w:val="single" w:color="auto" w:sz="4" w:space="0"/>
              <w:right w:val="single" w:color="auto" w:sz="4" w:space="0"/>
            </w:tcBorders>
            <w:shd w:val="clear" w:color="auto" w:fill="auto"/>
            <w:vAlign w:val="center"/>
          </w:tcPr>
          <w:p>
            <w:pPr>
              <w:spacing w:line="380" w:lineRule="exact"/>
              <w:jc w:val="center"/>
              <w:rPr>
                <w:rFonts w:hint="eastAsia" w:ascii="仿宋" w:hAnsi="仿宋" w:eastAsia="仿宋" w:cs="仿宋"/>
                <w:sz w:val="21"/>
                <w:szCs w:val="21"/>
              </w:rPr>
            </w:pPr>
            <w:r>
              <w:rPr>
                <w:rFonts w:hint="eastAsia" w:ascii="仿宋" w:hAnsi="仿宋" w:eastAsia="仿宋" w:cs="仿宋"/>
                <w:sz w:val="21"/>
                <w:szCs w:val="21"/>
              </w:rPr>
              <w:t>15ms</w:t>
            </w:r>
          </w:p>
        </w:tc>
      </w:tr>
    </w:tbl>
    <w:p>
      <w:pPr>
        <w:spacing w:line="360" w:lineRule="auto"/>
        <w:rPr>
          <w:rFonts w:hint="eastAsia" w:ascii="仿宋" w:hAnsi="仿宋" w:eastAsia="仿宋" w:cs="仿宋"/>
          <w:b/>
          <w:bCs/>
          <w:sz w:val="28"/>
          <w:szCs w:val="28"/>
        </w:rPr>
      </w:pPr>
      <w:r>
        <w:rPr>
          <w:rFonts w:hint="eastAsia" w:ascii="仿宋" w:hAnsi="仿宋" w:eastAsia="仿宋" w:cs="仿宋"/>
          <w:b/>
          <w:bCs/>
          <w:sz w:val="28"/>
          <w:szCs w:val="28"/>
          <w:lang w:val="en-US" w:eastAsia="zh-CN"/>
        </w:rPr>
        <w:t>4、</w:t>
      </w:r>
      <w:r>
        <w:rPr>
          <w:rFonts w:hint="eastAsia" w:ascii="仿宋" w:hAnsi="仿宋" w:eastAsia="仿宋" w:cs="仿宋"/>
          <w:b/>
          <w:bCs/>
          <w:sz w:val="28"/>
          <w:szCs w:val="28"/>
        </w:rPr>
        <w:t xml:space="preserve">结论  </w:t>
      </w:r>
    </w:p>
    <w:p>
      <w:pPr>
        <w:spacing w:line="360" w:lineRule="auto"/>
        <w:ind w:firstLine="560" w:firstLineChars="200"/>
        <w:rPr>
          <w:rFonts w:hint="eastAsia" w:ascii="仿宋" w:hAnsi="仿宋" w:eastAsia="仿宋" w:cs="仿宋"/>
          <w:b w:val="0"/>
          <w:bCs w:val="0"/>
          <w:sz w:val="28"/>
          <w:szCs w:val="28"/>
          <w:lang w:val="en-US" w:eastAsia="zh-CN"/>
        </w:rPr>
      </w:pPr>
      <w:r>
        <w:rPr>
          <w:rFonts w:hint="eastAsia" w:ascii="仿宋" w:hAnsi="仿宋" w:eastAsia="仿宋" w:cs="仿宋"/>
          <w:kern w:val="0"/>
          <w:sz w:val="28"/>
          <w:szCs w:val="28"/>
        </w:rPr>
        <w:t>经调研进口品牌的产品可满足我单位的监测需求</w:t>
      </w:r>
      <w:r>
        <w:rPr>
          <w:rFonts w:hint="eastAsia" w:ascii="仿宋" w:hAnsi="仿宋" w:eastAsia="仿宋" w:cs="仿宋"/>
          <w:color w:val="000000"/>
          <w:kern w:val="0"/>
          <w:sz w:val="28"/>
          <w:szCs w:val="28"/>
        </w:rPr>
        <w:t>，故</w:t>
      </w:r>
      <w:r>
        <w:rPr>
          <w:rFonts w:hint="eastAsia" w:ascii="仿宋" w:hAnsi="仿宋" w:eastAsia="仿宋" w:cs="仿宋"/>
          <w:kern w:val="0"/>
          <w:sz w:val="28"/>
          <w:szCs w:val="28"/>
        </w:rPr>
        <w:t>申请采购进口产品。</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auto"/>
    <w:pitch w:val="default"/>
    <w:sig w:usb0="E1002EFF" w:usb1="C000605B" w:usb2="00000029" w:usb3="00000000" w:csb0="200101FF" w:csb1="20280000"/>
  </w:font>
  <w:font w:name="华文宋体">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7076A3C"/>
    <w:multiLevelType w:val="singleLevel"/>
    <w:tmpl w:val="C7076A3C"/>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EyNzUxNGEzYmMwZGYwOGI0ZTgyOGI1YjQ2ZDY2OWYifQ=="/>
  </w:docVars>
  <w:rsids>
    <w:rsidRoot w:val="59E85CCF"/>
    <w:rsid w:val="048D64FC"/>
    <w:rsid w:val="11545833"/>
    <w:rsid w:val="2CE10CB2"/>
    <w:rsid w:val="59E85C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Indent"/>
    <w:basedOn w:val="1"/>
    <w:qFormat/>
    <w:uiPriority w:val="0"/>
    <w:pPr>
      <w:spacing w:after="120"/>
      <w:ind w:left="420" w:leftChars="200"/>
    </w:pPr>
    <w:rPr>
      <w:rFonts w:ascii="Calibri" w:hAnsi="Calibri"/>
      <w:szCs w:val="22"/>
    </w:rPr>
  </w:style>
  <w:style w:type="paragraph" w:styleId="3">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paragraph" w:styleId="6">
    <w:name w:val="List Paragraph"/>
    <w:basedOn w:val="1"/>
    <w:qFormat/>
    <w:uiPriority w:val="34"/>
    <w:pPr>
      <w:ind w:firstLine="420" w:firstLineChars="200"/>
    </w:pPr>
  </w:style>
  <w:style w:type="paragraph" w:customStyle="1" w:styleId="7">
    <w:name w:val="Default"/>
    <w:qFormat/>
    <w:uiPriority w:val="0"/>
    <w:pPr>
      <w:widowControl w:val="0"/>
      <w:autoSpaceDE w:val="0"/>
      <w:autoSpaceDN w:val="0"/>
      <w:adjustRightInd w:val="0"/>
      <w:spacing w:after="160" w:line="259" w:lineRule="auto"/>
    </w:pPr>
    <w:rPr>
      <w:rFonts w:ascii="Tahoma" w:hAnsi="Tahoma" w:eastAsia="宋体" w:cs="Tahoma"/>
      <w:color w:val="000000"/>
      <w:kern w:val="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2023-11-16T02:06:00Z</dcterms:created>
  <dc:creator>炜子</dc:creator>
  <cp:lastModifiedBy>炜子</cp:lastModifiedBy>
  <cp:lastPrinted>2023-11-16T08:41:12Z</cp:lastPrinted>
  <dcterms:modified xsi:type="dcterms:W3CDTF">2023-11-16T08:45:23Z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5203EE60F46647A187F800BE18729000_11</vt:lpwstr>
  </property>
</Properties>
</file>