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eastAsia="仿宋" w:cs="仿宋"/>
          <w:b/>
          <w:bCs/>
          <w:kern w:val="0"/>
          <w:sz w:val="28"/>
          <w:szCs w:val="28"/>
        </w:rPr>
      </w:pPr>
      <w:r>
        <w:rPr>
          <w:rFonts w:hint="eastAsia" w:ascii="仿宋" w:eastAsia="仿宋" w:cs="仿宋"/>
          <w:b/>
          <w:bCs/>
          <w:kern w:val="0"/>
          <w:sz w:val="28"/>
          <w:szCs w:val="28"/>
        </w:rPr>
        <w:t>福建省宁德环境监测中心站202</w:t>
      </w:r>
      <w:r>
        <w:rPr>
          <w:rFonts w:hint="eastAsia" w:ascii="仿宋" w:cs="仿宋"/>
          <w:b/>
          <w:bCs/>
          <w:kern w:val="0"/>
          <w:sz w:val="28"/>
          <w:szCs w:val="28"/>
          <w:lang w:val="en-US" w:eastAsia="zh-CN"/>
        </w:rPr>
        <w:t>4</w:t>
      </w:r>
      <w:r>
        <w:rPr>
          <w:rFonts w:hint="eastAsia" w:ascii="仿宋" w:eastAsia="仿宋" w:cs="仿宋"/>
          <w:b/>
          <w:bCs/>
          <w:kern w:val="0"/>
          <w:sz w:val="28"/>
          <w:szCs w:val="28"/>
        </w:rPr>
        <w:t>年扩项清单</w:t>
      </w:r>
      <w:bookmarkStart w:id="0" w:name="_GoBack"/>
      <w:bookmarkEnd w:id="0"/>
    </w:p>
    <w:tbl>
      <w:tblPr>
        <w:tblStyle w:val="6"/>
        <w:tblW w:w="5319" w:type="pct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6"/>
        <w:gridCol w:w="1432"/>
        <w:gridCol w:w="5443"/>
        <w:gridCol w:w="142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blHeader/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</w:rPr>
              <w:t>序号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</w:rPr>
              <w:t>分析项目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</w:rPr>
              <w:t>方法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" w:cs="仿宋"/>
                <w:kern w:val="0"/>
                <w:sz w:val="24"/>
                <w:szCs w:val="24"/>
                <w:lang w:eastAsia="zh-CN"/>
              </w:rPr>
              <w:t>类别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 xml:space="preserve"> 游离氯和总氯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水质 游离氯和总氯的测定 N,N-二乙基-1,4-苯二胺分光光度法 HJ 586-2010附录A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水和废水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流量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流速仪法 水污染物排放总量监测技术规范 HJ/T 92-2002  第7条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水和废水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流量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 xml:space="preserve">  河流流量测验规范 GB 50179-2015 附录B 流速仪法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水和废水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银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HJ 700-2014 水质 65种元素的测定 电感耦合等离子体质谱法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水和废水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银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水质 银的测定 火焰原子吸收分光光度法GB 11907-1989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水和废水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甲萘威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生活饮用水标准检验方法  农药指标（GB/T 5750.9-2023）（能检：13.1  高压液相色谱法-紫外检测器）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水和废水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游离余氯（活性氯）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生活饮用水标准检验方法  消毒剂指标 （GB/T 5750.11-2023）2023）（能检：4.1  N,N-二乙基对苯二胺（DPD）分光光度法）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水和废水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微囊藻毒素-LR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水中微囊藻毒素的测定 GB/T 20466-2006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水和废水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9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水合肼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生活饮用水标准检验方法  有机物指标（GB/T 5750.8-2023）（能检：42.1  对二甲氨基苯甲醛分光光度法）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水和废水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10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丁基黄原酸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水质 丁基黄原酸的测定 紫外分光光度法 HJ 756-2015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水和废水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11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联苯胺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水质 联苯胺的测定 高效液相色谱法 HJ 1017-2019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水和废水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12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三氯乙醛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水质 三氯乙醛的测定 吡唑啉酮分光光度法 HJ/T 50-1999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水和废水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13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对硫磷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水质 28 种有机磷农药的测定 气相色谱-质谱法 HJ1189-2021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水和废水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14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甲基对硫磷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水质 28 种有机磷农药的测定 气相色谱-质谱法 HJ1189-2021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水和废水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15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马拉硫磷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水质 28 种有机磷农药的测定 气相色谱-质谱法 HJ1189-2021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水和废水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16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乐果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水质 28 种有机磷农药的测定 气相色谱-质谱法 HJ1189-2021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水和废水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17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敌敌畏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水质 28 种有机磷农药的测定 气相色谱-质谱法 HJ1189-2021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水和废水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18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敌百虫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水质 28 种有机磷农药的测定 气相色谱-质谱法 HJ1189-2021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水和废水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19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内吸磷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水质 28 种有机磷农药的测定 气相色谱-质谱法 HJ1189-2021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水和废水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</w:rPr>
              <w:t>20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多氯联苯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水质 多氯联苯的测定 气相色谱-质谱法 HJ715-2014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</w:rPr>
              <w:t>水和废水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</w:rPr>
              <w:t>21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2,4,6-三氯苯酚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水质 酚类化合物的测定气相色谱-质谱法 HJ744-2015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水和废水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</w:rPr>
              <w:t>22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五氯酚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水质 酚类化合物的测定气相色谱-质谱法 HJ744-2015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水和废水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</w:rPr>
              <w:t>23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邻苯二甲酸二辛酯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水质 邻苯二甲酸二甲（二丁、二辛）酯的测定 液相色谱法 HJ/T 72-2001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水和废水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hAnsi="Calibri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</w:rPr>
              <w:t>24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2,4-二氯苯酚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水质 酚类化合物的测定 液液萃取/气相色谱法 HJ 676-2013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水和废水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hAnsi="Calibri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</w:rPr>
              <w:t>25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2,4,6-三氯苯酚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水质 酚类化合物的测定 液液萃取/气相色谱法 HJ 676-2013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水和废水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hAnsi="Calibri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</w:rPr>
              <w:t>26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五氯酚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水质 酚类化合物的测定 液液萃取/气相色谱法 HJ 676-2013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水和废水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hAnsi="Calibri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</w:rPr>
              <w:t>27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苯酚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水质 酚类化合物的测定 液液萃取/气相色谱法 HJ 676-2013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水和废水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hAnsi="Calibri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</w:rPr>
              <w:t>28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间甲酚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水质 酚类化合物的测定 液液萃取/气相色谱法 HJ 676-2013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水和废水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hAnsi="Calibri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</w:rPr>
              <w:t>29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阿特拉津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水质 阿特拉津的测定 高效液相色谱法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HJ 587-2010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水和废水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hAnsi="Calibri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</w:rPr>
              <w:t>30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六价铬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水质 六价铬的测定  二苯碳酰二肼分光光度法 GB7467-1987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海水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hAnsi="Calibri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</w:rPr>
              <w:t>31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总磷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流动分析法HY/T 147.1-2013(13)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海水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hAnsi="Calibri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</w:rPr>
              <w:t>32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总氮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流动分析法HY/T 147.1-2013(12)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海水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</w:rPr>
              <w:t>33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六价铬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HJ 1082-2019 土壤和沉积物 六价铬的测定 碱溶液提取-火焰原子吸收分光光度法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土壤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</w:rPr>
              <w:t>34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锰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 xml:space="preserve">硅酸盐岩石化学分析方法 第30部分：44个元素量测定 GB/T 14506.30-2010 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土壤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</w:rPr>
              <w:t>35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钴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 xml:space="preserve">硅酸盐岩石化学分析方法 第30部分：44个元素量测定 GB/T 14506.30-2010 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土壤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</w:rPr>
              <w:t>36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钒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 xml:space="preserve">硅酸盐岩石化学分析方法 第30部分：44个元素量测定 GB/T 14506.30-2010 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土壤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</w:rPr>
              <w:t>37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多环芳烃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土壤和沉积物 多环芳烃的测定 气相色谱-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质谱法 HJ 805-2016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土壤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</w:rPr>
              <w:t>38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hAnsi="Calibri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汞及其化合物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hAnsi="Calibri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固定污染源废气 汞的测定 冷原子吸收分光光度法 HJ 543-2009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hAnsi="Calibri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空气和废气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hAnsi="Calibri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</w:rPr>
              <w:t>39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hAnsi="Calibri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沥青烟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hAnsi="Calibri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固定污染源排气中沥青烟的测定 重量法（HJ/T 45-1999 ）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hAnsi="Calibri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空气和废气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default" w:ascii="仿宋" w:hAnsi="Calibri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cs="仿宋"/>
                <w:kern w:val="0"/>
                <w:sz w:val="24"/>
                <w:szCs w:val="24"/>
                <w:lang w:val="en-US" w:eastAsia="zh-CN"/>
              </w:rPr>
              <w:t>40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hAnsi="Calibri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锑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hAnsi="Calibri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空气和废气 颗粒物中铅等金属元素的测定 电感耦合等离子体质谱法 HJ 657-2013及其修改单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空气和废气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22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/>
              <w:jc w:val="center"/>
              <w:textAlignment w:val="auto"/>
              <w:rPr>
                <w:rFonts w:hint="default" w:asci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cs="仿宋"/>
                <w:kern w:val="0"/>
                <w:sz w:val="24"/>
                <w:szCs w:val="24"/>
                <w:lang w:val="en-US" w:eastAsia="zh-CN"/>
              </w:rPr>
              <w:t>41</w:t>
            </w:r>
          </w:p>
        </w:tc>
        <w:tc>
          <w:tcPr>
            <w:tcW w:w="789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hAnsi="Calibri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砷</w:t>
            </w:r>
          </w:p>
        </w:tc>
        <w:tc>
          <w:tcPr>
            <w:tcW w:w="3001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hAnsi="Calibri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空气和废气 颗粒物中铅等金属元素的测定 电感耦合等离子体质谱法 HJ 657-2013及其修改单</w:t>
            </w:r>
          </w:p>
        </w:tc>
        <w:tc>
          <w:tcPr>
            <w:tcW w:w="785" w:type="pct"/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firstLine="0" w:firstLineChars="0"/>
              <w:jc w:val="center"/>
              <w:textAlignment w:val="auto"/>
              <w:rPr>
                <w:rFonts w:hint="eastAsia" w:ascii="仿宋" w:hAnsi="Calibri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eastAsia="仿宋" w:cs="仿宋"/>
                <w:kern w:val="0"/>
                <w:sz w:val="24"/>
                <w:szCs w:val="24"/>
                <w:lang w:val="en-US" w:eastAsia="zh-CN"/>
              </w:rPr>
              <w:t>空气和废气</w:t>
            </w:r>
          </w:p>
        </w:tc>
      </w:tr>
    </w:tbl>
    <w:p>
      <w:pPr>
        <w:pStyle w:val="2"/>
        <w:rPr>
          <w:rFonts w:hint="eastAsia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01"/>
    <w:family w:val="auto"/>
    <w:pitch w:val="default"/>
    <w:sig w:usb0="00000000" w:usb1="00000000" w:usb2="00000009" w:usb3="00000000" w:csb0="400001FF" w:csb1="FFFF0000"/>
  </w:font>
  <w:font w:name="宋体">
    <w:altName w:val="永中宋体"/>
    <w:panose1 w:val="02010600030101010101"/>
    <w:charset w:val="34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CESI仿宋-GB2312">
    <w:panose1 w:val="02000500000000000000"/>
    <w:charset w:val="86"/>
    <w:family w:val="auto"/>
    <w:pitch w:val="default"/>
    <w:sig w:usb0="800002AF" w:usb1="084F6CF8" w:usb2="00000010" w:usb3="00000000" w:csb0="0004000F" w:csb1="00000000"/>
  </w:font>
  <w:font w:name="simsun">
    <w:altName w:val="华文中宋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永中黑体">
    <w:panose1 w:val="02010600030101010101"/>
    <w:charset w:val="86"/>
    <w:family w:val="auto"/>
    <w:pitch w:val="default"/>
    <w:sig w:usb0="00000803" w:usb1="080E0000" w:usb2="00000000" w:usb3="00000000" w:csb0="00040000" w:csb1="00000000"/>
  </w:font>
  <w:font w:name="仿宋">
    <w:altName w:val="永中仿宋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永中仿宋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永中宋体">
    <w:panose1 w:val="02010600030101010101"/>
    <w:charset w:val="86"/>
    <w:family w:val="auto"/>
    <w:pitch w:val="default"/>
    <w:sig w:usb0="00000803" w:usb1="080E0000" w:usb2="00000000" w:usb3="00000000" w:csb0="00040001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FFF35CA"/>
    <w:rsid w:val="55E5D1BD"/>
    <w:rsid w:val="7FDD4AF2"/>
    <w:rsid w:val="7FFE73AE"/>
    <w:rsid w:val="7FFF35CA"/>
    <w:rsid w:val="ED59896A"/>
    <w:rsid w:val="FB5DCAAF"/>
    <w:rsid w:val="FFBB37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ind w:firstLine="200" w:firstLineChars="200"/>
    </w:pPr>
  </w:style>
  <w:style w:type="paragraph" w:styleId="3">
    <w:name w:val="Body Text Indent"/>
    <w:basedOn w:val="1"/>
    <w:next w:val="4"/>
    <w:qFormat/>
    <w:uiPriority w:val="0"/>
    <w:pPr>
      <w:spacing w:after="120"/>
      <w:ind w:left="200" w:leftChars="200"/>
    </w:pPr>
  </w:style>
  <w:style w:type="paragraph" w:styleId="4">
    <w:name w:val="envelope return"/>
    <w:basedOn w:val="1"/>
    <w:qFormat/>
    <w:uiPriority w:val="0"/>
    <w:pPr>
      <w:snapToGrid w:val="0"/>
    </w:pPr>
    <w:rPr>
      <w:rFonts w:ascii="Arial" w:hAnsi="Arial" w:cs="Times New Roman"/>
    </w:rPr>
  </w:style>
  <w:style w:type="paragraph" w:styleId="5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Strong"/>
    <w:basedOn w:val="7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Office_11.8.2.1122_F1E327BC-269C-435d-A152-05C5408002CA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2023-11-22T07:03:00Z</dcterms:created>
  <dc:creator>lusaiying</dc:creator>
  <cp:lastModifiedBy>lusaiying</cp:lastModifiedBy>
  <cp:lastPrinted>2023-11-22T07:03:00Z</cp:lastPrinted>
  <dcterms:modified xsi:type="dcterms:W3CDTF">2023-11-21T16:08:12Z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2052-11.8.2.1122</vt:lpwstr>
  </property>
  <property fmtid="{D5CDD505-2E9C-101B-9397-08002B2CF9AE}" pid="3" name="ICV">
    <vt:lpwstr>350DCEF471320F1F2D565C65480B1EF9</vt:lpwstr>
  </property>
</Properties>
</file>