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Autospacing="0"/>
        <w:jc w:val="center"/>
        <w:rPr>
          <w:rFonts w:hint="default" w:cs="宋体"/>
          <w:color w:val="auto"/>
          <w:sz w:val="78"/>
          <w:szCs w:val="78"/>
        </w:rPr>
      </w:pPr>
      <w:r>
        <w:rPr>
          <w:rFonts w:cs="宋体"/>
          <w:color w:val="auto"/>
          <w:sz w:val="78"/>
          <w:szCs w:val="78"/>
          <w:shd w:val="clear" w:color="auto" w:fill="FFFFFF"/>
        </w:rPr>
        <w:t>福建省政府采购</w:t>
      </w:r>
    </w:p>
    <w:p>
      <w:pPr>
        <w:pStyle w:val="2"/>
        <w:widowControl/>
        <w:shd w:val="clear" w:color="auto" w:fill="FFFFFF"/>
        <w:spacing w:beforeAutospacing="0" w:afterAutospacing="0"/>
        <w:jc w:val="center"/>
        <w:rPr>
          <w:rFonts w:hint="default" w:cs="宋体"/>
          <w:color w:val="auto"/>
          <w:sz w:val="78"/>
          <w:szCs w:val="78"/>
        </w:rPr>
      </w:pPr>
      <w:r>
        <w:rPr>
          <w:rFonts w:cs="宋体"/>
          <w:color w:val="auto"/>
          <w:sz w:val="78"/>
          <w:szCs w:val="78"/>
          <w:shd w:val="clear" w:color="auto" w:fill="FFFFFF"/>
        </w:rPr>
        <w:t>货物和服务项目</w:t>
      </w:r>
    </w:p>
    <w:p>
      <w:pPr>
        <w:pStyle w:val="2"/>
        <w:widowControl/>
        <w:shd w:val="clear" w:color="auto" w:fill="FFFFFF"/>
        <w:spacing w:beforeAutospacing="0" w:afterAutospacing="0"/>
        <w:jc w:val="center"/>
        <w:rPr>
          <w:rFonts w:hint="default" w:cs="宋体"/>
          <w:color w:val="auto"/>
          <w:sz w:val="78"/>
          <w:szCs w:val="78"/>
        </w:rPr>
      </w:pPr>
      <w:r>
        <w:rPr>
          <w:rFonts w:cs="宋体"/>
          <w:color w:val="auto"/>
          <w:sz w:val="78"/>
          <w:szCs w:val="78"/>
          <w:shd w:val="clear" w:color="auto" w:fill="FFFFFF"/>
        </w:rPr>
        <w:t>公开招标文件</w:t>
      </w: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rFonts w:hint="eastAsia"/>
          <w:color w:val="auto"/>
        </w:rPr>
      </w:pPr>
    </w:p>
    <w:p>
      <w:pPr>
        <w:pStyle w:val="4"/>
        <w:widowControl/>
        <w:spacing w:beforeAutospacing="0" w:afterAutospacing="0" w:line="600" w:lineRule="auto"/>
        <w:jc w:val="center"/>
        <w:rPr>
          <w:rFonts w:hint="default" w:cs="宋体"/>
          <w:color w:val="auto"/>
        </w:rPr>
      </w:pPr>
      <w:r>
        <w:rPr>
          <w:rFonts w:cs="宋体"/>
          <w:color w:val="auto"/>
        </w:rPr>
        <w:t>项目名称：省级危险废物鉴别中心建设</w:t>
      </w:r>
    </w:p>
    <w:p>
      <w:pPr>
        <w:pStyle w:val="4"/>
        <w:widowControl/>
        <w:spacing w:beforeAutospacing="0" w:afterAutospacing="0" w:line="600" w:lineRule="auto"/>
        <w:jc w:val="center"/>
        <w:rPr>
          <w:rFonts w:hint="default" w:cs="宋体"/>
          <w:color w:val="auto"/>
        </w:rPr>
      </w:pPr>
      <w:r>
        <w:rPr>
          <w:rFonts w:cs="宋体"/>
          <w:color w:val="auto"/>
        </w:rPr>
        <w:t>备案编号：CGXM-2023-350001-17508[2023]13038</w:t>
      </w:r>
    </w:p>
    <w:p>
      <w:pPr>
        <w:pStyle w:val="4"/>
        <w:widowControl/>
        <w:spacing w:beforeAutospacing="0" w:afterAutospacing="0" w:line="600" w:lineRule="auto"/>
        <w:jc w:val="center"/>
        <w:rPr>
          <w:rFonts w:hint="default" w:cs="宋体"/>
          <w:color w:val="auto"/>
        </w:rPr>
      </w:pPr>
      <w:r>
        <w:rPr>
          <w:rFonts w:cs="宋体"/>
          <w:color w:val="auto"/>
        </w:rPr>
        <w:t>项目编号：[350001]MHDL[GK]2023001</w:t>
      </w:r>
    </w:p>
    <w:p>
      <w:pPr>
        <w:pStyle w:val="4"/>
        <w:widowControl/>
        <w:spacing w:beforeAutospacing="0" w:afterAutospacing="0" w:line="600" w:lineRule="auto"/>
        <w:jc w:val="center"/>
        <w:rPr>
          <w:rFonts w:hint="default" w:cs="宋体"/>
          <w:color w:val="auto"/>
        </w:rPr>
      </w:pPr>
      <w:r>
        <w:rPr>
          <w:rFonts w:cs="宋体"/>
          <w:color w:val="auto"/>
        </w:rPr>
        <w:t>采购人：福建省环境科学研究院</w:t>
      </w:r>
    </w:p>
    <w:p>
      <w:pPr>
        <w:pStyle w:val="4"/>
        <w:widowControl/>
        <w:spacing w:beforeAutospacing="0" w:afterAutospacing="0" w:line="600" w:lineRule="auto"/>
        <w:jc w:val="center"/>
        <w:rPr>
          <w:rFonts w:hint="default" w:cs="宋体"/>
          <w:color w:val="auto"/>
        </w:rPr>
      </w:pPr>
      <w:r>
        <w:rPr>
          <w:rFonts w:cs="宋体"/>
          <w:color w:val="auto"/>
        </w:rPr>
        <w:t>代理机构：福建闽辉招标代理有限公司</w:t>
      </w:r>
    </w:p>
    <w:p>
      <w:pPr>
        <w:pStyle w:val="4"/>
        <w:widowControl/>
        <w:shd w:val="clear" w:color="auto" w:fill="FFFFFF"/>
        <w:spacing w:beforeAutospacing="0" w:afterAutospacing="0" w:line="600" w:lineRule="auto"/>
        <w:jc w:val="center"/>
        <w:rPr>
          <w:rFonts w:hint="default" w:cs="宋体"/>
          <w:color w:val="auto"/>
        </w:rPr>
      </w:pPr>
      <w:r>
        <w:rPr>
          <w:rFonts w:cs="宋体"/>
          <w:color w:val="auto"/>
          <w:shd w:val="clear" w:color="auto" w:fill="FFFFFF"/>
        </w:rPr>
        <w:t>编制时间：2023年11月</w:t>
      </w:r>
    </w:p>
    <w:p>
      <w:pPr>
        <w:pStyle w:val="9"/>
        <w:widowControl/>
        <w:spacing w:beforeAutospacing="0" w:afterAutospacing="0" w:line="600" w:lineRule="auto"/>
        <w:ind w:firstLine="420"/>
        <w:rPr>
          <w:rFonts w:ascii="宋体" w:hAnsi="宋体" w:eastAsia="宋体" w:cs="宋体"/>
          <w:color w:val="auto"/>
        </w:rPr>
      </w:pPr>
      <w:r>
        <w:rPr>
          <w:rFonts w:hint="eastAsia" w:ascii="宋体" w:hAnsi="宋体" w:eastAsia="宋体" w:cs="宋体"/>
          <w:color w:val="auto"/>
          <w:shd w:val="clear" w:color="auto" w:fill="FFFFFF"/>
        </w:rPr>
        <w:t> </w:t>
      </w:r>
    </w:p>
    <w:p>
      <w:pPr>
        <w:rPr>
          <w:rFonts w:ascii="宋体" w:hAnsi="宋体" w:eastAsia="宋体" w:cs="宋体"/>
          <w:color w:val="auto"/>
          <w:sz w:val="39"/>
          <w:szCs w:val="39"/>
          <w:shd w:val="clear" w:color="auto" w:fill="FFFFFF"/>
        </w:rPr>
      </w:pPr>
      <w:r>
        <w:rPr>
          <w:rFonts w:hint="eastAsia" w:ascii="宋体" w:hAnsi="宋体" w:eastAsia="宋体" w:cs="宋体"/>
          <w:color w:val="auto"/>
          <w:sz w:val="39"/>
          <w:szCs w:val="39"/>
          <w:shd w:val="clear" w:color="auto" w:fill="FFFFFF"/>
        </w:rPr>
        <w:br w:type="page"/>
      </w:r>
    </w:p>
    <w:p>
      <w:pPr>
        <w:pStyle w:val="3"/>
        <w:widowControl/>
        <w:shd w:val="clear" w:color="auto" w:fill="FFFFFF"/>
        <w:spacing w:beforeAutospacing="0" w:afterAutospacing="0" w:line="0" w:lineRule="atLeast"/>
        <w:jc w:val="center"/>
        <w:rPr>
          <w:rFonts w:hint="default" w:cs="宋体"/>
          <w:color w:val="auto"/>
          <w:sz w:val="39"/>
          <w:szCs w:val="39"/>
        </w:rPr>
      </w:pPr>
      <w:r>
        <w:rPr>
          <w:rFonts w:cs="宋体"/>
          <w:color w:val="auto"/>
          <w:sz w:val="39"/>
          <w:szCs w:val="39"/>
          <w:shd w:val="clear" w:color="auto" w:fill="FFFFFF"/>
        </w:rPr>
        <w:t>第一章 投标邀请</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福建闽辉招标代理有限公司 采用公开招标方式组织 省级危险废物鉴别中心建设 （以下简称：“本项目”）的政府采购活动，现邀请供应商参加投标。</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1、备案编号：CGXM-2023-350001-17508[2023]13038</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2、项目编号：[350001]MHDL[GK]2023001</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3、预算金额、最高限价：详见《采购标的一览表》。</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4、招标内容及要求：详见《采购标的一览表》及招标文件第五章。</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5、需要落实的政府采购政策</w:t>
      </w:r>
    </w:p>
    <w:p>
      <w:pPr>
        <w:pStyle w:val="9"/>
        <w:widowControl/>
        <w:shd w:val="clear" w:color="auto" w:fill="FFFFFF"/>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进口产品：不适用本项目</w:t>
      </w:r>
    </w:p>
    <w:p>
      <w:pPr>
        <w:pStyle w:val="9"/>
        <w:widowControl/>
        <w:shd w:val="clear" w:color="auto" w:fill="FFFFFF"/>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节能产品：适用于本项目，按照财库[2019]19号文所附品目清单执行。</w:t>
      </w:r>
    </w:p>
    <w:p>
      <w:pPr>
        <w:pStyle w:val="9"/>
        <w:widowControl/>
        <w:shd w:val="clear" w:color="auto" w:fill="FFFFFF"/>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环境标志产品：适用于本项目，按照财库[2019]19号文所附品目清单执行。</w:t>
      </w:r>
    </w:p>
    <w:p>
      <w:pPr>
        <w:pStyle w:val="9"/>
        <w:widowControl/>
        <w:shd w:val="clear" w:color="auto" w:fill="FFFFFF"/>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促进中小企业发展的相关政策：</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采购包1：不专门面向中小企业采购</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6、投标人的资格要求</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6.1法定条件：符合政府采购法第二十二条第一款规定的条件。</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6.2特定条件：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采购包1：</w:t>
      </w:r>
    </w:p>
    <w:tbl>
      <w:tblPr>
        <w:tblStyle w:val="11"/>
        <w:tblW w:w="8546" w:type="dxa"/>
        <w:tblInd w:w="0" w:type="dxa"/>
        <w:tblLayout w:type="fixed"/>
        <w:tblCellMar>
          <w:top w:w="0" w:type="dxa"/>
          <w:left w:w="0" w:type="dxa"/>
          <w:bottom w:w="0" w:type="dxa"/>
          <w:right w:w="0" w:type="dxa"/>
        </w:tblCellMar>
      </w:tblPr>
      <w:tblGrid>
        <w:gridCol w:w="3815"/>
        <w:gridCol w:w="4731"/>
      </w:tblGrid>
      <w:tr>
        <w:tblPrEx>
          <w:tblCellMar>
            <w:top w:w="0" w:type="dxa"/>
            <w:left w:w="0" w:type="dxa"/>
            <w:bottom w:w="0" w:type="dxa"/>
            <w:right w:w="0" w:type="dxa"/>
          </w:tblCellMar>
        </w:tblPrEx>
        <w:tc>
          <w:tcPr>
            <w:tcW w:w="38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资格审查要求概况</w:t>
            </w:r>
          </w:p>
        </w:tc>
        <w:tc>
          <w:tcPr>
            <w:tcW w:w="473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评审点具体描述</w:t>
            </w:r>
          </w:p>
        </w:tc>
      </w:tr>
      <w:tr>
        <w:tblPrEx>
          <w:tblCellMar>
            <w:top w:w="0" w:type="dxa"/>
            <w:left w:w="0" w:type="dxa"/>
            <w:bottom w:w="0" w:type="dxa"/>
            <w:right w:w="0" w:type="dxa"/>
          </w:tblCellMar>
        </w:tblPrEx>
        <w:tc>
          <w:tcPr>
            <w:tcW w:w="8546" w:type="dxa"/>
            <w:gridSpan w:val="2"/>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0" w:lineRule="atLeast"/>
              <w:jc w:val="center"/>
              <w:rPr>
                <w:rFonts w:ascii="宋体" w:hAnsi="宋体" w:eastAsia="宋体" w:cs="宋体"/>
                <w:color w:val="auto"/>
                <w:sz w:val="24"/>
              </w:rPr>
            </w:pPr>
            <w:r>
              <w:rPr>
                <w:rFonts w:hint="eastAsia" w:ascii="宋体" w:hAnsi="宋体" w:eastAsia="宋体" w:cs="宋体"/>
                <w:color w:val="auto"/>
                <w:kern w:val="0"/>
                <w:sz w:val="24"/>
                <w:lang w:bidi="ar"/>
              </w:rPr>
              <w:t>无</w:t>
            </w:r>
          </w:p>
        </w:tc>
      </w:tr>
    </w:tbl>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6.3是否接受联合体投标：</w:t>
      </w:r>
    </w:p>
    <w:p>
      <w:pPr>
        <w:pStyle w:val="9"/>
        <w:widowControl/>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采购包1：不接受</w:t>
      </w:r>
    </w:p>
    <w:p>
      <w:pPr>
        <w:pStyle w:val="9"/>
        <w:widowControl/>
        <w:shd w:val="clear" w:color="auto" w:fill="FFFFFF"/>
        <w:spacing w:beforeAutospacing="0" w:afterAutospacing="0" w:line="0" w:lineRule="atLeast"/>
        <w:jc w:val="both"/>
        <w:rPr>
          <w:rFonts w:ascii="宋体" w:hAnsi="宋体" w:eastAsia="宋体" w:cs="宋体"/>
          <w:b/>
          <w:bCs/>
          <w:color w:val="auto"/>
        </w:rPr>
      </w:pPr>
      <w:r>
        <w:rPr>
          <w:rFonts w:hint="eastAsia" w:ascii="宋体" w:hAnsi="宋体" w:eastAsia="宋体" w:cs="宋体"/>
          <w:b/>
          <w:bCs/>
          <w:color w:val="auto"/>
          <w:shd w:val="clear" w:color="auto" w:fill="FFFFFF"/>
        </w:rPr>
        <w:t>※根据上述资格要求，电子投标文件中应提交的“投标人的资格及资信证明文件”详见招标文件第四章。</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7、招标文件的获取</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7.1、招标文件获取期限：详见招标公告或更正公告，若不一致，以更正公告为准。</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7.2、在招标文件获取期限内，供应商应通过福建省政府采购网上公开信息系统的注册账号（免费注册）并获取招标文件(请根据项目所在地，登录对应的福建省政府采购网上公开信息系统(即省本级网址/地市分网))，否则投标将被拒绝。</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7.3、获取地点及方式：注册账号后，通过福建省政府采购网上公开信息系统以下载方式获取。</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7.4、招标文件售价：0元。</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8、投标截止</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8.1、投标截止时间：详见招标公告或更正公告，若不一致，以更正公告为准。</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8.2、投标人应在投标截止时间前按照福建省政府采购网上公开信息系统设定的操作流程将电子投标文件上传至福建省政府采购网上公开信息系统，否则投标将被拒绝。</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9、开标时间及地点</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详见招标公告或更正公告，若不一致，以更正公告为准。</w:t>
      </w:r>
    </w:p>
    <w:p>
      <w:pPr>
        <w:pStyle w:val="4"/>
        <w:widowControl/>
        <w:shd w:val="clear" w:color="auto" w:fill="FFFFFF"/>
        <w:spacing w:beforeAutospacing="0" w:afterAutospacing="0" w:line="0" w:lineRule="atLeast"/>
        <w:jc w:val="both"/>
        <w:rPr>
          <w:rFonts w:hint="default" w:cs="宋体"/>
          <w:color w:val="auto"/>
        </w:rPr>
      </w:pPr>
      <w:r>
        <w:rPr>
          <w:rFonts w:cs="宋体"/>
          <w:color w:val="auto"/>
          <w:shd w:val="clear" w:color="auto" w:fill="FFFFFF"/>
        </w:rPr>
        <w:t>10、公告期限</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10.1、招标公告的公告期限：自财政部和福建省财政厅指定的政府采购信息发布媒体最先发布公告之日起5个工作日。</w:t>
      </w:r>
    </w:p>
    <w:p>
      <w:pPr>
        <w:pStyle w:val="9"/>
        <w:widowControl/>
        <w:shd w:val="clear" w:color="auto" w:fill="FFFFFF"/>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10.2、招标文件公告期限：招标文件随同招标公告一并发布，其公告期限与招标公告的公告期限保持一致。</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11、采购人：福建省环境科学研究院</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地址： 福建省福州市晋安区茶园小区环北三村10号楼</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邮编： 350011</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联系人： 郑炜</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联系电话： 18950339600</w:t>
      </w:r>
    </w:p>
    <w:p>
      <w:pPr>
        <w:pStyle w:val="4"/>
        <w:widowControl/>
        <w:shd w:val="clear" w:color="auto" w:fill="FFFFFF"/>
        <w:spacing w:beforeAutospacing="0" w:afterAutospacing="0" w:line="0" w:lineRule="atLeast"/>
        <w:rPr>
          <w:rFonts w:hint="default" w:cs="宋体"/>
          <w:color w:val="auto"/>
        </w:rPr>
      </w:pPr>
      <w:r>
        <w:rPr>
          <w:rFonts w:cs="宋体"/>
          <w:color w:val="auto"/>
          <w:shd w:val="clear" w:color="auto" w:fill="FFFFFF"/>
        </w:rPr>
        <w:t>12、代理机构：福建闽辉招标代理有限公司</w:t>
      </w:r>
    </w:p>
    <w:p>
      <w:pPr>
        <w:pStyle w:val="9"/>
        <w:widowControl/>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地址： 华林路271号幸福新村3#楼301</w:t>
      </w:r>
    </w:p>
    <w:p>
      <w:pPr>
        <w:pStyle w:val="9"/>
        <w:widowControl/>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邮编： 350000</w:t>
      </w:r>
    </w:p>
    <w:p>
      <w:pPr>
        <w:pStyle w:val="9"/>
        <w:widowControl/>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联系人： 周辉、陈智生</w:t>
      </w:r>
    </w:p>
    <w:p>
      <w:pPr>
        <w:pStyle w:val="9"/>
        <w:widowControl/>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联系电话： 15280088857、15859013877</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附1：账户信息</w:t>
      </w:r>
    </w:p>
    <w:tbl>
      <w:tblPr>
        <w:tblStyle w:val="11"/>
        <w:tblW w:w="8546" w:type="dxa"/>
        <w:tblInd w:w="0" w:type="dxa"/>
        <w:shd w:val="clear" w:color="auto" w:fill="FFFFFF"/>
        <w:tblLayout w:type="fixed"/>
        <w:tblCellMar>
          <w:top w:w="0" w:type="dxa"/>
          <w:left w:w="0" w:type="dxa"/>
          <w:bottom w:w="0" w:type="dxa"/>
          <w:right w:w="0" w:type="dxa"/>
        </w:tblCellMar>
      </w:tblPr>
      <w:tblGrid>
        <w:gridCol w:w="8546"/>
      </w:tblGrid>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投标保证金账户</w:t>
            </w:r>
          </w:p>
        </w:tc>
      </w:tr>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开户名称： 福建闽辉招标代理有限公司</w:t>
            </w:r>
          </w:p>
        </w:tc>
      </w:tr>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开户银行：供应商在福建省政府采购网上公开信息系统获取招标文件后，根据其提示自行选择要缴交的投标保证金托管银行。</w:t>
            </w:r>
          </w:p>
        </w:tc>
      </w:tr>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特别提示</w:t>
            </w:r>
          </w:p>
        </w:tc>
      </w:tr>
      <w:tr>
        <w:tblPrEx>
          <w:shd w:val="clear" w:color="auto" w:fill="FFFFFF"/>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1、投标人应认真核对账户信息，将投标保证金汇入以上账户，并自行承担因汇错投标保证金而产生的一切后果。</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2、投标人在转账或电汇的凭证上应按照以下格式注明，以便核对：“（项目编号：***）的投标保证金”。</w:t>
            </w:r>
          </w:p>
        </w:tc>
      </w:tr>
    </w:tbl>
    <w:p>
      <w:pPr>
        <w:rPr>
          <w:rFonts w:ascii="宋体" w:hAnsi="宋体" w:eastAsia="宋体" w:cs="宋体"/>
          <w:color w:val="auto"/>
          <w:sz w:val="27"/>
          <w:szCs w:val="27"/>
          <w:shd w:val="clear" w:color="auto" w:fill="FFFFFF"/>
        </w:rPr>
      </w:pPr>
      <w:r>
        <w:rPr>
          <w:rFonts w:hint="eastAsia" w:ascii="宋体" w:hAnsi="宋体" w:eastAsia="宋体" w:cs="宋体"/>
          <w:color w:val="auto"/>
          <w:sz w:val="27"/>
          <w:szCs w:val="27"/>
          <w:shd w:val="clear" w:color="auto" w:fill="FFFFFF"/>
        </w:rPr>
        <w:br w:type="page"/>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附2：采购标的一览表</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采购包1：</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采购包预算金额（元）: 15,157,508.00</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采购包最高限价（元）: 15,157,508.00</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采购包保证金金额（元）: 151,575.08</w:t>
      </w:r>
    </w:p>
    <w:tbl>
      <w:tblPr>
        <w:tblStyle w:val="11"/>
        <w:tblW w:w="10418" w:type="dxa"/>
        <w:tblInd w:w="-92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819"/>
        <w:gridCol w:w="2646"/>
        <w:gridCol w:w="1300"/>
        <w:gridCol w:w="2366"/>
        <w:gridCol w:w="784"/>
        <w:gridCol w:w="1015"/>
        <w:gridCol w:w="148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序号</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标的名称</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数量</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标的金额 （元）</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计量单位</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所属行业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是否允许进口产品</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GC-MS</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500,000.00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红外光谱仪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35,0000.00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8" w:hRule="atLeast"/>
        </w:trPr>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3</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气相色谱仪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700,000.00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8" w:hRule="atLeast"/>
        </w:trPr>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4</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X射线荧光光谱仪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700,000.00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8" w:hRule="atLeast"/>
        </w:trPr>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5</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ICP-MS</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1,650,000.00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6</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ICP-OES</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550,000.00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7</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原子吸收分光光度计</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343,000.00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8</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原子荧光光谱仪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348,900.00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9</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离子色谱仪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600,000.00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10</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液相色谱仪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449,000.00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11</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HPLC-MS</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3,430,000.00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12</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汞形态分析系统</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650,000.00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13</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平衡顶空分析仪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320,000.00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14</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微波消解仪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350,000.00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15</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加压流体萃取装置</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480,000.00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16</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脂肪测定仪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250,000.00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17</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固相萃取仪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250,000.00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18</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高通量真空平行浓缩仪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165,000.00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19</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全自动平行浓缩仪</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156,000.00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sz w:val="24"/>
              </w:rPr>
              <w:t>20</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十万分之一天平</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47,750.00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台</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21</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易燃性鉴别装置</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205,000.00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22</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反应性鉴别装置</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178,500.00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23</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腐蚀性鉴别装置</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90,000.00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24</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生物毒性实验室</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127800.00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1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25</w:t>
            </w:r>
          </w:p>
        </w:tc>
        <w:tc>
          <w:tcPr>
            <w:tcW w:w="26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实验室配套设施</w:t>
            </w:r>
          </w:p>
        </w:tc>
        <w:tc>
          <w:tcPr>
            <w:tcW w:w="13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1.00</w:t>
            </w:r>
          </w:p>
        </w:tc>
        <w:tc>
          <w:tcPr>
            <w:tcW w:w="236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kern w:val="0"/>
                <w:sz w:val="24"/>
                <w:lang w:bidi="ar"/>
              </w:rPr>
            </w:pPr>
            <w:r>
              <w:rPr>
                <w:rFonts w:hint="eastAsia" w:ascii="宋体" w:hAnsi="宋体" w:eastAsia="宋体" w:cs="宋体"/>
                <w:color w:val="auto"/>
                <w:kern w:val="0"/>
                <w:sz w:val="24"/>
                <w:lang w:bidi="ar"/>
              </w:rPr>
              <w:t>2,266,558.00</w:t>
            </w:r>
          </w:p>
        </w:tc>
        <w:tc>
          <w:tcPr>
            <w:tcW w:w="7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套</w:t>
            </w:r>
          </w:p>
        </w:tc>
        <w:tc>
          <w:tcPr>
            <w:tcW w:w="10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工业</w:t>
            </w:r>
          </w:p>
        </w:tc>
        <w:tc>
          <w:tcPr>
            <w:tcW w:w="148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kern w:val="0"/>
                <w:sz w:val="24"/>
                <w:lang w:bidi="ar"/>
              </w:rPr>
            </w:pPr>
            <w:r>
              <w:rPr>
                <w:rFonts w:hint="eastAsia" w:ascii="宋体" w:hAnsi="宋体" w:eastAsia="宋体" w:cs="宋体"/>
                <w:color w:val="auto"/>
                <w:kern w:val="0"/>
                <w:sz w:val="24"/>
                <w:lang w:bidi="ar"/>
              </w:rPr>
              <w:t>否</w:t>
            </w:r>
          </w:p>
        </w:tc>
      </w:tr>
    </w:tbl>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3"/>
        <w:widowControl/>
        <w:shd w:val="clear" w:color="auto" w:fill="FFFFFF"/>
        <w:spacing w:beforeAutospacing="0" w:afterAutospacing="0" w:line="480" w:lineRule="atLeast"/>
        <w:jc w:val="center"/>
        <w:rPr>
          <w:rFonts w:hint="default" w:cs="宋体"/>
          <w:color w:val="auto"/>
          <w:sz w:val="39"/>
          <w:szCs w:val="39"/>
        </w:rPr>
      </w:pPr>
      <w:r>
        <w:rPr>
          <w:rFonts w:cs="宋体"/>
          <w:color w:val="auto"/>
          <w:sz w:val="39"/>
          <w:szCs w:val="39"/>
          <w:shd w:val="clear" w:color="auto" w:fill="FFFFFF"/>
        </w:rPr>
        <w:t>第二章 投标人须知前附表</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一、投标人须知前附表1</w:t>
      </w:r>
    </w:p>
    <w:tbl>
      <w:tblPr>
        <w:tblStyle w:val="11"/>
        <w:tblW w:w="10464" w:type="dxa"/>
        <w:tblInd w:w="-959" w:type="dxa"/>
        <w:shd w:val="clear" w:color="auto" w:fill="FFFFFF"/>
        <w:tblLayout w:type="fixed"/>
        <w:tblCellMar>
          <w:top w:w="0" w:type="dxa"/>
          <w:left w:w="0" w:type="dxa"/>
          <w:bottom w:w="0" w:type="dxa"/>
          <w:right w:w="0" w:type="dxa"/>
        </w:tblCellMar>
      </w:tblPr>
      <w:tblGrid>
        <w:gridCol w:w="772"/>
        <w:gridCol w:w="1505"/>
        <w:gridCol w:w="8187"/>
      </w:tblGrid>
      <w:tr>
        <w:tblPrEx>
          <w:shd w:val="clear" w:color="auto" w:fill="FFFFFF"/>
          <w:tblCellMar>
            <w:top w:w="0" w:type="dxa"/>
            <w:left w:w="0" w:type="dxa"/>
            <w:bottom w:w="0" w:type="dxa"/>
            <w:right w:w="0" w:type="dxa"/>
          </w:tblCellMar>
        </w:tblPrEx>
        <w:tc>
          <w:tcPr>
            <w:tcW w:w="10464" w:type="dxa"/>
            <w:gridSpan w:val="3"/>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特别提示：本表与招标文件对应章节的内容若不一致，以本表为准。</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序号</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招标文件</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（第三章）</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编列内容</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6.1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是否组织现场考察或召开开标前答疑会：</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采购包1：不组织</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10.4</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投标文件的份数：</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（1）可读介质（光盘或U盘） 0 份：投标人应将其上传至福建省政府采购网上公开信息系统的电子投标文件在该可读介质中另存 0 份。</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（2）电子投标文件：详见投标人须知前附表2《关于电子招标投标活动的专门规定》。</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3</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10.7-（1）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是否允许中标人将本项目的非主体、非关键性工作进行分包：</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采购包1：不允许合同分包；</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4</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10.8-（1）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投标有效期：投标截止时间起 90 个日历日。</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5</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12.1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确定中标候选人名单：</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采购包1：3名</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6</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12.2</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本项目中标人的确定（以采购包为单位）：</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（1）采购人应在政府采购招投标管理办法规定的时限内确定中标人。</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（2）若出现中标候选人并列情形，则按照下列方式确定中标人：</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①招标文件规定的方式：</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②若本款第①点规定方式为“无”，则按照下列方式确定：</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③若本款第①、②点规定方式均为“无”，则按照下列方式确定：随机抽取。</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（3）本项目确定的中标人家数：</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采购包1：1名</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7</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13.2</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合同签订时限： 自中标通知书发出之日起30个日历日内。</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8</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15.1-（2）</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质疑函原件应采用下列方式提交：书面形式。</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9</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15.4</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招标文件的质疑</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（1）潜在投标人可在质疑时效期间内对招标文件以书面形式提出质疑。</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（2）质疑时效期间：应在依法获取招标文件之日起7个工作日内向 福建闽辉招标代理有限公司 提出，依法获取招标文件的时间以福建省政府采购网上公开信息系统记载的为准。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※除上述规定外，对招标文件提出的质疑还应符合招标文件第三章第15.1条的有关规定。</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10</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16.1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监督管理部门： 福建省财政厅政府采购监督管理办公室 （仅限依法进行政府采购的货物或服务类项目）。</w:t>
            </w:r>
          </w:p>
        </w:tc>
      </w:tr>
      <w:tr>
        <w:tblPrEx>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11</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18.1</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财政部和福建省财政厅指定的政府采购信息发布媒体（以下简称：“指定媒体”）：</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（1）中国政府采购网，网址www.ccgp.gov.cn。</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（2）中国政府采购网福建分网（福建省政府采购网），网址zfcg.czt.fujian.gov.cn。</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※若出现上述指定媒体信息不一致情形，应以中国政府采购网福建分网（福建省政府采购网）发布的为准。</w:t>
            </w:r>
          </w:p>
        </w:tc>
      </w:tr>
      <w:tr>
        <w:tblPrEx>
          <w:shd w:val="clear" w:color="auto" w:fill="FFFFFF"/>
          <w:tblCellMar>
            <w:top w:w="0" w:type="dxa"/>
            <w:left w:w="0" w:type="dxa"/>
            <w:bottom w:w="0" w:type="dxa"/>
            <w:right w:w="0" w:type="dxa"/>
          </w:tblCellMar>
        </w:tblPrEx>
        <w:tc>
          <w:tcPr>
            <w:tcW w:w="77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12</w:t>
            </w:r>
          </w:p>
        </w:tc>
        <w:tc>
          <w:tcPr>
            <w:tcW w:w="1505"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19</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其他事项：</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(1)本项目代理服务费：</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本项目收取代理服务费</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代理服务费用收取对象：中标/成交供应商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代理服务费收费标准：货物类项目：100万元以下按成交总金额的1.5%，100－500万元按成交总金额的1.1%，500-1000万按成交总金额的0.8%，1000万-5000万按总成交金额的0.5%，服务费按差额定率累进法计算，中标人在领取中标通知书前向招标代理机构一次缴清代理服务费。代理服务费专户（公司帐户不接受个人名义转帐）：开户行：兴业银行股份有限公司福州台江支行，开户名:福建闽辉招标代理有限公司；账号：117210100100207695。</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(2)其他：</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tc>
      </w:tr>
      <w:tr>
        <w:tblPrEx>
          <w:shd w:val="clear" w:color="auto" w:fill="FFFFFF"/>
          <w:tblCellMar>
            <w:top w:w="0" w:type="dxa"/>
            <w:left w:w="0" w:type="dxa"/>
            <w:bottom w:w="0" w:type="dxa"/>
            <w:right w:w="0" w:type="dxa"/>
          </w:tblCellMar>
        </w:tblPrEx>
        <w:tc>
          <w:tcPr>
            <w:tcW w:w="2277" w:type="dxa"/>
            <w:gridSpan w:val="2"/>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备注</w:t>
            </w:r>
          </w:p>
        </w:tc>
        <w:tc>
          <w:tcPr>
            <w:tcW w:w="8187"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后有投标人须知前附表2，请勿遗漏。</w:t>
            </w:r>
          </w:p>
        </w:tc>
      </w:tr>
    </w:tbl>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二、投标人须知前附表2</w:t>
      </w:r>
    </w:p>
    <w:tbl>
      <w:tblPr>
        <w:tblStyle w:val="11"/>
        <w:tblW w:w="10498" w:type="dxa"/>
        <w:tblInd w:w="-1052" w:type="dxa"/>
        <w:shd w:val="clear" w:color="auto" w:fill="FFFFFF"/>
        <w:tblLayout w:type="fixed"/>
        <w:tblCellMar>
          <w:top w:w="0" w:type="dxa"/>
          <w:left w:w="0" w:type="dxa"/>
          <w:bottom w:w="0" w:type="dxa"/>
          <w:right w:w="0" w:type="dxa"/>
        </w:tblCellMar>
      </w:tblPr>
      <w:tblGrid>
        <w:gridCol w:w="852"/>
        <w:gridCol w:w="9646"/>
      </w:tblGrid>
      <w:tr>
        <w:tblPrEx>
          <w:tblCellMar>
            <w:top w:w="0" w:type="dxa"/>
            <w:left w:w="0" w:type="dxa"/>
            <w:bottom w:w="0" w:type="dxa"/>
            <w:right w:w="0" w:type="dxa"/>
          </w:tblCellMar>
        </w:tblPrEx>
        <w:tc>
          <w:tcPr>
            <w:tcW w:w="10498" w:type="dxa"/>
            <w:gridSpan w:val="2"/>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关于电子招标投标活动的专门规定</w:t>
            </w:r>
          </w:p>
        </w:tc>
      </w:tr>
      <w:tr>
        <w:tblPrEx>
          <w:tblCellMar>
            <w:top w:w="0" w:type="dxa"/>
            <w:left w:w="0" w:type="dxa"/>
            <w:bottom w:w="0" w:type="dxa"/>
            <w:right w:w="0" w:type="dxa"/>
          </w:tblCellMar>
        </w:tblPrEx>
        <w:tc>
          <w:tcPr>
            <w:tcW w:w="85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序号</w:t>
            </w:r>
          </w:p>
        </w:tc>
        <w:tc>
          <w:tcPr>
            <w:tcW w:w="96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编列内容</w:t>
            </w:r>
          </w:p>
        </w:tc>
      </w:tr>
      <w:tr>
        <w:tblPrEx>
          <w:tblCellMar>
            <w:top w:w="0" w:type="dxa"/>
            <w:left w:w="0" w:type="dxa"/>
            <w:bottom w:w="0" w:type="dxa"/>
            <w:right w:w="0" w:type="dxa"/>
          </w:tblCellMar>
        </w:tblPrEx>
        <w:tc>
          <w:tcPr>
            <w:tcW w:w="852"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w:t>
            </w:r>
          </w:p>
        </w:tc>
        <w:tc>
          <w:tcPr>
            <w:tcW w:w="9646" w:type="dxa"/>
            <w:tcBorders>
              <w:top w:val="single" w:color="000000" w:sz="6" w:space="0"/>
              <w:left w:val="single" w:color="000000" w:sz="6" w:space="0"/>
              <w:bottom w:val="single" w:color="000000" w:sz="6" w:space="0"/>
              <w:right w:val="single" w:color="000000" w:sz="6" w:space="0"/>
            </w:tcBorders>
            <w:shd w:val="clear" w:color="auto" w:fill="FFFFFF"/>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（1）电子招标投标活动的专门规定适用本项目电子招标投标活动。</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（2）将招标文件</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的内容修正为下列内容：</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p>
            <w:pPr>
              <w:widowControl/>
              <w:jc w:val="left"/>
              <w:rPr>
                <w:color w:val="auto"/>
              </w:rPr>
            </w:pPr>
            <w:r>
              <w:rPr>
                <w:rFonts w:hint="eastAsia" w:ascii="宋体" w:hAnsi="宋体" w:eastAsia="宋体" w:cs="宋体"/>
                <w:color w:val="auto"/>
                <w:kern w:val="0"/>
                <w:sz w:val="24"/>
                <w:lang w:bidi="ar"/>
              </w:rPr>
              <w:t>后适用本项目的电子招标投标活动。</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（3）将下列内容增列为招标文件的组成部分（以下简称：“增列内容”）适用本项目的电子招标投标活动，若增列内容与招标文件其他章节内容有冲突，应以增列内容为准：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①电子招标投标活动的具体操作流程以福建省政府采购网上公开信息系统设定的为准。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②关于电子投标文件：</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a.投标人应按照福建省政府采购网上公开信息系统设定的评审节点编制电子投标文件，否则资格审查小组、评标委员会将按照不利于投标人的内容进行认定。</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投标人应在投标截止时间前按照福建省政府采购网上公开信息系统设定的操作流程将电子投标文件1份上传至福建省政府采购网上公开信息系统。电子投标文件的分项报价一览表、投标客户端的分项报价一览表应保持一致，并以投标客户端的分项报价一览表为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③关于证明材料或资料：</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b.若投标人提供注明“复印件无效”或“复印无效”的证明材料或资料，应结合上文a条款进行判定，若招标文件未要求投标人提供原件，投标人提供原件，复印件（含扫描件）均视为满足招标文件要求。</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④关于“全称”、“投标人代表签字”及“加盖单位公章”：</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a.在电子投标文件中，涉及“全称”和“投标人代表签字”的内容可使用打字录入方式完成。</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b.在电子投标文件中，涉及“加盖单位公章”的内容应使用投标人的CA证书完成，否则投标无效。</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c.在电子投标文件中，若投标人按照本增列内容第④点第b项规定加盖其单位公章，则出现无全称、或投标人代表未签字等情形，不视为投标无效。</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⑤关于投标人的CA证书：</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a.投标人的CA证书应在系统规定时间内使用CA证书进行电子投标文件的解密操作，逾期未解密的视为放弃投标。</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b.投标人的CA证书可采用信封（包括但不限于：信封、档案袋、文件袋等）作为外包装进行单独包装。外包装密封、不密封皆可。</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c.投标人的CA证书或外包装应标记“项目名称、项目编号、投标人的全称”等内容，以方便识别、使用。</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d.投标人的CA证书应能正常、有效使用，否则产生不利后果由投标人承担责任。</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⑥关于投标截止时间过后</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a.未按招标文件规定提交投标保证金的，其投标将按无效投标处理。</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b.有下列情形之一的，其投标无效,其保证金不予退还或通过投标保函进行索赔：</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b1不同投标人的电子投标文件具有相同内部识别码；</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b2不同投标人的投标保证金从同一单位或个人的账户转出；</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b3投标人的投标保证金同一采购包下有其他投标人提交的投标保证金；</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b4不同投标人存在串通投标的其他情形。</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⑦接受联合体投标且投标人为联合体的，投标人应由“联合体牵头方”完成福建省政府采购网上公开信息系统设定的具体操作流程（包括但不限于：招标文件获取、提交投标保证金、编制电子投标文件等）。</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⑧其他：</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无</w:t>
            </w:r>
          </w:p>
        </w:tc>
      </w:tr>
    </w:tbl>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3"/>
        <w:widowControl/>
        <w:shd w:val="clear" w:color="auto" w:fill="FFFFFF"/>
        <w:spacing w:beforeAutospacing="0" w:afterAutospacing="0" w:line="480" w:lineRule="atLeast"/>
        <w:jc w:val="center"/>
        <w:rPr>
          <w:rFonts w:hint="default" w:cs="宋体"/>
          <w:color w:val="auto"/>
          <w:sz w:val="39"/>
          <w:szCs w:val="39"/>
        </w:rPr>
      </w:pPr>
      <w:r>
        <w:rPr>
          <w:rFonts w:cs="宋体"/>
          <w:color w:val="auto"/>
          <w:sz w:val="39"/>
          <w:szCs w:val="39"/>
          <w:shd w:val="clear" w:color="auto" w:fill="FFFFFF"/>
        </w:rPr>
        <w:t>第三章 投标人须知</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一、总则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1、适用范围</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1.1适用于招标文件载明项目的政府采购活动（以下简称：“本次采购活动”）。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2、定义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2.1“采购标的”指招标文件载明的需要采购的货物或服务。</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2.2“潜在投标人”指按照招标文件第一章第7条规定获取招标文件且有意向参加本项目投标的供应商。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2.3“投标人”指按照招标文件第一章第7条规定获取招标文件并参加本项目投标的供应商。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2.4“单位负责人”指单位法定代表人或法律、法规规定代表单位行使职权的主要负责人。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2.5“投标人代表”指投标人的单位负责人或“单位负责人授权书”中载明的接受授权方。</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二、投标人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3、合格投标人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3.1一般规定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（2）投标人的资格要求：详见招标文件第一章。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3.2若本项目接受联合体投标且投标人为联合体，则联合体各方应遵守本章第3.1条规定，同时还应遵守下列规定：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（1）联合体各方应提交联合体协议，联合体协议应符合招标文件规定。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（2）联合体各方不得再单独参加或与其他供应商另外组成联合体参加同一合同项下的投标。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（3）联合体各方应共同与采购人签订政府采购合同，就政府采购合同约定的事项对采购人承担连带责任。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（5）联合体一方放弃中标的，视为联合体整体放弃中标，联合体各方承担连带责任。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（6）如本项目不接受联合体投标而投标人为联合体的，或者本项目接受联合体投标但投标人组成的联合体不符合本章第3.2条规定的，投标无效。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4、投标费用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4.1除招标文件另有规定外，投标人应自行承担其参加本项目投标所涉及的一切费用。</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三、招标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5、招标文件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5.1招标文件由下述部分组成：</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（1）投标邀请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（2）投标人须知前附表（表1、2）</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（3）投标人须知</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（4）资格审查与评标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（5）招标内容及要求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（6）政府采购合同（参考文本）</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（7）电子投标文件格式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（8）按照招标文件规定作为招标文件组成部分的其他内容（若有）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5.2招标文件的澄清或修改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 福建闽辉招标代理有限公司 可对已发出的招标文件进行必要的澄清或修改，但不得对招标文件载明的采购标的和投标人的资格要求进行改变。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（2）除本章第5.2条第（3）款规定情形外，澄清或修改的内容可能影响电子投标文件编制的， 福建闽辉招标代理有限公司 将在投标截止时间至少15个日历日前，在招标文件载明的指定媒体以更正公告的形式发布澄清或修改的内容。不足15个日历日的， 福建闽辉招标代理有限公司 将顺延投标截止时间及开标时间， 福建闽辉招标代理有限公司 和投标人受原投标截止时间及开标时间制约的所有权利和义务均延长至新的投标截止时间及开标时间。</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（3）澄清或修改的内容可能改变招标文件载明的采购标的和投标人的资格要求的，本次采购活动结束， 福建闽辉招标代理有限公司 将依法组织后续采购活动（包括但不限于：重新招标、采用其他方式采购等）。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6、现场考察或开标前答疑会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6.1是否组织现场考察或召开开标前答疑会：详见招标文件第二章。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7、更正公告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7.1若 福建闽辉招标代理有限公司 发布更正公告，则更正公告及其所发布的内容或信息（包括但不限于：招标文件的澄清或修改、现场考察或答疑会的有关事宜等）作为招标文件组成部分，对投标人具有约束力。</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7.2更正公告作为 福建闽辉招标代理有限公司 通知所有潜在投标人的书面形式。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8、终止公告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8.1若出现因重大变故导致采购任务取消情形， 福建闽辉招标代理有限公司 可终止招标并发布终止公告。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8.2终止公告作为 福建闽辉招标代理有限公司 通知所有潜在投标人的书面形式。</w:t>
      </w:r>
    </w:p>
    <w:p>
      <w:pPr>
        <w:pStyle w:val="4"/>
        <w:widowControl/>
        <w:shd w:val="clear" w:color="auto" w:fill="FFFFFF"/>
        <w:spacing w:beforeAutospacing="0" w:afterAutospacing="0" w:line="480" w:lineRule="atLeast"/>
        <w:ind w:firstLine="420"/>
        <w:jc w:val="both"/>
        <w:rPr>
          <w:rFonts w:hint="default" w:cs="宋体"/>
          <w:color w:val="auto"/>
        </w:rPr>
      </w:pPr>
      <w:r>
        <w:rPr>
          <w:rFonts w:cs="宋体"/>
          <w:color w:val="auto"/>
          <w:shd w:val="clear" w:color="auto" w:fill="FFFFFF"/>
        </w:rPr>
        <w:t>四、投标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9.1投标人可对招标文件载明的全部或部分采购包进行投标。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9.2投标人应对同一个采购包内的所有内容进行完整投标，否则投标无效。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9.3投标人代表只能接受一个投标人的授权参加投标，否则投标无效。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9.4单位负责人为同一人或存在直接控股、管理关系的不同供应商，不得同时参加同一合同项下的投标，否则投标无效。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9.5为本项目提供整体设计、规范编制或项目管理、监理、检测等服务的供应商，不得参加本项目除整体设计、规范编制和项目管理、监理、检测等服务外的采购活动，否则投标无效。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9.6列入失信被执行人、重大税收违法案件当事人名单、政府采购严重违法失信行为记录名单及其他不符合政府采购法第二十二条规定条件的供应商，不得参加投标，否则投标无效。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9.7有下列情形之一的，视为投标人串通投标，其投标无效：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（1）不同投标人的电子投标文件由同一单位或个人编制；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（2）不同投标人委托同一单位或个人办理投标事宜；</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（3）不同投标人的电子投标文件载明的项目管理成员或联系人员为同一人；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（4）不同投标人的电子投标文件异常一致或投标报价呈规律性差异；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（5）不同投标人的电子投标文件相互混装；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（6）不同投标人的投标保证金从同一单位或个人的账户转出；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（7）有关法律、法规和规章及招标文件规定的其他串通投标情形。</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10.1电子投标文件的编制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（1）投标人应先仔细阅读招标文件的全部内容后，再进行电子投标文件的编制。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（2）电子投标文件应按照本章第10.2条规定编制其组成部分。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（3）电子投标文件应满足招标文件提出的实质性要求和条件，并保证其所提交的全部资料是不可割离且真实、有效、准确、完整和不具有任何误导性的，否则造成不利后果由投标人承担责任。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10.2电子投标文件由下述部分组成：</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（1）资格及资信证明部分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①投标函</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②投标人的资格及资信证明文件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③投标保证金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（2）报价部分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①开标一览表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②投标分项报价表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③招标文件规定的价格扣除证明材料（若有）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④招标文件规定的加分证明材料（若有）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（3）技术商务部分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①标的说明一览表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②技术和服务要求响应表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③商务条件响应表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④投标人提交的其他资料（若有）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⑤招标文件规定作为电子投标文件组成部分的其他内容（若有）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10.3电子投标文件的语言</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（1）除招标文件另有规定外，电子投标文件应使用中文文本，若有不同文本，以中文文本为准。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10.4投标文件的份数：详见招标文件第二章。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10.5电子投标文件的格式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（1）除招标文件另有规定外，电子投标文件应使用招标文件第七章规定的格式。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（2）除招标文件另有规定外，电子投标文件应使用不能擦去的墨料或墨水打印、书写或复印。</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（3）除招标文件另有规定外，电子投标文件应使用人民币作为计量货币。</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（4）除招标文件另有规定外，签署、盖章应遵守下列规定：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①电子投标文件应加盖投标人的单位公章。若投标人代表为单位授权的委托代理人，应提供“单位授权书”。</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②电子投标文件应没有涂改或行间插字，除非这些改动是根据 福建闽辉招标代理有限公司 的指示进行的，或是为改正投标人造成的应修改的错误而进行的。若有前述改动，应按照下列规定之一对改动处进行处理：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a.投标人代表签字确认；</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b.加盖投标人的单位公章或校正章。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10.6投标报价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（1）投标报价超出最高限价将导致投标无效。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（2）最高限价由采购人根据价格测算情况，在预算金额的额度内合理设定。最高限价不得超出预算金额。</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（3）除招标文件另有规定外，电子投标文件不能出现任何选择性的投标报价，即每一个采购包和品目号的采购标的都只能有一个投标报价。任何选择性的投标报价将导致投标无效。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10.7分包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（1）是否允许中标人将本项目的非主体、非关键性工作进行分包：详见招标文件第二章。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（3）招标文件允许中标人将非主体、非关键性工作进行分包的项目，有下列情形之一的，中标人不得分包：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①电子投标文件中未载明分包承担主体；</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②电子投标文件载明的分包承担主体不具备相应资质条件；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③电子投标文件载明的分包承担主体拟再次分包；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④享受中小企业扶持政策获得政府采购合同的，小微企业不得将合同分包给大中型企业，中型企业不得将合同分包给大型企业。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10.8投标有效期</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（1）招标文件载明的投标有效期：详见招标文件第二章。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（2）电子投标文件承诺的投标有效期不得少于招标文件载明的投标有效期，否则投标无效。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（3）根据本次采购活动的需要， 福建闽辉招标代理有限公司 可于投标有效期届满之前书面要求投标人延长投标有效期，投标人应在 福建闽辉招标代理有限公司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10.9投标保证金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（1）投标保证金作为投标人按照招标文件规定履行相应投标责任、义务的约束及担保。</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（2）投标人以电子保函形式提交投标保证金的，保函的有效期应等于或长于电子投标文件承诺的投标有效期，否则投标无效。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（3）提交</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①投标人以汇款形式缴纳投标保证金的，应从其银行账户（基本存款账户）按照下列方式：公对公转账方式向招标文件载明的投标保证金账户提交投标保证金，具体金额详见招标文件第一章。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pPr>
        <w:widowControl/>
        <w:shd w:val="clear" w:color="auto" w:fill="FFFFFF"/>
        <w:spacing w:line="480" w:lineRule="atLeast"/>
        <w:ind w:firstLine="420"/>
        <w:jc w:val="left"/>
        <w:rPr>
          <w:rFonts w:ascii="宋体" w:hAnsi="宋体" w:eastAsia="宋体" w:cs="宋体"/>
          <w:color w:val="auto"/>
          <w:sz w:val="24"/>
        </w:rPr>
      </w:pPr>
      <w:r>
        <w:rPr>
          <w:rFonts w:hint="eastAsia" w:ascii="宋体" w:hAnsi="宋体" w:eastAsia="宋体" w:cs="宋体"/>
          <w:color w:val="auto"/>
          <w:kern w:val="0"/>
          <w:sz w:val="24"/>
          <w:shd w:val="clear" w:color="auto" w:fill="FFFFFF"/>
          <w:lang w:bidi="ar"/>
        </w:rPr>
        <w:t>③其他形式：</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④若本项目接受联合体投标且投标人为联合体，则联合体中的牵头方应按照本章第10.9条第（3）款第①、②、③点规定提交投标保证金。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※除招标文件另有规定外，未按照上述规定提交投标保证金将导致资格审查不合格。</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（4）退还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①在投标截止时间前撤回已提交的电子投标文件的投标人，其投标保证金将在 福建闽辉招标代理有限公司 收到投标人书面撤回通知之日起5个工作日内退回原账户。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②未中标人的投标保证金将在中标通知书发出之日起5个工作日内退回原账户。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③中标人的投标保证金将在政府采购合同签订之日起5个工作日内退回原账户；合同签订之日以福建省政府采购网上公开信息系统记载的为准。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④终止招标的， 福建闽辉招标代理有限公司 将在终止公告发布之日起5个工作日内退回已收取的投标保证金及其在银行产生的孳息。</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⑤除招标文件另有规定外，质疑或投诉涉及的投标人，若投标保证金尚未退还，则待质疑或投诉处理完毕后不计利息原额退还。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※本章第10.9条第（4）款第①、②、③点规定的投标保证金退还时限不包括因投标人自身原因导致无法及时退还而增加的时间。</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（6）有下列情形之一的，投标保证金将不予退还或通过投标保函进行索赔：</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①投标人串通投标；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②投标人提供虚假材料；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③投标人采取不正当手段诋毁、排挤其他投标人；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④投标截止时间后，投标人在投标有效期内撤销电子投标文件；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⑤招标文件规定的其他不予退还情形；</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⑥中标人有下列情形之一的：</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a.除不可抗力外，因中标人自身原因未在中标通知书要求的期限内与采购人签订政府采购合同；</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b.未按照招标文件、投标文件的约定签订政府采购合同或提交履约保证金。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※若上述投标保证金不予退还情形给采购人（采购代理机构）造成损失，则投标人还要承担相应的赔偿责任。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10.10电子投标文件的提交</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（1）一个投标人只能提交一个电子投标文件，并按照招标文件第一章规定在系统上完成上传、解密操作。</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10.11电子投标文件的补充、修改或撤回</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（1）投标截止时间前，投标人可对所提交的电子投标文件进行补充、修改或撤回，并书面通知 福建闽辉招标代理有限公司 。</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（2）补充、修改的内容应按照本章第10.5条第（4）款规定进行签署、盖章，并按照本章第10.10条规定提交，否则将被拒收。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※按照上述规定提交的补充、修改内容作为电子投标文件组成部分。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10.12除招标文件另有规定外，有下列情形之一的，投标无效：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（1）电子投标文件未按照招标文件要求签署、盖章；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（2）不符合招标文件中规定的资格要求；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（3）投标报价超过招标文件中规定的预算金额或最高限价；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（4）电子投标文件含有采购人不能接受的附加条件；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（5）有关法律、法规和规章及招标文件规定的其他无效情形。</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五、开标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11、开标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11.1 福建闽辉招标代理有限公司 将在招标文件载明的开标时间及地点主持召开开标会，并邀请投标人参加。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11.2开标会的主持人、唱标人、记录人及其他工作人员（若有）均由 福建闽辉招标代理有限公司 派出，现场监督人员（若有）可由有关方面派出。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11.4开标会应遵守下列规定：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（3）唱标结束后，参加现场开标会的投标人代表应对开标记录进行签字确认，通过远程参与开标流程的投标人须在系统远程签章开启后，在系统规定时间内对开标结果进行签章确认。</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（5）若投标人未到开标现场参加开标会，也未通过远程参加开标会的，视同认可开标结果。</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福建闽辉招标代理有限公司 提出任何疑义或要求（包括质疑）。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11.5投标截止时间后，参加投标的投标人不足三家的，不进行开标。同时，本次采购活动结束， 福建闽辉招标代理有限公司 将依法组织后续采购活动（包括但不限于：重新招标、采用其他方式采购等）。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11.6投标截止时间后撤销投标的处理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投标截止时间后，投标人在投标有效期内撤销投标的，其撤销投标的行为无效。</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六、中标与政府采购合同</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12、中标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12.1本项目推荐的中标候选人家数：详见招标文件第二章。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12.2本项目中标人的确定：详见招标文件第二章。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12.3中标公告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（1）中标人确定之日起2个工作日内， 福建闽辉招标代理有限公司 将在招标文件载明的指定媒体以中标公告的形式发布中标结果。</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（2）中标公告的公告期限为1个工作日。</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12.4中标通知书</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（1）中标公告发布的同时， 福建闽辉招标代理有限公司 将向中标人发出中标通知书。</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（2）中标通知书发出后，采购人不得违法改变中标结果，中标人无正当理由不得放弃中标。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13、政府采购合同</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13.1签订政府采购合同应遵守政府采购法及实施条例的规定，不得对招标文件确定的事项和中标人的电子投标文件作实质性修改。采购人不得向中标人提出任何不合理的要求作为政府采购合同的签订条件。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13.2签订时限：详见须知前附表1的13.2。</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13.3政府采购合同的履行、违约责任和解决争议的方法等适用民法典。</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13.4采购人与中标人应根据政府采购合同的约定依法履行合同义务。</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13.5政府采购合同履行过程中，采购人若需追加与合同标的相同的货物或服务，则追加采购金额不得超过原合同采购金额的10%。</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13.6中标人在政府采购合同履行过程中应遵守有关法律、法规和规章的强制性规定（即使前述强制性规定有可能在招标文件中未予列明）。</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七、询问、质疑与投诉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14、询问</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14.1潜在投标人或投标人对本次采购活动的有关事项若有疑问，可向 福建闽辉招标代理有限公司 提出询问， 福建闽辉招标代理有限公司 将按照政府采购法及实施条例的有关规定进行答复。</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15、质疑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15.1针对同一采购程序环节的质疑应在政府采购法及实施条例的时限内一次性提出，对一个项目的不同采购包提出质疑的，应当将各采购包质疑事项集中在一份质疑函中提出，并同时符合下列条件：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（1）对招标文件提出质疑的，质疑人应为潜在投标人，且两者的身份、名称等均应保持一致。对采购过程、结果提出质疑的，质疑人应为投标人，且两者的身份、名称等均应保持一致。</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（2）质疑人应按照招标文件第二章规定方式提交质疑函。</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（3）质疑函应包括下列主要内容：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①质疑人的基本信息，至少包括：全称、地址、邮政编码等；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②所质疑项目的基本信息，至少包括：项目编号、项目名称等；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③所质疑的具体事项（以下简称：“质疑事项”）；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④针对质疑事项提出的明确请求，前述明确请求指质疑人提出质疑的目的以及希望 福建闽辉招标代理有限公司 对其质疑作出的处理结果，如：暂停招标投标活动、修改招标文件、停止或纠正违法违规行为、中标结果无效、废标、重新招标等；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⑤针对质疑事项导致质疑人自身权益受到损害的必要证明材料，至少包括：</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a.质疑人代表的身份证明材料：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a2若本项目接受自然人投标且质疑人为自然人的，提供本人的身份证复印件。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b.其他证明材料（即事实依据和必要的法律依据）包括但不限于下列材料：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b1所质疑的具体事项是与自己有利害关系的证明材料；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b2质疑函所述事实存在的证明材料，如：采购文件、采购过程或中标结果违法违规或不符合采购文件要求等证明材料；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b3依法应终止采购程序的证明材料；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b4应重新采购的证明材料；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b5采购文件、采购过程或中标、成交结果损害自己合法权益的证明材料等；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⑥质疑人代表及其联系方法的信息，至少包括：姓名、手机、电子信箱、邮寄地址等。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⑦提出质疑的日期。</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※质疑人为法人或其他组织的，质疑函应由单位负责人或委托代理人签字或盖章，并加盖投标人的单位公章。质疑人为自然人的，质疑函应由本人签字。</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15.2对不符合本章第15.1条规定的质疑，将按照下列规定进行处理：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（1）不符合其中第（1）、（2）条规定的，书面告知质疑人不予受理及其理由。</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（2）不符合其中第（3）条规定的，书面告知质疑人修改、补充后在规定时限内重新提交质疑函。</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15.3对符合本章第15.1条规定的质疑，将按照政府采购法及实施条例、政府采购质疑和投诉办法的有关规定进行答复。</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15.4招标文件的质疑：详见招标文件第二章。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16、投诉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16.1若对质疑答复不满意或质疑答复未在答复期限内作出，质疑人可在答复期限届满之日起15个工作日内按照政府采购质疑和投诉办法的有关规定向招标文件第二章载明的本项目监督管理部门提起投诉。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16.2投诉应有明确的请求和必要的证明材料，投诉的事项不得超出已质疑事项的范围。</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八、政府采购政策</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17、政府采购政策由财政部根据国家的经济和社会发展政策并会同国家有关部委制定，包括但不限于下列具体政策要求：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17.1进口产品指通过中国海关报关验放进入中国境内且产自关境外的产品，其中：</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（2）凡在海关特殊监管区域内企业生产或加工（包括从境外进口料件）销往境内其他地区的产品，不作为政府采购项下进口产品。</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（3）对从境外进入海关特殊监管区域，再经办理报关手续后从海关特殊监管区进入境内其他地区的产品，认定为进口产品。</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（4）招标文件列明不允许或未列明允许进口产品参加投标的，均视为拒绝进口产品参加投标。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（1）中小企业指符合下列条件的中型、小型、微型企业：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②符合中小企业划分标准的个体工商户，在政府采购活动中视同中小企业。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（2）在政府采购活动中，供应商提供的货物、工程或者服务符合下列情形的，享受本办法规定的中小企业扶持政策：</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①在货物采购项目中，货物由中小企业制造，即货物由中小企业生产且使用该中小企业商号或者注册商标；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②在工程采购项目中，工程由中小企业承建，即工程施工单位为中小企业；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③在服务采购项目中，服务由中小企业承接，即提供服务的人员为中小企业依照《中华人民共和国劳动合同法》订立劳动合同的从业人员。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在货物采购项目中，供应商提供的货物既有中小企业制造货物，也有大型企业制造货物的，不享受本办法规定的中小企业扶持政策。</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以联合体形式参加政府采购活动，联合体各方均为中小企业的，联合体视同中小企业。其中，联合体各方均为小微企业的，联合体视同小微企业。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（3）投标人应当按照招标文件明确的采购标的对应行业的划分标准出具中小企业声明函。</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①监狱企业参加采购活动时，应提供由省级以上监狱管理局、戒毒管理局（含新疆生产建设兵团）出具的属于监狱企业的证明文件。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②监狱企业视同小型、微型企业。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（5）残疾人福利性单位指同时符合下列条件的单位：</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①安置的残疾人占本单位在职职工人数的比例不低于25%（含25%），并且安置的残疾人人数不少于10人（含10人）；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②依法与安置的每位残疾人签订了一年以上（含一年）的劳动合同或服务协议；</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③为安置的每位残疾人按月足额缴纳了基本养老保险、基本医疗保险、失业保险、工伤保险和生育保险等社会保险费；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④通过银行等金融机构向安置的每位残疾人，按月支付了不低于单位所在区县适用的经省级人民政府批准的月最低工资标准的工资；</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⑤提供本单位制造的货物、承担的工程或服务，或提供其他残疾人福利性单位制造的货物（不包括使用非残疾人福利性单位注册商标的货物）。</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17.4信用记录指由财政部确定的有关网站提供的相关主体信用信息。信用记录的查询及使用应符合财政部文件（财库[2016]125号）规定。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17.5为落实政府采购政策需满足的要求：详见招标文件第一章。</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九、本项目的有关信息</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18、本项目的有关信息，包括但不限于：招标公告、更正公告（若有）、招标文件、招标文件的澄清或修改（若有）、中标公告、终止公告（若有）、废标公告（若有）等都将在招标文件载明的指定媒体发布。</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18.1指定媒体：详见招标文件第二章。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18.2本项目的潜在投标人或投标人应随时关注指定媒体，否则产生不利后果由其自行承担。</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十、其他事项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19、其他事项：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19.2其他：详见招标文件第二章。</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3"/>
        <w:widowControl/>
        <w:shd w:val="clear" w:color="auto" w:fill="FFFFFF"/>
        <w:spacing w:beforeAutospacing="0" w:afterAutospacing="0" w:line="480" w:lineRule="atLeast"/>
        <w:jc w:val="center"/>
        <w:rPr>
          <w:rFonts w:hint="default" w:cs="宋体"/>
          <w:color w:val="auto"/>
          <w:sz w:val="39"/>
          <w:szCs w:val="39"/>
        </w:rPr>
      </w:pPr>
      <w:r>
        <w:rPr>
          <w:rFonts w:cs="宋体"/>
          <w:color w:val="auto"/>
          <w:sz w:val="39"/>
          <w:szCs w:val="39"/>
          <w:shd w:val="clear" w:color="auto" w:fill="FFFFFF"/>
        </w:rPr>
        <w:t>第四章 资格审查与评标</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一、资格审查</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1、开标结束后，由 福建闽辉招标代理有限公司 负责资格审查小组的组建及资格审查工作的组织。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1.1资格审查小组</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资格审查小组由3人组成，并负责具体审查事务， 其中由采购人派出的采购人代表至少1人， 由福建闽辉招标代理有限公司派出的工作人员至少1人， 其余1人可为采购人代表或福建闽辉招标代理有限公司的工作人员。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1.2资格审查的依据是招标文件和电子投标文件。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1.3资格审查的范围及内容：电子投标文件（资格及资信证明部分），具体如下：</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（1）“投标函”；</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（2）“投标人的资格及资信证明文件”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①一般资格证明文件：</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采购包1：</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602"/>
        <w:gridCol w:w="1761"/>
        <w:gridCol w:w="618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序号</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资格审查要求概况</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评审点具体描述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单位授权书</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营业执照等证明文件</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3</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提供财务状况报告(财务报告、或资信证明）</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4</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依法缴纳税收证明材料</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5</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依法缴纳社会保障资金证明材料</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6</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具备履行合同所必需设备和专业技术能力的声明函(若有)</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7</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参加采购活动前三年内在经营活动中没有重大违法记录的声明</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8</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信用记录查询结果</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9</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中小企业声明函（以资格条件落实中小企业扶持政策时适用 ）</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0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10</w:t>
            </w:r>
          </w:p>
        </w:tc>
        <w:tc>
          <w:tcPr>
            <w:tcW w:w="176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联合体协议（若有）</w:t>
            </w:r>
          </w:p>
        </w:tc>
        <w:tc>
          <w:tcPr>
            <w:tcW w:w="61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①招标文件接受联合体投标且投标人为联合体的，投标人应提供本协议；否则无须提供。 ②本协议由委托代理人签字或盖章的，应按照招标文件第七章载明的格式提供“单位授权书”。</w:t>
            </w:r>
          </w:p>
        </w:tc>
      </w:tr>
    </w:tbl>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※备注说明</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①投标人应根据自身实际情况提供上述资格要求的证明材料，格式可参考招标文件第七章提供。</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②投标人提供的相应证明材料复印件均应符合：内容完整、清晰、整洁，并由投标人加盖其单位公章。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②.其他资格证明文件：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采购包1：</w:t>
      </w:r>
    </w:p>
    <w:tbl>
      <w:tblPr>
        <w:tblStyle w:val="11"/>
        <w:tblW w:w="8546" w:type="dxa"/>
        <w:tblInd w:w="0" w:type="dxa"/>
        <w:tblLayout w:type="fixed"/>
        <w:tblCellMar>
          <w:top w:w="0" w:type="dxa"/>
          <w:left w:w="0" w:type="dxa"/>
          <w:bottom w:w="0" w:type="dxa"/>
          <w:right w:w="0" w:type="dxa"/>
        </w:tblCellMar>
      </w:tblPr>
      <w:tblGrid>
        <w:gridCol w:w="3815"/>
        <w:gridCol w:w="4731"/>
      </w:tblGrid>
      <w:tr>
        <w:tc>
          <w:tcPr>
            <w:tcW w:w="381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资格审查要求概况</w:t>
            </w:r>
          </w:p>
        </w:tc>
        <w:tc>
          <w:tcPr>
            <w:tcW w:w="473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评审点具体描述</w:t>
            </w:r>
          </w:p>
        </w:tc>
      </w:tr>
      <w:tr>
        <w:tblPrEx>
          <w:tblCellMar>
            <w:top w:w="0" w:type="dxa"/>
            <w:left w:w="0" w:type="dxa"/>
            <w:bottom w:w="0" w:type="dxa"/>
            <w:right w:w="0" w:type="dxa"/>
          </w:tblCellMar>
        </w:tblPrEx>
        <w:tc>
          <w:tcPr>
            <w:tcW w:w="8546" w:type="dxa"/>
            <w:gridSpan w:val="2"/>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center"/>
              <w:rPr>
                <w:rFonts w:ascii="宋体" w:hAnsi="宋体" w:eastAsia="宋体" w:cs="宋体"/>
                <w:color w:val="auto"/>
                <w:sz w:val="24"/>
              </w:rPr>
            </w:pPr>
            <w:r>
              <w:rPr>
                <w:rFonts w:hint="eastAsia" w:ascii="宋体" w:hAnsi="宋体" w:eastAsia="宋体" w:cs="宋体"/>
                <w:color w:val="auto"/>
                <w:kern w:val="0"/>
                <w:sz w:val="24"/>
                <w:lang w:bidi="ar"/>
              </w:rPr>
              <w:t>无</w:t>
            </w:r>
          </w:p>
        </w:tc>
      </w:tr>
    </w:tbl>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（3）投标保证金。</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1.4有下列情形之一的，资格审查不合格：</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854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明细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未按照招标文件规定提交投标函</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未按照招标文件规定提交投标人的资格及资信文件</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未按照招标文件规定提交投标保证金</w:t>
            </w:r>
          </w:p>
        </w:tc>
      </w:tr>
    </w:tbl>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采购包1：</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资格审查不合格项：无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1.5若本项目接受联合体投标且投标人为联合体，联合体中有同类资质的供应商按照联合体分工承担相同工作的，应先按照资质等级较低的供应商确定资质等级，再按照本章第1.2、1.3、1.4条规定进行资格审查。</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2、资格审查情况不得私自外泄，有关信息由 福建闽辉招标代理有限公司 统一对外发布。</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3、资格审查合格的投标人不足三家的，不进行评标。同时，本次采购活动结束， 福建闽辉招标代理有限公司 将依法组织后续采购活动（包括但不限于：重新招标、采用其他方式采购等）。</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二、评标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4、资格审查结束后，由 福建闽辉招标代理有限公司 负责评标委员会的组建及评标工作的组织。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5、评标委员会</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由采购人代表和评审专家两部分共7人组成， 其中由福建省政府采购评审专家库产生的评审专家5人， 由采购人派出的采购人代表2人。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5.2评标委员会负责具体评标事务，并按照下列原则依法独立履行有关职责：</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（1）评标应保护国家利益、社会公共利益和各方当事人合法权益，提高采购效益，保证项目质量。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（2）评标应遵循公平、公正、科学、严谨和择优原则。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（3）评标的依据是招标文件和电子投标文件。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（4）应按照招标文件规定推荐中标候选人或确定中标人。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（5）评标应遵守下列评标纪律：</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①评标情况不得私自外泄，有关信息由 福建闽辉招标代理有限公司 统一对外发布。</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②对 福建闽辉招标代理有限公司 或投标人提供的要求保密的资料，不得摘记翻印和外传。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③不得收受投标人或有关人员的任何礼物，不得串联鼓动其他人袒护某投标人。若与投标人存在利害关系，则应主动声明并回避。</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④全体评委应按照招标文件规定进行评标，一切认定事项应查有实据且不得弄虚作假。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⑤评标中应充分发扬民主，推荐中标候选人或确定中标人后要服从评标报告。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※对违反评标纪律的评委，将取消其评委资格，对评标工作造成严重损失者将予以通报批评乃至追究法律责任。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6、评标程序</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6.1评标前的准备工作</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（1）全体评委应认真审阅招标文件，了解评委应履行或遵守的职责、义务和评标纪律。</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（2）参加评标委员会的采购人代表可对本项目的背景和采购需求进行介绍，介绍材料应以书面形式提交（随采购文件一并存档），介绍内容不得含有歧视性、倾向性意见，不得超出招标文件所述范围。</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6.2符合性审查</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（1）评标委员会依据招标文件的实质性要求，对通过资格审查的电子投标文件进行符合性审查，以确定其是否满足招标文件的实质性要求。</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（2）满足招标文件的实质性要求指电子投标文件对招标文件实质性要求的响应不存在重大偏差或保留。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（5）评标委员会对所有投标人都执行相同的程序和标准。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（6）有下列情形之一的，符合性审查不合格：</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①项目一般情形：</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采购包1：</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12"/>
        <w:gridCol w:w="2974"/>
        <w:gridCol w:w="446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1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序号</w:t>
            </w:r>
          </w:p>
        </w:tc>
        <w:tc>
          <w:tcPr>
            <w:tcW w:w="297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符合审查要求概况</w:t>
            </w:r>
          </w:p>
        </w:tc>
        <w:tc>
          <w:tcPr>
            <w:tcW w:w="446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评审点具体描述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1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w:t>
            </w:r>
          </w:p>
        </w:tc>
        <w:tc>
          <w:tcPr>
            <w:tcW w:w="297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情形1</w:t>
            </w:r>
          </w:p>
        </w:tc>
        <w:tc>
          <w:tcPr>
            <w:tcW w:w="446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违反招标文件中载明“投标无效”条款的规定；</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1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w:t>
            </w:r>
          </w:p>
        </w:tc>
        <w:tc>
          <w:tcPr>
            <w:tcW w:w="297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情形2</w:t>
            </w:r>
          </w:p>
        </w:tc>
        <w:tc>
          <w:tcPr>
            <w:tcW w:w="446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属于招标文件第三章第10.12条规定的投标无效情形；</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1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3</w:t>
            </w:r>
          </w:p>
        </w:tc>
        <w:tc>
          <w:tcPr>
            <w:tcW w:w="297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情形3</w:t>
            </w:r>
          </w:p>
        </w:tc>
        <w:tc>
          <w:tcPr>
            <w:tcW w:w="446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投标文件对招标文件实质性要求的响应存在重大偏离或保留。</w:t>
            </w:r>
          </w:p>
        </w:tc>
      </w:tr>
    </w:tbl>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②本项目规定的其他情形：</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采购包1：</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技术符合性</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709"/>
        <w:gridCol w:w="68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明细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按照闽财购〔2010〕28号文件规定，若投标人的技术部分实际得分少于招标文件设定的技术部分总分的50%，即视为技术部分未实质性响应招标文件要求，按无效投标处理。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技术部分中不得出现报价部分的全部或部分的投标报价信息（或组成资料），否则符合性审查不合格。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不符合招标文件中规定的其它实质性要求条款的视为无效投标。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投标文件的技术部分中出现报价部分的全部或部分的投标报价信息(或组成资料)。</w:t>
            </w:r>
          </w:p>
        </w:tc>
      </w:tr>
    </w:tbl>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商务符合性</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709"/>
        <w:gridCol w:w="68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明细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未按照招标文件规定要求签署、盖章的。</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属于招标文件规定的符合性检查不合格情形。</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不符合招标文件中规定的实质性要求和条件、无效投标条款的。</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属于招标文件规定评标委员会应否决其投标的情形。</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70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其他情形</w:t>
            </w:r>
          </w:p>
        </w:tc>
        <w:tc>
          <w:tcPr>
            <w:tcW w:w="683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招标文件第五章“三、商务条件”中内容出负偏离的，按无效投标处理。</w:t>
            </w:r>
          </w:p>
        </w:tc>
      </w:tr>
    </w:tbl>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附加符合性：无</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价格符合性：无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6.3澄清有关问题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（1）对通过符合性审查的电子投标文件中含义不明确、同类问题表述不一致或有明显文字和计算错误的内容，评标委员会将以书面形式要求投标人作出必要的澄清、说明或补正。</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（3）电子投标文件报价出现前后不一致的，除招标文件另有规定外，按照下列规定修正：</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①开标一览表内容与电子投标文件中相应内容不一致的，以开标一览表为准；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②大写金额和小写金额不一致的，以大写金额为准；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③单价金额小数点或百分比有明显错位的，以开标一览表的总价为准，并修改单价；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④总价金额与按照单价汇总金额不一致的，以单价金额计算结果为准。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※同时出现两种以上不一致的，按照前款规定的顺序修正。修正后的报价应按照本章第6.3条第（1）、（2）款规定经投标人确认后产生约束力，投标人不确认的，其投标无效。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（4）关于细微偏差</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②评标委员会将以书面形式要求存在细微偏差的投标人在评标委员会规定的时间内予以补正。若无法补正，则评标委员会将按照不利于投标人的内容进行认定。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（5）关于投标描述（即电子投标文件中描述的内容）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①投标描述前后不一致且不涉及证明材料的：按照本章第6.3条第（1）、（2）款规定执行。</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②投标描述与证明材料不一致或多份证明材料之间不一致的：</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a.评标委员会将要求投标人进行书面澄清，并按照不利于投标人的内容进行评标。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6.4比较与评价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（1）按照本章第7条载明的评标方法和标准，对符合性审查合格的电子投标文件进行比较与评价。</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（2）关于相同品牌产品（政府采购服务类项目不适用本条款规定）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a.招标文件规定的方式：</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b.招标文件未规定的，采取随机抽取方式确定，其他投标无效。</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a.招标文件规定的方式：</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b.招标文件未规定的，采取随机抽取方式确定，其他同品牌投标人不作为中标候选人。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③非单一产品采购项目，多家投标人提供的核心产品品牌相同的，按照本章第6.4条第（2）款第①、②规定处理。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（3）漏（缺）项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①招标文件中要求列入报价的费用（含配置、功能），漏（缺）项的报价视为已经包括在投标总价中。</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②对多报项及赠送项的价格评标时不予核减，全部进入评标价评议。</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6.5推荐中标候选人：详见本章第7.2条规定。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6.6编写评标报告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（1）评标报告由评标委员会负责编写。</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（2）评标报告应包括下列内容：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①招标公告刊登的媒体名称、开标日期和地点；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②投标人名单和评标委员会成员名单；</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③评标方法和标准；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④开标记录和评标情况及说明，包括无效投标人名单及原因；</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⑤评标结果，包括中标候选人名单或确定的中标人；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⑥其他需要说明的情况，包括但不限于：评标过程中投标人的澄清、说明或补正，评委更换等。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6.8评委对需要共同认定的事项存在争议的，应按照少数服从多数的原则进行认定。持不同意见的评委应在评标报告上签署不同意见及理由，否则视为同意评标报告。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6.9在评标过程中发现投标人有下列情形之一的，评标委员会应认定其投标无效，并书面报告本项目监督管理部门：</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（1）恶意串通（包括但不限于招标文件第三章第9.7条规定情形）；</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（2）妨碍其他投标人的竞争行为；</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（3）损害采购人或其他投标人的合法权益。</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6.10评标过程中，有下列情形之一的，应予废标：</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（1）符合性审查合格的投标人不足三家的；</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（2）有关法律、法规和规章规定废标的情形。</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※若废标，则本次采购活动结束， 福建闽辉招标代理有限公司 将依法组织后续采购活动（包括但不限于：重新招标、采用其他方式采购等）。</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7、评标方法和标准</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7.1评标方法：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采购包1：综合评分法</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7.2评标标准</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采购包1：综合评分法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（1）投标文件满足招标文件全部实质性要求，且按照评审因素的量化指标评审得分（即评标总得分）最高的投标人为中标候选人。</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各项评审因素的设置如下：</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价格项（F1×A1）满分为30.00分</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价格扣除的规则如下：</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72"/>
        <w:gridCol w:w="1235"/>
        <w:gridCol w:w="583"/>
        <w:gridCol w:w="535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项目</w:t>
            </w:r>
          </w:p>
        </w:tc>
        <w:tc>
          <w:tcPr>
            <w:tcW w:w="123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适用对象</w:t>
            </w:r>
          </w:p>
        </w:tc>
        <w:tc>
          <w:tcPr>
            <w:tcW w:w="5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比例</w:t>
            </w:r>
          </w:p>
        </w:tc>
        <w:tc>
          <w:tcPr>
            <w:tcW w:w="535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小型、微型企业，监狱企业，残疾人福利性单位</w:t>
            </w:r>
          </w:p>
        </w:tc>
        <w:tc>
          <w:tcPr>
            <w:tcW w:w="123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投标人或者联合体均为小型、微型企业</w:t>
            </w:r>
          </w:p>
        </w:tc>
        <w:tc>
          <w:tcPr>
            <w:tcW w:w="58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15.00%</w:t>
            </w:r>
          </w:p>
        </w:tc>
        <w:tc>
          <w:tcPr>
            <w:tcW w:w="535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本项目属于货物类采购项目，投标人须按照《中小企业声明函》货物类格式版本提供声明函。采购标的对应的中小企业划分标准所属行业为：工业， 注：投标人应按照招标文件第七章电子投标文件格式中的规定填写并提供《中小企业声明函》未按照要求提供《中小企业声明函》不享受价格扣除政策。 （1）根据《关于印发政府采购促进中小企业发展管理办法的通知》（财库〔2020〕46号）文件、《关于进一步加大政府采购支持中小企业力度的通知》（ 财库〔2022〕19号）文件、《福建省财政厅关于进一步加大政府采购 支持中小企业力度的通知》（闽财规〔2022〕13 号规定，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投标人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民法典》、《中华人民共和国劳动合同法》订立劳动合同的从业人员。在货物采购项目中，投标人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本项目将对符合本办法规定的小微企业报价给予15%（工程项目为3%）的扣除，用扣除后的价格参加评审。中小企业适用价格扣除办法时应提供《中小企业声明函》，否则不予价格扣除。 （2）根据财政部、司法部联合印发《关于政府采购支持监狱企业发展有关问题的通知》（财库【2014】68号）文件规定，符合规定的监狱和戒毒企业(以下简称监狱企业)参加政府采购活动视同小型、微型企业，提供由省级以上监狱管理局、戒毒管理局（含新疆生产建设兵团）出具的属于监狱企业的证明文件，其报价享受15%的评审价格扣除优惠。（3）根据财政部、民政部、中国残疾人联合会联合发布的《关于促进残疾人就业政府采购政策的通知》（财库〔2017〕141号）文件规定，符合规定的残疾人福利性单位参加政府采购活动视同小型、微型企业，提供《残疾人福利性单位声明函》并对声明的真实性负责，其报价享受15%的评审价格扣除优惠，但残疾人福利性单位属于小型、微型企业的，不重复享受该评审优惠。残疾人福利性单位参与货物项目的，须在投标文件中写明具体哪些货物是由本单位制造，或者由其他残疾人福利性单位制造（不包括使用非残疾人福利性单位注册商标的货物），并对其进行标注。 注：1、依据本办法规定享受扶持政策获得政府采购合同的，小微企业不得将合同分包给大中型企业，中型企业不得将合同分包给大型企业。2、投标人提供声明函内容不实的或提供虚假证明文件的，均属于提供虚假材料谋取中标、成交，一经发现将依照《中华人民共和国政府采购法》等国家有关规定追究相应责任。</w:t>
            </w:r>
          </w:p>
        </w:tc>
      </w:tr>
    </w:tbl>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其他：无</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技术项（F2×A2）满分为55.00分</w:t>
      </w:r>
    </w:p>
    <w:tbl>
      <w:tblPr>
        <w:tblStyle w:val="11"/>
        <w:tblW w:w="10382" w:type="dxa"/>
        <w:tblInd w:w="-798"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73"/>
        <w:gridCol w:w="946"/>
        <w:gridCol w:w="806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7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项目</w:t>
            </w:r>
          </w:p>
        </w:tc>
        <w:tc>
          <w:tcPr>
            <w:tcW w:w="9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分值</w:t>
            </w:r>
          </w:p>
        </w:tc>
        <w:tc>
          <w:tcPr>
            <w:tcW w:w="806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7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1、技术响应</w:t>
            </w:r>
          </w:p>
        </w:tc>
        <w:tc>
          <w:tcPr>
            <w:tcW w:w="9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55.00</w:t>
            </w:r>
          </w:p>
        </w:tc>
        <w:tc>
          <w:tcPr>
            <w:tcW w:w="806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cs="宋体"/>
                <w:color w:val="auto"/>
                <w:kern w:val="0"/>
                <w:sz w:val="24"/>
              </w:rPr>
              <w:t>根据各投标人所投设备对第五章《招标内容及要求》二、技术和服务要求”的各项要求的响应、承诺情况，由评委进行评分，投标人所投产品的技术参数完全满足招标文件要求的得</w:t>
            </w:r>
            <w:r>
              <w:rPr>
                <w:rFonts w:ascii="宋体" w:hAnsi="宋体" w:cs="宋体"/>
                <w:color w:val="auto"/>
                <w:kern w:val="0"/>
                <w:sz w:val="24"/>
              </w:rPr>
              <w:t>5</w:t>
            </w:r>
            <w:r>
              <w:rPr>
                <w:rFonts w:hint="eastAsia" w:ascii="宋体" w:hAnsi="宋体" w:cs="宋体"/>
                <w:color w:val="auto"/>
                <w:kern w:val="0"/>
                <w:sz w:val="24"/>
              </w:rPr>
              <w:t>5分。标注“★”号的指标项有负偏离的视为未实质性响应招标文件要求，按无效投标处理（共5项）；带“▲”的指标项（共</w:t>
            </w:r>
            <w:r>
              <w:rPr>
                <w:rFonts w:hint="eastAsia" w:ascii="宋体" w:hAnsi="宋体" w:cs="宋体"/>
                <w:color w:val="auto"/>
                <w:kern w:val="0"/>
                <w:sz w:val="24"/>
                <w:lang w:val="en-US" w:eastAsia="zh-CN"/>
              </w:rPr>
              <w:t>39</w:t>
            </w:r>
            <w:r>
              <w:rPr>
                <w:rFonts w:hint="eastAsia" w:ascii="宋体" w:hAnsi="宋体" w:cs="宋体"/>
                <w:color w:val="auto"/>
                <w:kern w:val="0"/>
                <w:sz w:val="24"/>
              </w:rPr>
              <w:t>项），每偏离一项扣</w:t>
            </w:r>
            <w:r>
              <w:rPr>
                <w:rFonts w:hint="eastAsia" w:ascii="宋体" w:hAnsi="宋体" w:cs="宋体"/>
                <w:color w:val="auto"/>
                <w:kern w:val="0"/>
                <w:sz w:val="24"/>
                <w:lang w:val="en-US" w:eastAsia="zh-CN"/>
              </w:rPr>
              <w:t>1.0</w:t>
            </w:r>
            <w:r>
              <w:rPr>
                <w:rFonts w:hint="eastAsia" w:ascii="宋体" w:hAnsi="宋体" w:cs="宋体"/>
                <w:color w:val="auto"/>
                <w:kern w:val="0"/>
                <w:sz w:val="24"/>
              </w:rPr>
              <w:t>分；未标注符号的指标项（共39</w:t>
            </w:r>
            <w:r>
              <w:rPr>
                <w:rFonts w:hint="eastAsia" w:ascii="宋体" w:hAnsi="宋体" w:cs="宋体"/>
                <w:color w:val="auto"/>
                <w:kern w:val="0"/>
                <w:sz w:val="24"/>
                <w:lang w:val="en-US" w:eastAsia="zh-CN"/>
              </w:rPr>
              <w:t>8</w:t>
            </w:r>
            <w:r>
              <w:rPr>
                <w:rFonts w:hint="eastAsia" w:ascii="宋体" w:hAnsi="宋体" w:cs="宋体"/>
                <w:color w:val="auto"/>
                <w:kern w:val="0"/>
                <w:sz w:val="24"/>
              </w:rPr>
              <w:t>项），每负偏离一项扣0.1分，扣完为止，正偏离不加分。注：招标文件中技术指标若有要求投标人提供相应佐证材料的，投标人未提供相应佐证材料或者投标人的响应承诺与其佐证材料不一致的，评标委员会将以不利于投标人的内容为准进行评审（负偏离）。</w:t>
            </w:r>
          </w:p>
        </w:tc>
      </w:tr>
    </w:tbl>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商务项（F3×A3）满分为15.00分</w:t>
      </w:r>
    </w:p>
    <w:tbl>
      <w:tblPr>
        <w:tblStyle w:val="11"/>
        <w:tblW w:w="10346" w:type="dxa"/>
        <w:tblInd w:w="-752"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50"/>
        <w:gridCol w:w="900"/>
        <w:gridCol w:w="809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项目</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分值</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1、业绩</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hint="eastAsia" w:ascii="宋体" w:hAnsi="宋体" w:eastAsia="宋体" w:cs="宋体"/>
                <w:color w:val="auto"/>
                <w:sz w:val="24"/>
                <w:lang w:eastAsia="zh-CN"/>
              </w:rPr>
            </w:pPr>
            <w:r>
              <w:rPr>
                <w:rFonts w:hint="eastAsia" w:ascii="宋体" w:hAnsi="宋体" w:eastAsia="宋体" w:cs="宋体"/>
                <w:color w:val="auto"/>
                <w:kern w:val="0"/>
                <w:sz w:val="24"/>
                <w:lang w:bidi="ar"/>
              </w:rPr>
              <w:t>投标人提供的2018年1月1日（以签订合同日期为准）至今完成的类似项目业绩情况，每提供一份完整的业绩材料的得0.5分，满分2分。（须提供该业绩项目的中标（成交）公告（提供相关网站的下载网页及其网址）、中标（成交）通知书、采购合同文本以及能够证明该业绩项目已经采购单位验收合格的相关证明文件复印件（或采购单位付款银行对账单），并罗列业绩清单。未能提供业绩的或业绩资料提供不齐全，不得分）</w:t>
            </w:r>
            <w:r>
              <w:rPr>
                <w:rFonts w:hint="eastAsia" w:ascii="宋体" w:hAnsi="宋体" w:eastAsia="宋体" w:cs="宋体"/>
                <w:color w:val="auto"/>
                <w:kern w:val="0"/>
                <w:sz w:val="24"/>
                <w:lang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2、项目专 业人员 要求</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投标人拟投入本项目技术人员具有环境保护相关专业副高及以上工程师职称得1分、具有电子仪器与测量技术专业的研究员资格证书副高及以上工程师职称得1分，满分2分。（注：一人有多个职称的，按照一个得分，须提供人员有效证书复印件及在投标截止时间前6个月中任意一个月（不含投标截止时间当月）由投标人为其缴纳的社保凭证复印件，否则不得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3、培训计划</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3.00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根据投标人的投标文件中对采购人的管理人员、操作人员及设备维护人员进行培训、学术支持等承诺情况由评委进行打分：培训计划内容符合实际、合理的得3分，培训计划内容较符合实际、较合理的得2分，培训计划内容一般的得1分，差的或未提供的不得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4、售后服务</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根据投标人提供的售后服务方案：定期维护保养、故障响应时间及维护方案、专业维护人员培训等 。1）技术支持全面、产品保修期及售后服务保障措施有力周到、响应时间快的、有详细的售后服务手册的得2分；2）技术支持较全面、产品保修期及售后服务保障措施较好、响应时间较快的、有售后服务手册的的得1分；3）技术支持满足基本需求、产品保修期及售后服务保障措施满足基本需求、响应时间一般、有售后服务手册的得0.5分；未提供方案不得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5、质保期</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highlight w:val="yellow"/>
              </w:rPr>
            </w:pPr>
            <w:r>
              <w:rPr>
                <w:rFonts w:hint="eastAsia" w:ascii="宋体" w:hAnsi="宋体" w:eastAsia="宋体" w:cs="宋体"/>
                <w:color w:val="auto"/>
                <w:kern w:val="0"/>
                <w:sz w:val="24"/>
                <w:lang w:bidi="ar"/>
              </w:rPr>
              <w:t>1.00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hint="eastAsia" w:ascii="宋体" w:hAnsi="宋体" w:eastAsia="宋体" w:cs="宋体"/>
                <w:color w:val="auto"/>
                <w:sz w:val="24"/>
                <w:highlight w:val="yellow"/>
                <w:lang w:eastAsia="zh-CN"/>
              </w:rPr>
            </w:pPr>
            <w:r>
              <w:rPr>
                <w:rFonts w:hint="eastAsia" w:ascii="宋体" w:hAnsi="宋体" w:eastAsia="宋体" w:cs="宋体"/>
                <w:color w:val="auto"/>
                <w:kern w:val="0"/>
                <w:sz w:val="24"/>
                <w:lang w:bidi="ar"/>
              </w:rPr>
              <w:t>根据各投标人对本项目仪器整体的质保期响应情况进行评审，在满足招标文件免费质保期2年基础上，增加1年的加1分，本项满分1分。投标人应提供质保期书面承诺，并加盖投标人单位公章，否则不得分。（质保期时间起始以通过检测并验收合格之日为准）</w:t>
            </w:r>
            <w:r>
              <w:rPr>
                <w:rFonts w:hint="eastAsia" w:ascii="宋体" w:hAnsi="宋体" w:eastAsia="宋体" w:cs="宋体"/>
                <w:color w:val="auto"/>
                <w:kern w:val="0"/>
                <w:sz w:val="24"/>
                <w:lang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6、实验室设备配套设施备用品方案</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根据各投标人所提供的实验室设备配套设施的备用品方案（包含备品种类、数量、备品供货流程）由评标委员会进行评分：方案包含的要点齐全无缺漏项、内容与要点相符、内容完善且能够适用于本项目的得2分；所包含的要点齐全、内容与要点相符，但仅有纲要内容简略，未展开阐述的得1分；所包含的要点有缺漏或无实质性内容的不得分，存在错误的或未提供方案的本项不得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7、应急解决方案</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2.00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hint="eastAsia" w:ascii="宋体" w:hAnsi="宋体" w:eastAsia="宋体" w:cs="宋体"/>
                <w:color w:val="auto"/>
                <w:sz w:val="24"/>
                <w:lang w:eastAsia="zh-CN"/>
              </w:rPr>
            </w:pPr>
            <w:r>
              <w:rPr>
                <w:rFonts w:hint="eastAsia" w:ascii="宋体" w:hAnsi="宋体" w:eastAsia="宋体" w:cs="宋体"/>
                <w:color w:val="auto"/>
                <w:kern w:val="0"/>
                <w:sz w:val="24"/>
                <w:lang w:bidi="ar"/>
              </w:rPr>
              <w:t>根据各投标人提供设备异常的应急解决方案由评委进行评审：1）有提供解决方案的得0.5分；2）在1）的基础上所提供的解决方案思路清晰、能充分考虑用户需求的加1分；3）在2）的此基础上能根据项目特点进行针对性细化、提出的解决方案能达到使采购人在将来在运用过程中使用更方便、更便于维护管理的加1分；本项满分2分。（未按照要求提供相关方案的不得分）</w:t>
            </w:r>
            <w:r>
              <w:rPr>
                <w:rFonts w:hint="eastAsia" w:ascii="宋体" w:hAnsi="宋体" w:eastAsia="宋体" w:cs="宋体"/>
                <w:color w:val="auto"/>
                <w:kern w:val="0"/>
                <w:sz w:val="24"/>
                <w:lang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3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8、满意度</w:t>
            </w:r>
          </w:p>
        </w:tc>
        <w:tc>
          <w:tcPr>
            <w:tcW w:w="90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1.00</w:t>
            </w:r>
          </w:p>
        </w:tc>
        <w:tc>
          <w:tcPr>
            <w:tcW w:w="809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hint="eastAsia" w:ascii="宋体" w:hAnsi="宋体" w:eastAsia="宋体" w:cs="宋体"/>
                <w:color w:val="auto"/>
                <w:sz w:val="24"/>
                <w:lang w:eastAsia="zh-CN"/>
              </w:rPr>
            </w:pPr>
            <w:r>
              <w:rPr>
                <w:rFonts w:hint="eastAsia" w:ascii="宋体" w:hAnsi="宋体" w:eastAsia="宋体" w:cs="宋体"/>
                <w:color w:val="auto"/>
                <w:kern w:val="0"/>
                <w:sz w:val="24"/>
                <w:lang w:bidi="ar"/>
              </w:rPr>
              <w:t>根据投标人提供2018年1月1日至本项目投标截止时间止（日期以合同签订时间为准），由投标人已完成与本次招标类似项目的采购人单位满意证明材料进行打分，每提供一份完整的满意证明材料（注：满意证明材料需能说明采购人对投标人的服务持肯定、满意态度）的得0.25分，满分1分。完整的满意证明材料应包括采购人单位出具的满意证明材料及双方签定的合同复印件，未提供不得分。（此项分值与业绩的项目不重复得分，同一单位视同一家）</w:t>
            </w:r>
            <w:r>
              <w:rPr>
                <w:rFonts w:hint="eastAsia" w:ascii="宋体" w:hAnsi="宋体" w:eastAsia="宋体" w:cs="宋体"/>
                <w:color w:val="auto"/>
                <w:kern w:val="0"/>
                <w:sz w:val="24"/>
                <w:lang w:eastAsia="zh-CN" w:bidi="ar"/>
              </w:rPr>
              <w:t>。</w:t>
            </w:r>
          </w:p>
        </w:tc>
      </w:tr>
    </w:tbl>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加分项（F4×A4）</w:t>
      </w:r>
    </w:p>
    <w:tbl>
      <w:tblPr>
        <w:tblStyle w:val="11"/>
        <w:tblW w:w="10312" w:type="dxa"/>
        <w:tblInd w:w="-706"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097"/>
        <w:gridCol w:w="1084"/>
        <w:gridCol w:w="81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09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项目</w:t>
            </w:r>
          </w:p>
        </w:tc>
        <w:tc>
          <w:tcPr>
            <w:tcW w:w="1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分值</w:t>
            </w:r>
          </w:p>
        </w:tc>
        <w:tc>
          <w:tcPr>
            <w:tcW w:w="813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描述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c>
          <w:tcPr>
            <w:tcW w:w="109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节能、环境标志产品</w:t>
            </w:r>
          </w:p>
        </w:tc>
        <w:tc>
          <w:tcPr>
            <w:tcW w:w="1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right"/>
              <w:rPr>
                <w:rFonts w:ascii="宋体" w:hAnsi="宋体" w:eastAsia="宋体" w:cs="宋体"/>
                <w:color w:val="auto"/>
                <w:sz w:val="24"/>
              </w:rPr>
            </w:pPr>
            <w:r>
              <w:rPr>
                <w:rFonts w:hint="eastAsia" w:ascii="宋体" w:hAnsi="宋体" w:eastAsia="宋体" w:cs="宋体"/>
                <w:color w:val="auto"/>
                <w:kern w:val="0"/>
                <w:sz w:val="24"/>
                <w:lang w:bidi="ar"/>
              </w:rPr>
              <w:t>6.80</w:t>
            </w:r>
          </w:p>
        </w:tc>
        <w:tc>
          <w:tcPr>
            <w:tcW w:w="813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本次采购属于《节能产品政府采购品目清单》、《环境标志产品政府采购品目清单》中优先采购节能、环境标志产品的，供应商若提供国家确定的认证机构出具的、处于有效期之内的节能产品、环境标志产品认证证书则按以下优惠内容及幅度进行评审：①同一合同包内的节能、减排、环境标志产品各报价总金额占本合同包报价总金额10%（含10%）以下，给予每个单项投标报价3%的价格扣除；②同一合同包内的节能、减排、环境标志产品各报价总金额占本合同包报价总金额10%-30%（含30%），给予每个单项投标报价6%的价格扣除；③同一合同包内的节能、减排、环境标志产品各报价总金额占本合同包报价总金额30%-50%（含50%），给予每个单项投标报价8%的价格扣除；④同一合同包内的节能、减排、环境标志产品各报价总金额占本合同包报价总金额50%以上，给予每个单项投标报价10%的价格扣。 3、对于同时列入财政部、环境保护部公示的《环境标志产品政府采购品目清单》和财政部、国家发展改革委公示的《节能产品政府采购品目清单》的产品，应当优先于只获得其中一项认证的产品。供应商在投标时必须对属于节能、环境标志产品单独在节能(非强制类)、环境标志产品统计表中填写，并提供产品的证明资料复印件（国家确定的认证机构出具的、处于有效期之内的节能产品、环境标志产品认证证书）附在报价部分(电子证明资料应上传在对应评分模块)且加盖供应商公章。未单独分项报价或未按规定提供产品的证明资料的不给予价格扣除。若节能、环境标志品目清单内的产品仅是构成投标产品的部件、组件或零件的，则该投标产品不享受鼓励优惠政策。 注：评标委员会审查此项响应性只根据投标文件本身的内容，而不寻求其他的外部证据。(本文件中其他有关附加部分评审中节能、环境标志产品描述情况与此处不一致，以此处为准)</w:t>
            </w:r>
          </w:p>
        </w:tc>
      </w:tr>
    </w:tbl>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（4）中标候选人排列规则顺序如下：</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a.按照评标总得分（FA）由高到低顺序排列。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b.评标总得分（FA）相同的，按照评标价（即价格扣除后的投标报价）由低到高顺序排列。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c.评标总得分（FA）且评标价（即价格扣除后的投标报价）相同的并列。</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8、其他规定</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8.1评标应全程保密且不得透露给任一投标人或与评标工作无关的人员。</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8.2评标将进行全程实时录音录像，录音录像资料随采购文件一并存档。</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8.3若投标人有任何试图干扰具体评标事务，影响评标委员会独立履行职责的行为，其投标无效且不予退还投标保证金或通过投标保函进行索赔。情节严重的，由财政部门列入不良行为记录。</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8.4其他：</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无</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rPr>
          <w:rFonts w:ascii="宋体" w:hAnsi="宋体" w:eastAsia="宋体" w:cs="宋体"/>
          <w:color w:val="auto"/>
          <w:sz w:val="39"/>
          <w:szCs w:val="39"/>
          <w:shd w:val="clear" w:color="auto" w:fill="FFFFFF"/>
        </w:rPr>
      </w:pPr>
      <w:r>
        <w:rPr>
          <w:rFonts w:hint="eastAsia" w:ascii="宋体" w:hAnsi="宋体" w:eastAsia="宋体" w:cs="宋体"/>
          <w:color w:val="auto"/>
          <w:sz w:val="39"/>
          <w:szCs w:val="39"/>
          <w:shd w:val="clear" w:color="auto" w:fill="FFFFFF"/>
        </w:rPr>
        <w:br w:type="page"/>
      </w:r>
    </w:p>
    <w:p>
      <w:pPr>
        <w:pStyle w:val="3"/>
        <w:widowControl/>
        <w:shd w:val="clear" w:color="auto" w:fill="FFFFFF"/>
        <w:spacing w:beforeAutospacing="0" w:afterAutospacing="0" w:line="480" w:lineRule="atLeast"/>
        <w:jc w:val="center"/>
        <w:rPr>
          <w:rFonts w:hint="default" w:cs="宋体"/>
          <w:color w:val="auto"/>
          <w:sz w:val="39"/>
          <w:szCs w:val="39"/>
        </w:rPr>
      </w:pPr>
      <w:r>
        <w:rPr>
          <w:rFonts w:cs="宋体"/>
          <w:color w:val="auto"/>
          <w:sz w:val="39"/>
          <w:szCs w:val="39"/>
          <w:shd w:val="clear" w:color="auto" w:fill="FFFFFF"/>
        </w:rPr>
        <w:t>第五章 招标内容及要求</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一、项目概况（采购标的）</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1、本次采购项目为：福建省环境科学研究院省级危险废物鉴别中心建设项目，货物的制造标准及技术规范等有关资料必须符合相关标准、规范要求，实验室配套设施的安装必须达到交付要求。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 xml:space="preserve"> 2、本项目核心产品为：高效液相色谱质谱联用仪（HPLC-MS）、电感耦合等离子质谱仪（ICP-MS）和离子色谱仪</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二、技术和服务要求（以“★”标示的内容为不允许负偏离的实质性要求）</w:t>
      </w:r>
    </w:p>
    <w:p>
      <w:pPr>
        <w:pStyle w:val="2"/>
        <w:widowControl/>
        <w:spacing w:before="346" w:beforeAutospacing="0" w:after="330" w:afterAutospacing="0" w:line="480" w:lineRule="atLeast"/>
        <w:ind w:left="-136"/>
        <w:rPr>
          <w:rFonts w:hint="default" w:cs="宋体"/>
          <w:color w:val="auto"/>
          <w:sz w:val="78"/>
          <w:szCs w:val="78"/>
        </w:rPr>
      </w:pPr>
      <w:r>
        <w:rPr>
          <w:rStyle w:val="13"/>
          <w:rFonts w:cs="宋体"/>
          <w:b/>
          <w:color w:val="auto"/>
          <w:sz w:val="36"/>
          <w:szCs w:val="36"/>
          <w:shd w:val="clear" w:color="auto" w:fill="FFFFFF"/>
        </w:rPr>
        <w:t>品目1：气相色谱质谱联用仪（</w:t>
      </w:r>
      <w:r>
        <w:rPr>
          <w:rStyle w:val="13"/>
          <w:rFonts w:hint="default" w:ascii="Times New Roman" w:hAnsi="Times New Roman"/>
          <w:b/>
          <w:color w:val="auto"/>
          <w:sz w:val="36"/>
          <w:szCs w:val="36"/>
          <w:shd w:val="clear" w:color="auto" w:fill="FFFFFF"/>
        </w:rPr>
        <w:t>GC-MS</w:t>
      </w:r>
      <w:r>
        <w:rPr>
          <w:rStyle w:val="13"/>
          <w:rFonts w:cs="宋体"/>
          <w:b/>
          <w:color w:val="auto"/>
          <w:sz w:val="36"/>
          <w:szCs w:val="36"/>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951-2018、HJ 711-2014、HJ 643-2013、HJ 714-2014、HJ 713-2014、HJ 874-2017、GB 5085.3—2007附录K等测试方法相关要求。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Fonts w:hint="eastAsia" w:ascii="宋体" w:hAnsi="宋体" w:eastAsia="宋体" w:cs="宋体"/>
          <w:color w:val="auto"/>
          <w:shd w:val="clear" w:color="auto" w:fill="FFFFFF"/>
        </w:rPr>
        <w:t>1.1、主机可以扩展安装四个检测器，四个检测器信号能够同时采集。</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w:t>
      </w:r>
      <w:r>
        <w:rPr>
          <w:rFonts w:hint="eastAsia" w:ascii="宋体" w:hAnsi="宋体" w:eastAsia="宋体" w:cs="宋体"/>
          <w:color w:val="auto"/>
          <w:shd w:val="clear" w:color="auto" w:fill="FFFFFF"/>
        </w:rPr>
        <w:t>1.2、具备9种EFC电子流量控制功能，精确控制载气、分流、检测器氢气、空气、尾吹等辅助气的流量与压力</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1.3、柱温箱温度范围：最高温度≥450</w:t>
      </w:r>
      <w:r>
        <w:rPr>
          <w:rFonts w:ascii="微软雅黑" w:hAnsi="微软雅黑" w:eastAsia="微软雅黑" w:cs="微软雅黑"/>
          <w:color w:val="auto"/>
          <w:shd w:val="clear" w:color="auto" w:fill="FFFFFF"/>
        </w:rPr>
        <w:t>˚</w:t>
      </w:r>
      <w:r>
        <w:rPr>
          <w:rFonts w:hint="eastAsia" w:ascii="宋体" w:hAnsi="宋体" w:eastAsia="宋体" w:cs="宋体"/>
          <w:color w:val="auto"/>
          <w:shd w:val="clear" w:color="auto" w:fill="FFFFFF"/>
        </w:rPr>
        <w:t>C，温度设置分辨率：0.1</w:t>
      </w:r>
      <w:r>
        <w:rPr>
          <w:rFonts w:hint="eastAsia" w:ascii="微软雅黑" w:hAnsi="微软雅黑" w:eastAsia="微软雅黑" w:cs="微软雅黑"/>
          <w:color w:val="auto"/>
          <w:shd w:val="clear" w:color="auto" w:fill="FFFFFF"/>
        </w:rPr>
        <w:t>˚</w:t>
      </w:r>
      <w:r>
        <w:rPr>
          <w:rFonts w:hint="eastAsia" w:ascii="宋体" w:hAnsi="宋体" w:eastAsia="宋体" w:cs="宋体"/>
          <w:color w:val="auto"/>
          <w:shd w:val="clear" w:color="auto" w:fill="FFFFFF"/>
        </w:rPr>
        <w:t>C</w:t>
      </w:r>
      <w:r>
        <w:rPr>
          <w:rFonts w:hint="eastAsia" w:ascii="宋体" w:hAnsi="宋体" w:eastAsia="宋体" w:cs="宋体"/>
          <w:color w:val="auto"/>
          <w:shd w:val="clear" w:color="auto" w:fill="FFFFFF"/>
          <w:lang w:eastAsia="zh-CN"/>
        </w:rPr>
        <w:t>、</w:t>
      </w:r>
      <w:r>
        <w:rPr>
          <w:rFonts w:hint="eastAsia" w:ascii="宋体" w:hAnsi="宋体" w:eastAsia="宋体" w:cs="宋体"/>
          <w:color w:val="auto"/>
          <w:shd w:val="clear" w:color="auto" w:fill="FFFFFF"/>
        </w:rPr>
        <w:t>最大升温速率：≥75</w:t>
      </w:r>
      <w:r>
        <w:rPr>
          <w:rFonts w:hint="eastAsia" w:ascii="微软雅黑" w:hAnsi="微软雅黑" w:eastAsia="微软雅黑" w:cs="微软雅黑"/>
          <w:color w:val="auto"/>
          <w:shd w:val="clear" w:color="auto" w:fill="FFFFFF"/>
        </w:rPr>
        <w:t>˚</w:t>
      </w:r>
      <w:r>
        <w:rPr>
          <w:rFonts w:hint="eastAsia" w:ascii="宋体" w:hAnsi="宋体" w:eastAsia="宋体" w:cs="宋体"/>
          <w:color w:val="auto"/>
          <w:shd w:val="clear" w:color="auto" w:fill="FFFFFF"/>
        </w:rPr>
        <w:t>C/min（提供产品彩页佐证材料）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Fonts w:hint="eastAsia" w:ascii="宋体" w:hAnsi="宋体" w:eastAsia="宋体" w:cs="宋体"/>
          <w:color w:val="auto"/>
          <w:shd w:val="clear" w:color="auto" w:fill="FFFFFF"/>
        </w:rPr>
        <w:t>1.5、全反控工作站软件具有控制仪器、采集数据、数据处理功能。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Fonts w:hint="eastAsia" w:ascii="宋体" w:hAnsi="宋体" w:eastAsia="宋体" w:cs="宋体"/>
          <w:color w:val="auto"/>
          <w:shd w:val="clear" w:color="auto" w:fill="FFFFFF"/>
        </w:rPr>
        <w:t>1.6、≥3路独立数字信号输出。</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Fonts w:hint="eastAsia" w:ascii="宋体" w:hAnsi="宋体" w:eastAsia="宋体" w:cs="宋体"/>
          <w:color w:val="auto"/>
          <w:shd w:val="clear" w:color="auto" w:fill="FFFFFF"/>
        </w:rPr>
        <w:t>1.7、分流/不分流进样口（S/SL）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Fonts w:hint="eastAsia" w:ascii="宋体" w:hAnsi="宋体" w:eastAsia="宋体" w:cs="宋体"/>
          <w:color w:val="auto"/>
          <w:shd w:val="clear" w:color="auto" w:fill="FFFFFF"/>
        </w:rPr>
        <w:t>1.8、液体自动进样器</w:t>
      </w:r>
      <w:r>
        <w:rPr>
          <w:rFonts w:hint="eastAsia" w:ascii="宋体" w:hAnsi="宋体" w:eastAsia="宋体" w:cs="宋体"/>
          <w:color w:val="auto"/>
        </w:rPr>
        <w:t>：</w:t>
      </w:r>
      <w:r>
        <w:rPr>
          <w:rFonts w:hint="eastAsia" w:ascii="宋体" w:hAnsi="宋体" w:eastAsia="宋体" w:cs="宋体"/>
          <w:color w:val="auto"/>
          <w:shd w:val="clear" w:color="auto" w:fill="FFFFFF"/>
        </w:rPr>
        <w:t>样品容量：≥100位×2 ml进样瓶</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2、质谱部分</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w:t>
      </w:r>
      <w:r>
        <w:rPr>
          <w:rFonts w:hint="eastAsia" w:ascii="宋体" w:hAnsi="宋体" w:eastAsia="宋体" w:cs="宋体"/>
          <w:color w:val="auto"/>
          <w:shd w:val="clear" w:color="auto" w:fill="FFFFFF"/>
        </w:rPr>
        <w:t>2.1、质量范围：最小值≤2.0Da、最大值≥1000Da，软件能完全设置并检测；</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Fonts w:hint="eastAsia" w:ascii="宋体" w:hAnsi="宋体" w:eastAsia="宋体" w:cs="宋体"/>
          <w:color w:val="auto"/>
          <w:shd w:val="clear" w:color="auto" w:fill="FFFFFF"/>
        </w:rPr>
        <w:t>2.2、扫描方式：全扫描、选择离子监测、全扫描和选择离子同步监测、交替扫描；</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Fonts w:hint="eastAsia" w:ascii="宋体" w:hAnsi="宋体" w:eastAsia="宋体" w:cs="宋体"/>
          <w:color w:val="auto"/>
          <w:shd w:val="clear" w:color="auto" w:fill="FFFFFF"/>
        </w:rPr>
        <w:t>2.3、离子化模式：标配电子轰击电离源（EI源）。</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Fonts w:hint="eastAsia" w:ascii="宋体" w:hAnsi="宋体" w:eastAsia="宋体" w:cs="宋体"/>
          <w:color w:val="auto"/>
          <w:shd w:val="clear" w:color="auto" w:fill="FFFFFF"/>
        </w:rPr>
        <w:t>2.4、扫描速度：≥10,000 Da/s，速度全程可调；</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Fonts w:hint="eastAsia" w:ascii="宋体" w:hAnsi="宋体" w:eastAsia="宋体" w:cs="宋体"/>
          <w:color w:val="auto"/>
          <w:shd w:val="clear" w:color="auto" w:fill="FFFFFF"/>
        </w:rPr>
        <w:t>2.5、质量轴稳定性：≤0.10 amu/48 hrs（环境温度变化2℃内）；</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Fonts w:hint="eastAsia" w:ascii="宋体" w:hAnsi="宋体" w:eastAsia="宋体" w:cs="宋体"/>
          <w:color w:val="auto"/>
          <w:shd w:val="clear" w:color="auto" w:fill="FFFFFF"/>
        </w:rPr>
        <w:t>2.6、定量线性范围：不低于6个数量级（≥10</w:t>
      </w:r>
      <w:r>
        <w:rPr>
          <w:rFonts w:hint="eastAsia" w:ascii="宋体" w:hAnsi="宋体" w:eastAsia="宋体" w:cs="宋体"/>
          <w:color w:val="auto"/>
          <w:shd w:val="clear" w:color="auto" w:fill="FFFFFF"/>
          <w:vertAlign w:val="superscript"/>
        </w:rPr>
        <w:t>6</w:t>
      </w:r>
      <w:r>
        <w:rPr>
          <w:rFonts w:hint="eastAsia"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Fonts w:hint="eastAsia" w:ascii="宋体" w:hAnsi="宋体" w:eastAsia="宋体" w:cs="宋体"/>
          <w:color w:val="auto"/>
          <w:shd w:val="clear" w:color="auto" w:fill="FFFFFF"/>
        </w:rPr>
        <w:t>2.7、灵敏度：1pg OFN全扫描EI源的S/N ≥2800:1</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Fonts w:hint="eastAsia" w:ascii="宋体" w:hAnsi="宋体" w:eastAsia="宋体" w:cs="宋体"/>
          <w:color w:val="auto"/>
          <w:shd w:val="clear" w:color="auto" w:fill="FFFFFF"/>
        </w:rPr>
        <w:t>2.8、传输线最高温度：350℃或更高，可调，精度优于0.1℃,质谱仪自控温，不占用气相色谱仪辅助加热区；</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【评标项17】</w:t>
      </w:r>
      <w:r>
        <w:rPr>
          <w:rFonts w:hint="eastAsia" w:ascii="宋体" w:hAnsi="宋体" w:eastAsia="宋体" w:cs="宋体"/>
          <w:color w:val="auto"/>
          <w:shd w:val="clear" w:color="auto" w:fill="FFFFFF"/>
        </w:rPr>
        <w:t>2.9、离子源最高温度：350℃或更高；</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【评标项18】</w:t>
      </w:r>
      <w:r>
        <w:rPr>
          <w:rFonts w:hint="eastAsia" w:ascii="宋体" w:hAnsi="宋体" w:eastAsia="宋体" w:cs="宋体"/>
          <w:color w:val="auto"/>
          <w:shd w:val="clear" w:color="auto" w:fill="FFFFFF"/>
        </w:rPr>
        <w:t>2.10、电子能量：5～241.5eV或更高，可调；</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【评标项19】</w:t>
      </w:r>
      <w:r>
        <w:rPr>
          <w:rFonts w:hint="eastAsia" w:ascii="宋体" w:hAnsi="宋体" w:eastAsia="宋体" w:cs="宋体"/>
          <w:color w:val="auto"/>
          <w:shd w:val="clear" w:color="auto" w:fill="FFFFFF"/>
        </w:rPr>
        <w:t>2.11、离子源材质：整体惰性化高灵敏度离子源；</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Fonts w:hint="eastAsia" w:ascii="宋体" w:hAnsi="宋体" w:eastAsia="宋体" w:cs="宋体"/>
          <w:color w:val="auto"/>
          <w:shd w:val="clear" w:color="auto" w:fill="FFFFFF"/>
        </w:rPr>
        <w:t>2.12、四级杆：高精度金属四极杆，最高可达200</w:t>
      </w:r>
      <w:r>
        <w:rPr>
          <w:rFonts w:hint="eastAsia" w:ascii="微软雅黑" w:hAnsi="微软雅黑" w:eastAsia="微软雅黑" w:cs="微软雅黑"/>
          <w:color w:val="auto"/>
          <w:shd w:val="clear" w:color="auto" w:fill="FFFFFF"/>
        </w:rPr>
        <w:t>˚</w:t>
      </w:r>
      <w:r>
        <w:rPr>
          <w:rFonts w:hint="eastAsia" w:ascii="宋体" w:hAnsi="宋体" w:eastAsia="宋体" w:cs="宋体"/>
          <w:color w:val="auto"/>
          <w:shd w:val="clear" w:color="auto" w:fill="FFFFFF"/>
        </w:rPr>
        <w:t>C；</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【评标项21】</w:t>
      </w:r>
      <w:r>
        <w:rPr>
          <w:rFonts w:hint="eastAsia" w:ascii="宋体" w:hAnsi="宋体" w:eastAsia="宋体" w:cs="宋体"/>
          <w:color w:val="auto"/>
          <w:shd w:val="clear" w:color="auto" w:fill="FFFFFF"/>
        </w:rPr>
        <w:t>3、配置</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3.1、单四极杆气相色谱/质谱联用仪主机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3.2、前级真空泵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3.3、气质联用仪定性定量分析软件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3.4、氦气载气捕集进化器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3.5、分流不分流进样口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3.6、 NIST 2020标准谱库         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3.7、质谱标液八氟萘100fg/μl，1ml；1pg/μl，1ml</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3.8 、30米弱极性低流失毛细柱            1根；</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3.9、安装工具包（含基本耗材、管线、切割器、螺丝刀、扳手等）1套；</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3.10、 100位液体自动进样器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3.11、质谱耗材包（离子源维护工具包、MS接口柱螺帽、质谱端石墨密封垫，10/包、机械泵油*2等）1套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3.12、 10ul液体进样针1只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3.13、 数据采集、输出系统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rPr>
          <w:rFonts w:hint="default" w:cs="宋体"/>
          <w:color w:val="auto"/>
          <w:sz w:val="78"/>
          <w:szCs w:val="78"/>
        </w:rPr>
      </w:pPr>
      <w:r>
        <w:rPr>
          <w:rStyle w:val="13"/>
          <w:rFonts w:cs="宋体"/>
          <w:b/>
          <w:color w:val="auto"/>
          <w:sz w:val="36"/>
          <w:szCs w:val="36"/>
          <w:shd w:val="clear" w:color="auto" w:fill="FFFFFF"/>
        </w:rPr>
        <w:t>品目2： 红外光谱仪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符合GB 5085.6附录O等测试方法相关要求。固体废物中由超临界色谱法可提取的石油烃总量(TRPHS)及10种N-甲基氨基甲酸酯的测定。</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lang w:bidi="ar"/>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Fonts w:hint="eastAsia" w:ascii="宋体" w:hAnsi="宋体" w:eastAsia="宋体" w:cs="宋体"/>
          <w:color w:val="auto"/>
          <w:shd w:val="clear" w:color="auto" w:fill="FFFFFF"/>
        </w:rPr>
        <w:t>1.1、光谱范围：能覆盖7,000 ~ 350 cm</w:t>
      </w:r>
      <w:r>
        <w:rPr>
          <w:rFonts w:hint="eastAsia" w:ascii="宋体" w:hAnsi="宋体" w:eastAsia="宋体" w:cs="宋体"/>
          <w:color w:val="auto"/>
          <w:shd w:val="clear" w:color="auto" w:fill="FFFFFF"/>
          <w:vertAlign w:val="superscript"/>
        </w:rPr>
        <w:t>-1</w:t>
      </w:r>
      <w:r>
        <w:rPr>
          <w:rFonts w:hint="eastAsia" w:ascii="宋体" w:hAnsi="宋体" w:eastAsia="宋体" w:cs="宋体"/>
          <w:color w:val="auto"/>
          <w:shd w:val="clear" w:color="auto" w:fill="FFFFFF"/>
        </w:rPr>
        <w:t>全波段光谱</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Fonts w:hint="eastAsia" w:ascii="宋体" w:hAnsi="宋体" w:eastAsia="宋体" w:cs="宋体"/>
          <w:color w:val="auto"/>
          <w:shd w:val="clear" w:color="auto" w:fill="FFFFFF"/>
        </w:rPr>
        <w:t>1.2、光谱分辨率：≤2cm</w:t>
      </w:r>
      <w:r>
        <w:rPr>
          <w:rFonts w:hint="eastAsia" w:ascii="宋体" w:hAnsi="宋体" w:eastAsia="宋体" w:cs="宋体"/>
          <w:color w:val="auto"/>
          <w:shd w:val="clear" w:color="auto" w:fill="FFFFFF"/>
          <w:vertAlign w:val="superscript"/>
        </w:rPr>
        <w:t>-1</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Fonts w:hint="eastAsia" w:ascii="宋体" w:hAnsi="宋体" w:eastAsia="宋体" w:cs="宋体"/>
          <w:color w:val="auto"/>
          <w:shd w:val="clear" w:color="auto" w:fill="FFFFFF"/>
        </w:rPr>
        <w:t>1.3、波数准确性： ≤0.05cm</w:t>
      </w:r>
      <w:r>
        <w:rPr>
          <w:rFonts w:hint="eastAsia" w:ascii="宋体" w:hAnsi="宋体" w:eastAsia="宋体" w:cs="宋体"/>
          <w:color w:val="auto"/>
          <w:shd w:val="clear" w:color="auto" w:fill="FFFFFF"/>
          <w:vertAlign w:val="superscript"/>
        </w:rPr>
        <w:t>-1</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Fonts w:hint="eastAsia" w:ascii="宋体" w:hAnsi="宋体" w:eastAsia="宋体" w:cs="宋体"/>
          <w:color w:val="auto"/>
          <w:shd w:val="clear" w:color="auto" w:fill="FFFFFF"/>
        </w:rPr>
        <w:t>1.4、波数重现性： ≤0.005cm</w:t>
      </w:r>
      <w:r>
        <w:rPr>
          <w:rFonts w:hint="eastAsia" w:ascii="宋体" w:hAnsi="宋体" w:eastAsia="宋体" w:cs="宋体"/>
          <w:color w:val="auto"/>
          <w:shd w:val="clear" w:color="auto" w:fill="FFFFFF"/>
          <w:vertAlign w:val="superscript"/>
        </w:rPr>
        <w:t>-1</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Fonts w:hint="eastAsia" w:ascii="宋体" w:hAnsi="宋体" w:eastAsia="宋体" w:cs="宋体"/>
          <w:color w:val="auto"/>
          <w:shd w:val="clear" w:color="auto" w:fill="FFFFFF"/>
        </w:rPr>
        <w:t>1.5、信噪比：≥30000：1（1分钟，峰-峰，4cm</w:t>
      </w:r>
      <w:r>
        <w:rPr>
          <w:rFonts w:hint="eastAsia" w:ascii="宋体" w:hAnsi="宋体" w:eastAsia="宋体" w:cs="宋体"/>
          <w:color w:val="auto"/>
          <w:shd w:val="clear" w:color="auto" w:fill="FFFFFF"/>
          <w:vertAlign w:val="superscript"/>
        </w:rPr>
        <w:t>-1</w:t>
      </w:r>
      <w:r>
        <w:rPr>
          <w:rFonts w:hint="eastAsia" w:ascii="宋体" w:hAnsi="宋体" w:eastAsia="宋体" w:cs="宋体"/>
          <w:color w:val="auto"/>
          <w:shd w:val="clear" w:color="auto" w:fill="FFFFFF"/>
        </w:rPr>
        <w:t>）</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Fonts w:hint="eastAsia" w:ascii="宋体" w:hAnsi="宋体" w:eastAsia="宋体" w:cs="宋体"/>
          <w:color w:val="auto"/>
          <w:shd w:val="clear" w:color="auto" w:fill="FFFFFF"/>
        </w:rPr>
        <w:t>1.6、扫描速度：≥100张光谱/分钟（分辨率4cm</w:t>
      </w:r>
      <w:r>
        <w:rPr>
          <w:rFonts w:hint="eastAsia" w:ascii="宋体" w:hAnsi="宋体" w:eastAsia="宋体" w:cs="宋体"/>
          <w:color w:val="auto"/>
          <w:shd w:val="clear" w:color="auto" w:fill="FFFFFF"/>
          <w:vertAlign w:val="superscript"/>
        </w:rPr>
        <w:t>-1</w:t>
      </w:r>
      <w:r>
        <w:rPr>
          <w:rFonts w:hint="eastAsia" w:ascii="宋体" w:hAnsi="宋体" w:eastAsia="宋体" w:cs="宋体"/>
          <w:color w:val="auto"/>
          <w:shd w:val="clear" w:color="auto" w:fill="FFFFFF"/>
        </w:rPr>
        <w:t>, DTGS检测器）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w:t>
      </w:r>
      <w:r>
        <w:rPr>
          <w:rFonts w:hint="eastAsia" w:ascii="宋体" w:hAnsi="宋体" w:eastAsia="宋体" w:cs="宋体"/>
          <w:color w:val="auto"/>
          <w:shd w:val="clear" w:color="auto" w:fill="FFFFFF"/>
        </w:rPr>
        <w:t>1.7、分束器：多层分束器；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w:t>
      </w:r>
      <w:r>
        <w:rPr>
          <w:rFonts w:hint="eastAsia" w:ascii="宋体" w:hAnsi="宋体" w:eastAsia="宋体" w:cs="宋体"/>
          <w:color w:val="auto"/>
          <w:shd w:val="clear" w:color="auto" w:fill="FFFFFF"/>
        </w:rPr>
        <w:t>1.8、磁力搅拌器，带表面材质PTFE的搅拌棒</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w:t>
      </w:r>
      <w:r>
        <w:rPr>
          <w:rStyle w:val="13"/>
          <w:rFonts w:hint="eastAsia" w:ascii="宋体" w:hAnsi="宋体" w:eastAsia="宋体" w:cs="宋体"/>
          <w:b w:val="0"/>
          <w:bCs/>
          <w:color w:val="auto"/>
          <w:shd w:val="clear" w:color="auto" w:fill="FFFFFF"/>
        </w:rPr>
        <w:t>2、配置清单</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2.1、傅里叶变换红外光谱仪        1台</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2.2、10mm红外石英比色皿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2.3、50mm红外石英比色皿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2.4、100mm红外石英比色皿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2.5、小比色皿架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2.6、超大比色皿架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2.7、电子防潮箱             1个</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2.8、固体制样装置（KBr窗片，压片机）  1套</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2.9、红外光谱软件（含固废光谱库）    1套</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2.10、数据输入、输出系统        1套</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2.11、制样红外灯            1个</w:t>
      </w:r>
    </w:p>
    <w:p>
      <w:pPr>
        <w:pStyle w:val="9"/>
        <w:widowControl/>
        <w:spacing w:beforeAutospacing="0" w:afterAutospacing="0" w:line="480" w:lineRule="atLeast"/>
        <w:ind w:firstLine="420"/>
        <w:jc w:val="both"/>
        <w:rPr>
          <w:rFonts w:ascii="宋体" w:hAnsi="宋体" w:eastAsia="宋体" w:cs="宋体"/>
          <w:color w:val="auto"/>
        </w:rPr>
      </w:pPr>
      <w:r>
        <w:rPr>
          <w:rFonts w:ascii="Times New Roman" w:hAnsi="Times New Roman" w:eastAsia="宋体"/>
          <w:color w:val="auto"/>
          <w:shd w:val="clear" w:color="auto" w:fill="FFFFFF"/>
        </w:rPr>
        <w:t> </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706"/>
        <w:rPr>
          <w:rFonts w:hint="default" w:cs="宋体"/>
          <w:color w:val="auto"/>
          <w:sz w:val="78"/>
          <w:szCs w:val="78"/>
        </w:rPr>
      </w:pPr>
      <w:r>
        <w:rPr>
          <w:rStyle w:val="13"/>
          <w:rFonts w:cs="宋体"/>
          <w:b/>
          <w:color w:val="auto"/>
          <w:sz w:val="36"/>
          <w:szCs w:val="36"/>
          <w:shd w:val="clear" w:color="auto" w:fill="FFFFFF"/>
        </w:rPr>
        <w:t>品目3： 气相色谱仪</w:t>
      </w:r>
      <w:r>
        <w:rPr>
          <w:rStyle w:val="13"/>
          <w:rFonts w:hint="default" w:ascii="Times New Roman" w:hAnsi="Times New Roman"/>
          <w:b/>
          <w:color w:val="auto"/>
          <w:sz w:val="36"/>
          <w:szCs w:val="36"/>
          <w:shd w:val="clear" w:color="auto" w:fill="FFFFFF"/>
        </w:rPr>
        <w:t>(GC)</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【评标项32】</w:t>
      </w:r>
      <w:r>
        <w:rPr>
          <w:rFonts w:hint="eastAsia" w:ascii="宋体" w:hAnsi="宋体" w:eastAsia="宋体" w:cs="宋体"/>
          <w:color w:val="auto"/>
          <w:shd w:val="clear" w:color="auto" w:fill="FFFFFF"/>
        </w:rPr>
        <w:t>1、应用范围：符合HJ 912-2017、HJ 768-2015、HJ 963-2018、HJ 976-2018、HJ 975-2018、HJ 891-2017及GB 5085.3附录R、GB 5085.6附录K、GB 5085.6附录N等测试方法相关要求。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w:t>
      </w:r>
      <w:r>
        <w:rPr>
          <w:rFonts w:hint="eastAsia" w:ascii="宋体" w:hAnsi="宋体" w:eastAsia="宋体" w:cs="宋体"/>
          <w:color w:val="auto"/>
          <w:shd w:val="clear" w:color="auto" w:fill="FFFFFF"/>
        </w:rPr>
        <w:t>1.1、色谱主机，须具有中文或英文界面。</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w:t>
      </w:r>
      <w:r>
        <w:rPr>
          <w:rFonts w:hint="eastAsia" w:ascii="宋体" w:hAnsi="宋体" w:eastAsia="宋体" w:cs="宋体"/>
          <w:color w:val="auto"/>
          <w:shd w:val="clear" w:color="auto" w:fill="FFFFFF"/>
        </w:rPr>
        <w:t>1.2、柱箱：</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1.2.1、操作温度：至少要涵盖室温+4℃~400℃。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1.2.2、最大升温速率：全电压范围内75℃/min。</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1.2.3、环境温度影响：室温变化1℃时柱温箱变化&lt;0.01℃。</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1.2.4、温度设置精度：≤0.1℃。</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w:t>
      </w:r>
      <w:r>
        <w:rPr>
          <w:rFonts w:hint="eastAsia" w:ascii="宋体" w:hAnsi="宋体" w:eastAsia="宋体" w:cs="宋体"/>
          <w:color w:val="auto"/>
          <w:shd w:val="clear" w:color="auto" w:fill="FFFFFF"/>
        </w:rPr>
        <w:t>1.3、进样口至少具有四种进样模式。</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1.4检测器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w:t>
      </w:r>
      <w:r>
        <w:rPr>
          <w:rFonts w:hint="eastAsia" w:ascii="宋体" w:hAnsi="宋体" w:eastAsia="宋体" w:cs="宋体"/>
          <w:color w:val="auto"/>
          <w:shd w:val="clear" w:color="auto" w:fill="FFFFFF"/>
        </w:rPr>
        <w:t>1.4.1、氢火焰检测器：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1.4.1.1、最高操作温度：＞400℃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1.4.1.2、检测限：1.4pg C/sec</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1.4.1.3、线性动态范围： ≥七个数量级（≥10</w:t>
      </w:r>
      <w:r>
        <w:rPr>
          <w:rFonts w:hint="eastAsia" w:ascii="宋体" w:hAnsi="宋体" w:eastAsia="宋体" w:cs="宋体"/>
          <w:color w:val="auto"/>
          <w:shd w:val="clear" w:color="auto" w:fill="FFFFFF"/>
          <w:vertAlign w:val="superscript"/>
        </w:rPr>
        <w:t>7</w:t>
      </w:r>
      <w:r>
        <w:rPr>
          <w:rFonts w:hint="eastAsia"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1.4.1.4、运行性能：熄火探测自动重新点火功能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w:t>
      </w:r>
      <w:r>
        <w:rPr>
          <w:rFonts w:hint="eastAsia" w:ascii="宋体" w:hAnsi="宋体" w:eastAsia="宋体" w:cs="宋体"/>
          <w:color w:val="auto"/>
          <w:shd w:val="clear" w:color="auto" w:fill="FFFFFF"/>
        </w:rPr>
        <w:t>1.4.2、电子捕获检测器：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1.4.2.1、最高操作温度：＞ 400℃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1.4.2.2、检测限：7fg /sec (林丹)  </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1.4.2.3、线性动态范围：≥四个数量级（≥10</w:t>
      </w:r>
      <w:r>
        <w:rPr>
          <w:rFonts w:hint="eastAsia" w:ascii="宋体" w:hAnsi="宋体" w:eastAsia="宋体" w:cs="宋体"/>
          <w:color w:val="auto"/>
          <w:shd w:val="clear" w:color="auto" w:fill="FFFFFF"/>
          <w:vertAlign w:val="superscript"/>
        </w:rPr>
        <w:t>4</w:t>
      </w:r>
      <w:r>
        <w:rPr>
          <w:rFonts w:hint="eastAsia"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【评标项38】</w:t>
      </w:r>
      <w:r>
        <w:rPr>
          <w:rFonts w:hint="eastAsia" w:ascii="宋体" w:hAnsi="宋体" w:eastAsia="宋体" w:cs="宋体"/>
          <w:color w:val="auto"/>
          <w:shd w:val="clear" w:color="auto" w:fill="FFFFFF"/>
        </w:rPr>
        <w:t>1.4.3、火焰光度检测器：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1.4.3.1、</w:t>
      </w:r>
      <w:r>
        <w:rPr>
          <w:rFonts w:hint="eastAsia" w:ascii="宋体" w:hAnsi="宋体" w:eastAsia="宋体" w:cs="宋体"/>
          <w:color w:val="auto"/>
          <w:shd w:val="clear" w:color="auto" w:fill="FFFFFF"/>
        </w:rPr>
        <w:t>光电倍增管： S/P模式</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1.4.3.2、</w:t>
      </w:r>
      <w:r>
        <w:rPr>
          <w:rFonts w:hint="eastAsia" w:ascii="宋体" w:hAnsi="宋体" w:eastAsia="宋体" w:cs="宋体"/>
          <w:color w:val="auto"/>
          <w:shd w:val="clear" w:color="auto" w:fill="FFFFFF"/>
        </w:rPr>
        <w:t>S /P/N模式</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1.4.3.3、</w:t>
      </w:r>
      <w:r>
        <w:rPr>
          <w:rFonts w:hint="eastAsia" w:ascii="宋体" w:hAnsi="宋体" w:eastAsia="宋体" w:cs="宋体"/>
          <w:color w:val="auto"/>
          <w:shd w:val="clear" w:color="auto" w:fill="FFFFFF"/>
        </w:rPr>
        <w:t>最高操作温度：＞ 400℃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【评标项39】</w:t>
      </w:r>
      <w:r>
        <w:rPr>
          <w:rFonts w:hint="eastAsia" w:ascii="宋体" w:hAnsi="宋体" w:eastAsia="宋体" w:cs="宋体"/>
          <w:color w:val="auto"/>
          <w:shd w:val="clear" w:color="auto" w:fill="FFFFFF"/>
        </w:rPr>
        <w:t>1.4.4、氮磷检测器：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1.4.4．1、最高操作温度：＞400℃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1.4.4．2、检出限：N：100fg N/sec(Azobenzene)</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【评标项40】</w:t>
      </w:r>
      <w:r>
        <w:rPr>
          <w:rFonts w:hint="eastAsia" w:ascii="宋体" w:hAnsi="宋体" w:eastAsia="宋体" w:cs="宋体"/>
          <w:color w:val="auto"/>
          <w:shd w:val="clear" w:color="auto" w:fill="FFFFFF"/>
        </w:rPr>
        <w:t>1.5、自动进样器：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1.5.1、样品瓶容量不小于2ml的样品位数≥100位；</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1.5.2、交叉污染小于十万分之一；</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w:t>
      </w:r>
      <w:r>
        <w:rPr>
          <w:rFonts w:ascii="宋体" w:hAnsi="宋体" w:eastAsia="宋体" w:cs="宋体"/>
          <w:color w:val="auto"/>
          <w:shd w:val="clear" w:color="auto" w:fill="FFFFFF"/>
        </w:rPr>
        <w:t>5</w:t>
      </w:r>
      <w:r>
        <w:rPr>
          <w:rFonts w:hint="eastAsia" w:ascii="宋体" w:hAnsi="宋体" w:eastAsia="宋体" w:cs="宋体"/>
          <w:color w:val="auto"/>
          <w:shd w:val="clear" w:color="auto" w:fill="FFFFFF"/>
        </w:rPr>
        <w:t>.3、进样速度：＞50μL；</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w:t>
      </w:r>
      <w:r>
        <w:rPr>
          <w:rFonts w:ascii="宋体" w:hAnsi="宋体" w:eastAsia="宋体" w:cs="宋体"/>
          <w:color w:val="auto"/>
          <w:shd w:val="clear" w:color="auto" w:fill="FFFFFF"/>
        </w:rPr>
        <w:t>5</w:t>
      </w:r>
      <w:r>
        <w:rPr>
          <w:rFonts w:hint="eastAsia" w:ascii="宋体" w:hAnsi="宋体" w:eastAsia="宋体" w:cs="宋体"/>
          <w:color w:val="auto"/>
          <w:shd w:val="clear" w:color="auto" w:fill="FFFFFF"/>
        </w:rPr>
        <w:t>.4、操作模式:液体进样。</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w:t>
      </w:r>
      <w:r>
        <w:rPr>
          <w:rFonts w:ascii="宋体" w:hAnsi="宋体" w:eastAsia="宋体" w:cs="宋体"/>
          <w:color w:val="auto"/>
          <w:shd w:val="clear" w:color="auto" w:fill="FFFFFF"/>
        </w:rPr>
        <w:t>6</w:t>
      </w:r>
      <w:r>
        <w:rPr>
          <w:rFonts w:hint="eastAsia" w:ascii="宋体" w:hAnsi="宋体" w:eastAsia="宋体" w:cs="宋体"/>
          <w:color w:val="auto"/>
          <w:shd w:val="clear" w:color="auto" w:fill="FFFFFF"/>
        </w:rPr>
        <w:t>、柱温箱程序阶：31阶/32平台，可实现程序升温和程序降温；（提供软件截图和产品彩页佐证材料）</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w:t>
      </w:r>
      <w:r>
        <w:rPr>
          <w:rFonts w:ascii="宋体" w:hAnsi="宋体" w:eastAsia="宋体" w:cs="宋体"/>
          <w:color w:val="auto"/>
          <w:shd w:val="clear" w:color="auto" w:fill="FFFFFF"/>
        </w:rPr>
        <w:t>7</w:t>
      </w:r>
      <w:r>
        <w:rPr>
          <w:rFonts w:hint="eastAsia" w:ascii="宋体" w:hAnsi="宋体" w:eastAsia="宋体" w:cs="宋体"/>
          <w:color w:val="auto"/>
          <w:shd w:val="clear" w:color="auto" w:fill="FFFFFF"/>
        </w:rPr>
        <w:t>、EPC控制采用红宝石阻尼器；（提供产品彩页佐证材料）</w:t>
      </w:r>
    </w:p>
    <w:p>
      <w:pPr>
        <w:pStyle w:val="9"/>
        <w:widowControl/>
        <w:spacing w:beforeAutospacing="0" w:afterAutospacing="0" w:line="480" w:lineRule="atLeast"/>
        <w:ind w:firstLine="420"/>
        <w:jc w:val="both"/>
        <w:rPr>
          <w:rFonts w:hint="eastAsia"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w:t>
      </w:r>
      <w:r>
        <w:rPr>
          <w:rFonts w:ascii="宋体" w:hAnsi="宋体" w:eastAsia="宋体" w:cs="宋体"/>
          <w:color w:val="auto"/>
          <w:shd w:val="clear" w:color="auto" w:fill="FFFFFF"/>
        </w:rPr>
        <w:t>8</w:t>
      </w:r>
      <w:r>
        <w:rPr>
          <w:rFonts w:hint="eastAsia" w:ascii="宋体" w:hAnsi="宋体" w:eastAsia="宋体" w:cs="宋体"/>
          <w:color w:val="auto"/>
          <w:shd w:val="clear" w:color="auto" w:fill="FFFFFF"/>
        </w:rPr>
        <w:t>、采用全彩全触控电容屏，内置智能操作系统</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ascii="宋体" w:hAnsi="宋体" w:eastAsia="宋体" w:cs="宋体"/>
          <w:color w:val="auto"/>
          <w:shd w:val="clear" w:color="auto" w:fill="FFFFFF"/>
        </w:rPr>
        <w:t>4</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2、配置</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1、主机                  2套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2、氢火焰检测器              1套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3、电子捕获检测器              1套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4、氮磷检测器               1套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5、火焰光度检测器               1套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6、自动进样器               2套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7、色谱工作站软件               2套</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8、色谱柱                 8根</w:t>
      </w:r>
    </w:p>
    <w:p>
      <w:pPr>
        <w:pStyle w:val="9"/>
        <w:widowControl/>
        <w:spacing w:beforeAutospacing="0" w:afterAutospacing="0" w:line="480" w:lineRule="atLeast"/>
        <w:ind w:firstLine="420"/>
        <w:jc w:val="both"/>
        <w:rPr>
          <w:rFonts w:ascii="宋体" w:hAnsi="宋体" w:eastAsia="宋体" w:cs="宋体"/>
          <w:color w:val="auto"/>
        </w:rPr>
      </w:pPr>
      <w:r>
        <w:rPr>
          <w:rFonts w:ascii="宋体" w:hAnsi="宋体" w:eastAsia="宋体" w:cs="宋体"/>
          <w:color w:val="auto"/>
          <w:shd w:val="clear" w:color="auto" w:fill="FFFFFF"/>
        </w:rPr>
        <w:t>2.</w:t>
      </w:r>
      <w:r>
        <w:rPr>
          <w:rFonts w:hint="eastAsia" w:ascii="宋体" w:hAnsi="宋体" w:eastAsia="宋体" w:cs="宋体"/>
          <w:color w:val="auto"/>
          <w:shd w:val="clear" w:color="auto" w:fill="FFFFFF"/>
        </w:rPr>
        <w:t>9、数据采集、输出系统        </w:t>
      </w:r>
      <w:r>
        <w:rPr>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rPr>
        <w:t>2套 </w:t>
      </w:r>
    </w:p>
    <w:p>
      <w:pPr>
        <w:pStyle w:val="2"/>
        <w:widowControl/>
        <w:spacing w:before="346" w:beforeAutospacing="0" w:after="330" w:afterAutospacing="0" w:line="480" w:lineRule="atLeast"/>
        <w:ind w:left="-136" w:firstLine="361" w:firstLineChars="100"/>
        <w:rPr>
          <w:rStyle w:val="13"/>
          <w:rFonts w:cs="宋体"/>
          <w:b/>
          <w:color w:val="auto"/>
          <w:sz w:val="36"/>
          <w:szCs w:val="36"/>
          <w:shd w:val="clear" w:color="auto" w:fill="FFFFFF"/>
        </w:rPr>
      </w:pPr>
    </w:p>
    <w:p>
      <w:pPr>
        <w:pStyle w:val="2"/>
        <w:widowControl/>
        <w:spacing w:before="346" w:beforeAutospacing="0" w:after="330" w:afterAutospacing="0" w:line="480" w:lineRule="atLeast"/>
        <w:ind w:left="-136" w:firstLine="361" w:firstLineChars="100"/>
        <w:rPr>
          <w:rStyle w:val="13"/>
          <w:rFonts w:cs="宋体"/>
          <w:b/>
          <w:color w:val="auto"/>
          <w:sz w:val="36"/>
          <w:szCs w:val="36"/>
          <w:shd w:val="clear" w:color="auto" w:fill="FFFFFF"/>
        </w:rPr>
      </w:pPr>
    </w:p>
    <w:p>
      <w:pPr>
        <w:pStyle w:val="2"/>
        <w:widowControl/>
        <w:spacing w:before="346" w:beforeAutospacing="0" w:after="330" w:afterAutospacing="0" w:line="480" w:lineRule="atLeast"/>
        <w:ind w:left="-136" w:firstLine="361" w:firstLineChars="100"/>
        <w:rPr>
          <w:rFonts w:hint="default" w:cs="宋体"/>
          <w:color w:val="auto"/>
          <w:sz w:val="78"/>
          <w:szCs w:val="78"/>
        </w:rPr>
      </w:pPr>
      <w:r>
        <w:rPr>
          <w:rStyle w:val="13"/>
          <w:rFonts w:cs="宋体"/>
          <w:b/>
          <w:color w:val="auto"/>
          <w:sz w:val="36"/>
          <w:szCs w:val="36"/>
          <w:shd w:val="clear" w:color="auto" w:fill="FFFFFF"/>
        </w:rPr>
        <w:t>品目 4： </w:t>
      </w:r>
      <w:r>
        <w:rPr>
          <w:rStyle w:val="13"/>
          <w:rFonts w:hint="default" w:ascii="Times New Roman" w:hAnsi="Times New Roman"/>
          <w:b/>
          <w:color w:val="auto"/>
          <w:sz w:val="36"/>
          <w:szCs w:val="36"/>
          <w:shd w:val="clear" w:color="auto" w:fill="FFFFFF"/>
        </w:rPr>
        <w:t>X</w:t>
      </w:r>
      <w:r>
        <w:rPr>
          <w:rStyle w:val="13"/>
          <w:rFonts w:cs="宋体"/>
          <w:b/>
          <w:color w:val="auto"/>
          <w:sz w:val="36"/>
          <w:szCs w:val="36"/>
          <w:shd w:val="clear" w:color="auto" w:fill="FFFFFF"/>
        </w:rPr>
        <w:t>射线荧光光谱仪（</w:t>
      </w:r>
      <w:r>
        <w:rPr>
          <w:rStyle w:val="13"/>
          <w:rFonts w:hint="default" w:ascii="Times New Roman" w:hAnsi="Times New Roman"/>
          <w:b/>
          <w:color w:val="auto"/>
          <w:sz w:val="36"/>
          <w:szCs w:val="36"/>
          <w:shd w:val="clear" w:color="auto" w:fill="FFFFFF"/>
        </w:rPr>
        <w:t>XRF</w:t>
      </w:r>
      <w:r>
        <w:rPr>
          <w:rStyle w:val="13"/>
          <w:rFonts w:cs="宋体"/>
          <w:b/>
          <w:color w:val="auto"/>
          <w:sz w:val="36"/>
          <w:szCs w:val="36"/>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ascii="宋体" w:hAnsi="宋体" w:eastAsia="宋体" w:cs="宋体"/>
          <w:color w:val="auto"/>
          <w:shd w:val="clear" w:color="auto" w:fill="FFFFFF"/>
        </w:rPr>
        <w:t>4</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Style w:val="13"/>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采用熔融玻璃片法制备并测定括砷（As）、钡（Ba）、氯（Cl）、钴（Co）、铬（Cr）、铜（Cu）、锰（Mn）、镍（Ni）、磷（P）、铅（Pb）、硫（S）、锶（Sr）、钛（Ti）、钒（V）、锌（Zn）、锆（Zr）15种无机元素的方法检出限为5 mg/kg～70 mg/kg，测定下限为20 mg/kg～280 mg/kg；二氧化硅（SiO</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）、三氧化二铝（Al</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）、三氧化二铁（Fe</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）、氧化钾（K</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O）、氧化钠（Na</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O）、氧化钙（CaO）、氧化镁（MgO）7种氧化物的方法检出限 0.01%～0.03%，测定下限为0.04%～0.12%。</w:t>
      </w:r>
    </w:p>
    <w:p>
      <w:pPr>
        <w:pStyle w:val="9"/>
        <w:widowControl/>
        <w:spacing w:beforeAutospacing="0" w:afterAutospacing="0" w:line="480" w:lineRule="atLeast"/>
        <w:ind w:right="-990" w:firstLine="480"/>
        <w:jc w:val="both"/>
        <w:rPr>
          <w:rFonts w:ascii="宋体" w:hAnsi="宋体" w:eastAsia="宋体" w:cs="宋体"/>
          <w:color w:val="auto"/>
        </w:rPr>
      </w:pPr>
      <w:r>
        <w:rPr>
          <w:rFonts w:hint="eastAsia" w:ascii="宋体" w:hAnsi="宋体" w:eastAsia="宋体" w:cs="宋体"/>
          <w:color w:val="auto"/>
          <w:shd w:val="clear" w:color="auto" w:fill="FFFFFF"/>
        </w:rPr>
        <w:t>采用粉末压片法制备并测定砷（As）、钡（Ba）、钴（Co）、铬（Cr）、铜（Cu）、锰（Mn）、镍（Ni）、磷（P）、铅（Pb）、硫（S）、锶（Sr）、钛（Ti）、钒（V）、锌（Zn）、锆（Zr）16种无机元素的方法检出限为2 mg/kg～30 mg/kg，测定下限为8 mg/kg～120 mg/kg；二氧化硅（SiO</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）、三氧化二铝（Al</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）、三氧化二铁（Fe</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）、氧化钾（K</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O）、氧化钠（Na</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O）、氧化钙（CaO）、氧化镁（MgO）7种氧化物的方法检出限为 0.01%～0.03%，测定下限为0.04%～0.12%。符合HJ 1211-2021测试方法相关要求。</w:t>
      </w:r>
    </w:p>
    <w:p>
      <w:pPr>
        <w:pStyle w:val="9"/>
        <w:widowControl/>
        <w:spacing w:beforeAutospacing="0" w:afterAutospacing="0" w:line="480" w:lineRule="atLeast"/>
        <w:ind w:right="-990" w:firstLine="420"/>
        <w:jc w:val="both"/>
        <w:rPr>
          <w:rStyle w:val="13"/>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2.1、测量方式：顺序扫描式；</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2.2、分析元素范围：元素F~U；</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2.3、含量范围：ppm到100%；</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2.4、一位手动放样进样器：样品最大直径51.5mm，液体、松散粉末、小样品放入液体杯中，最多50mL。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2.5、高压发生器：</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2.5.1最大功率≥400W；最大电压≥50kV</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2.5.2最大电流≥17mA , 1-17 mA间0.1 mA连续可调。</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2.6、X射线光管：</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2.6.1类型：端窗Rh靶陶瓷光管, Be窗厚度75μm</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2.6.2最高功率≥1kW ，最高电压≥50kV，最高电流≥50mA</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2.7、测角仪：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2.7.1角度准确度：≤ ±0.001°</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2.7.2 扫描速度：≥700°/Min</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2</w:t>
      </w:r>
      <w:r>
        <w:rPr>
          <w:rFonts w:hint="eastAsia" w:ascii="宋体" w:hAnsi="宋体" w:eastAsia="宋体" w:cs="宋体"/>
          <w:color w:val="auto"/>
          <w:shd w:val="clear" w:color="auto" w:fill="FFFFFF"/>
        </w:rPr>
        <w:t>.7.3定位方式：θ/2θ分别驱动，光学定位。</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【评标项4</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2.8、探测器：正比探测器及高灵敏度固体探测器，全真空扫描，计数率线性范围≥2Mcps。</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50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2.9、配置LiF200、PET、O-Mg之间元素分析的人工多层膜晶体</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51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2.10、光谱室温度稳定性：≤±0.1℃。</w:t>
      </w:r>
    </w:p>
    <w:p>
      <w:pPr>
        <w:pStyle w:val="9"/>
        <w:widowControl/>
        <w:spacing w:beforeAutospacing="0" w:afterAutospacing="0" w:line="480" w:lineRule="atLeast"/>
        <w:ind w:right="-990" w:firstLine="420"/>
        <w:jc w:val="both"/>
        <w:rPr>
          <w:rFonts w:hint="eastAsia" w:ascii="宋体" w:hAnsi="宋体" w:eastAsia="宋体" w:cs="宋体"/>
          <w:color w:val="auto"/>
          <w:lang w:eastAsia="zh-CN"/>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2.11、软件：全自动安装与校准系统；光谱仪及进样器状态的实时、动态图形显示。定量分析软件具有分析曲线的自动导航功能；自动优化测量参数；自动校正谱线重叠干扰；具备基体校正功能；分析结果超出警戒线自动显示与报警等功能</w:t>
      </w:r>
      <w:r>
        <w:rPr>
          <w:rFonts w:hint="eastAsia" w:ascii="宋体" w:hAnsi="宋体" w:eastAsia="宋体" w:cs="宋体"/>
          <w:color w:val="auto"/>
          <w:shd w:val="clear" w:color="auto" w:fill="FFFFFF"/>
          <w:lang w:eastAsia="zh-CN"/>
        </w:rPr>
        <w:t>、</w:t>
      </w:r>
      <w:r>
        <w:rPr>
          <w:rFonts w:hint="eastAsia" w:ascii="宋体" w:hAnsi="宋体" w:eastAsia="宋体" w:cs="宋体"/>
          <w:color w:val="auto"/>
          <w:shd w:val="clear" w:color="auto" w:fill="FFFFFF"/>
        </w:rPr>
        <w:t>配置无标定量软件。</w:t>
      </w:r>
    </w:p>
    <w:p>
      <w:pPr>
        <w:pStyle w:val="9"/>
        <w:widowControl/>
        <w:spacing w:beforeAutospacing="0" w:afterAutospacing="0" w:line="480" w:lineRule="atLeast"/>
        <w:ind w:right="-990" w:firstLine="420"/>
        <w:jc w:val="both"/>
        <w:rPr>
          <w:rFonts w:hint="eastAsia" w:ascii="宋体" w:hAnsi="宋体" w:eastAsia="宋体" w:cs="宋体"/>
          <w:color w:val="auto"/>
          <w:lang w:eastAsia="zh-CN"/>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w:t>
      </w:r>
      <w:r>
        <w:rPr>
          <w:rFonts w:hint="eastAsia" w:ascii="宋体" w:hAnsi="宋体" w:eastAsia="宋体" w:cs="宋体"/>
          <w:color w:val="auto"/>
          <w:shd w:val="clear" w:color="auto" w:fill="FFFFFF"/>
          <w:lang w:val="en-US" w:eastAsia="zh-CN"/>
        </w:rPr>
        <w:t>2</w:t>
      </w:r>
      <w:r>
        <w:rPr>
          <w:rFonts w:hint="eastAsia" w:ascii="宋体" w:hAnsi="宋体" w:eastAsia="宋体" w:cs="宋体"/>
          <w:color w:val="auto"/>
          <w:shd w:val="clear" w:color="auto" w:fill="FFFFFF"/>
        </w:rPr>
        <w:t>、配置滤光片转换器：≥5位滤光片转换器</w:t>
      </w:r>
      <w:r>
        <w:rPr>
          <w:rFonts w:hint="eastAsia" w:ascii="宋体" w:hAnsi="宋体" w:eastAsia="宋体" w:cs="宋体"/>
          <w:color w:val="auto"/>
          <w:shd w:val="clear" w:color="auto" w:fill="FFFFFF"/>
          <w:lang w:eastAsia="zh-CN"/>
        </w:rPr>
        <w:t>、</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w:t>
      </w:r>
      <w:r>
        <w:rPr>
          <w:rFonts w:hint="eastAsia" w:ascii="宋体" w:hAnsi="宋体" w:eastAsia="宋体" w:cs="宋体"/>
          <w:color w:val="auto"/>
          <w:shd w:val="clear" w:color="auto" w:fill="FFFFFF"/>
          <w:lang w:val="en-US" w:eastAsia="zh-CN"/>
        </w:rPr>
        <w:t>3</w:t>
      </w:r>
      <w:r>
        <w:rPr>
          <w:rFonts w:hint="eastAsia" w:ascii="宋体" w:hAnsi="宋体" w:eastAsia="宋体" w:cs="宋体"/>
          <w:color w:val="auto"/>
          <w:shd w:val="clear" w:color="auto" w:fill="FFFFFF"/>
        </w:rPr>
        <w:t>、配置真空及氦气体冲洗系统。</w:t>
      </w:r>
      <w:r>
        <w:rPr>
          <w:rFonts w:ascii="Times New Roman" w:hAnsi="Times New Roman" w:eastAsia="宋体"/>
          <w:color w:val="auto"/>
          <w:shd w:val="clear" w:color="auto" w:fill="FFFFFF"/>
        </w:rPr>
        <w:t>  </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3、配置</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3.1、波长射散型X射线荧光光谱仪主机</w:t>
      </w:r>
      <w:r>
        <w:rPr>
          <w:rFonts w:ascii="Times New Roman" w:hAnsi="Times New Roman" w:eastAsia="宋体"/>
          <w:color w:val="auto"/>
          <w:shd w:val="clear" w:color="auto" w:fill="FFFFFF"/>
        </w:rPr>
        <w:t>    </w:t>
      </w:r>
      <w:r>
        <w:rPr>
          <w:rFonts w:hint="eastAsia" w:ascii="Times New Roman" w:hAnsi="Times New Roman" w:eastAsia="宋体"/>
          <w:color w:val="auto"/>
          <w:shd w:val="clear" w:color="auto" w:fill="FFFFFF"/>
        </w:rPr>
        <w:t xml:space="preserve">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3.2、操作软件</w:t>
      </w:r>
      <w:r>
        <w:rPr>
          <w:rFonts w:ascii="Times New Roman" w:hAnsi="Times New Roman" w:eastAsia="宋体"/>
          <w:color w:val="auto"/>
          <w:shd w:val="clear" w:color="auto" w:fill="FFFFFF"/>
        </w:rPr>
        <w:t>          </w:t>
      </w:r>
      <w:r>
        <w:rPr>
          <w:rFonts w:hint="eastAsia" w:ascii="Times New Roman" w:hAnsi="Times New Roman" w:eastAsia="宋体"/>
          <w:color w:val="auto"/>
          <w:shd w:val="clear" w:color="auto" w:fill="FFFFFF"/>
        </w:rPr>
        <w:t xml:space="preserve">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3.3、稳压电源：UPS电源（≥1小时）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3.4、P10气体减压阀</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3.5、输入输出系统</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rPr>
          <w:rFonts w:hint="default" w:cs="宋体"/>
          <w:color w:val="auto"/>
          <w:sz w:val="78"/>
          <w:szCs w:val="78"/>
        </w:rPr>
      </w:pPr>
      <w:r>
        <w:rPr>
          <w:rStyle w:val="13"/>
          <w:rFonts w:cs="宋体"/>
          <w:b/>
          <w:color w:val="auto"/>
          <w:sz w:val="36"/>
          <w:szCs w:val="36"/>
          <w:shd w:val="clear" w:color="auto" w:fill="FFFFFF"/>
        </w:rPr>
        <w:t>品目</w:t>
      </w:r>
      <w:r>
        <w:rPr>
          <w:rStyle w:val="13"/>
          <w:rFonts w:hint="default" w:ascii="Times New Roman" w:hAnsi="Times New Roman"/>
          <w:b/>
          <w:color w:val="auto"/>
          <w:sz w:val="36"/>
          <w:szCs w:val="36"/>
          <w:shd w:val="clear" w:color="auto" w:fill="FFFFFF"/>
        </w:rPr>
        <w:t> </w:t>
      </w:r>
      <w:r>
        <w:rPr>
          <w:rStyle w:val="13"/>
          <w:rFonts w:ascii="Times New Roman" w:hAnsi="Times New Roman"/>
          <w:b/>
          <w:color w:val="auto"/>
          <w:sz w:val="36"/>
          <w:szCs w:val="36"/>
          <w:shd w:val="clear" w:color="auto" w:fill="FFFFFF"/>
        </w:rPr>
        <w:t xml:space="preserve"> 5</w:t>
      </w:r>
      <w:r>
        <w:rPr>
          <w:rStyle w:val="13"/>
          <w:rFonts w:cs="宋体"/>
          <w:b/>
          <w:color w:val="auto"/>
          <w:sz w:val="36"/>
          <w:szCs w:val="36"/>
          <w:shd w:val="clear" w:color="auto" w:fill="FFFFFF"/>
        </w:rPr>
        <w:t>：</w:t>
      </w:r>
      <w:bookmarkStart w:id="0" w:name="_Hlk151717850"/>
      <w:r>
        <w:rPr>
          <w:rStyle w:val="13"/>
          <w:rFonts w:cs="宋体"/>
          <w:b/>
          <w:color w:val="auto"/>
          <w:sz w:val="36"/>
          <w:szCs w:val="36"/>
          <w:shd w:val="clear" w:color="auto" w:fill="FFFFFF"/>
        </w:rPr>
        <w:t>电感耦合等离子质谱仪（</w:t>
      </w:r>
      <w:r>
        <w:rPr>
          <w:rStyle w:val="13"/>
          <w:rFonts w:hint="default" w:ascii="Times New Roman" w:hAnsi="Times New Roman"/>
          <w:b/>
          <w:color w:val="auto"/>
          <w:sz w:val="36"/>
          <w:szCs w:val="36"/>
          <w:shd w:val="clear" w:color="auto" w:fill="FFFFFF"/>
        </w:rPr>
        <w:t>ICP-MS</w:t>
      </w:r>
      <w:r>
        <w:rPr>
          <w:rStyle w:val="13"/>
          <w:rFonts w:cs="宋体"/>
          <w:b/>
          <w:color w:val="auto"/>
          <w:sz w:val="36"/>
          <w:szCs w:val="36"/>
          <w:shd w:val="clear" w:color="auto" w:fill="FFFFFF"/>
        </w:rPr>
        <w:t>）</w:t>
      </w:r>
      <w:bookmarkEnd w:id="0"/>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766-2015测试方法相关要求。当固体废物浸出液取样体积为 25 ml 时，银（Ag）、砷（As）、钡（Ba）、铍（Be）、镉（Cd）、钴（Co）、铬（Cr）、铜（Cu）、锰（Mn）、钼（Mo）、镍（Ni）、铅（Pb）、锑（Sb）、硒（Se）、铊（Tl）、钒（V）、锌（Zn）17 种金属元素的检出限为 0.7 μg/L～6.4 μg/L，测定下限为 2.8 μg/L～25.6 μg/L。当固体废物样品量在0.1g时，17 种金属元素（同上）的方法检出限为 0.4 mg/kg～3.2 mg/kg，测定下限为 1.6 mg/kg～12.8 mg/kg。</w:t>
      </w:r>
    </w:p>
    <w:p>
      <w:pPr>
        <w:pStyle w:val="9"/>
        <w:widowControl/>
        <w:spacing w:beforeAutospacing="0" w:afterAutospacing="0" w:line="480" w:lineRule="atLeast"/>
        <w:ind w:right="-990" w:firstLine="420"/>
        <w:jc w:val="both"/>
        <w:rPr>
          <w:rFonts w:ascii="宋体" w:hAnsi="宋体" w:eastAsia="宋体" w:cs="宋体"/>
          <w:b/>
          <w:bCs/>
          <w:color w:val="auto"/>
        </w:rPr>
      </w:pPr>
      <w:r>
        <w:rPr>
          <w:rStyle w:val="13"/>
          <w:rFonts w:hint="eastAsia" w:ascii="宋体" w:hAnsi="宋体" w:eastAsia="宋体" w:cs="宋体"/>
          <w:b w:val="0"/>
          <w:bCs/>
          <w:color w:val="auto"/>
          <w:shd w:val="clear" w:color="auto" w:fill="FFFFFF"/>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2.1、具备三个四极杆质谱仪，由电感耦合等离子体离子源、四极杆离子偏转提取系统、四极杆碰撞反应池、四极杆质量过滤器、离子检测系统等部分构成。</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2.2、电真空系统具备关机后24小时冷启动至工作所需要的真空度时间≤8分钟，真空度最高可达10-8Tor。</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【评标项5</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2.3、电感耦合等离子体质谱仪要求具有全景式彩色等离子体观测窗，无需打开仪器，可对锥、炬管和负载线圈进行观测，同时可实时监测锥孔及喷射管孔样品沉积情况，以便于维护和清洗。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3、进样系统：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60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3.1、雾化器：高灵敏度雾化器。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3.2、雾化室：小体积、低记忆效应旋流型雾化室，无需制冷。为减小样品记忆效应，雾室应直接连接到炬管的基座上，而无需在雾室与炬管之间使用传输管。</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全基体进样系统AMS：配置高精度气体质量流量控制器，工作站自动控制稀释，快速进行样品稀释，稀释倍数&gt;130倍以上；全基体进样系统可通入氧气，实现有机样品的直接进样分析。（提供产品彩页佐证资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3.4、全景式彩色等离子体观测窗，实时监测锥孔及喷射管孔样品沉积，便于维护和清洗。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4、射频发生器：</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★4.1、离子源：为保证获得更高的灵敏度，氧化物水平更低，需要采用高频率自激式全固态射频发生器，要求频率≥30MHz，频率稳定性&lt; ±0.01%，采用变频技术快速匹配，适用有机试剂直接进样。</w:t>
      </w:r>
      <w:r>
        <w:rPr>
          <w:rFonts w:hint="eastAsia" w:ascii="宋体" w:hAnsi="宋体" w:eastAsia="宋体" w:cs="宋体"/>
          <w:color w:val="auto"/>
          <w:highlight w:val="none"/>
          <w:shd w:val="clear" w:color="auto" w:fill="FFFFFF"/>
        </w:rPr>
        <w:t>（投标人出具的佐证材料）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4.2、具有虚拟接地的、不额外依靠外部物理接地的消除锥口二次电弧放电技术，无需屏蔽炬等额外安装与维护。如需屏蔽炬设计的厂商需配置10套屏蔽矩以备用。（提供产品彩页佐证材料）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4.3、等离子体工作线圈无需外部冷却水额外冷却，实现超低射频能量损耗。</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4.4、等离子体可视系统：可以从实际观测窗中实时全彩监测等离子体、锥口和中心管状态，便于样品分析和维护确认，方便有机样品方法开发。</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4.5、使用不少于5个高精度气体质量流量控制器，控制包含3路离子源气（等离子体气、辅助气、雾化气），1路稀释气和1路碰撞反应气。</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接口：为保证最强离子束聚焦和耐各类复杂、高盐样品基体，接口采用三锥大口径设计，包括一个采样锥、一个截取锥和一个超级锥；采样锥口径≥1.0mm，截取锥≥0.9mm，从而保证长期分析高基体、高盐样品的稳定性，满足高通量分析及大进样量的要求。为保证为保证各类样品基体长时间运行稳定性，锥上不应施加电压、锥间不通入气体。（提供产品彩页佐证材料）</w:t>
      </w:r>
    </w:p>
    <w:p>
      <w:pPr>
        <w:pStyle w:val="9"/>
        <w:widowControl/>
        <w:spacing w:beforeAutospacing="0" w:afterAutospacing="0" w:line="480" w:lineRule="atLeast"/>
        <w:ind w:right="-990" w:firstLine="420"/>
        <w:jc w:val="both"/>
        <w:rPr>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rPr>
        <w:t>6、四极杆离子偏转器：将待分析离子方向偏转90度，彻底与未电离的中性粒子和光子分离；离子透镜终身免清洗维护。真空腔内碰撞反应池和离子传输系统终身免维护，四极杆离子偏转器聚焦电压与碰撞反应池四极杆、四极杆质量分析器同步扫描</w:t>
      </w:r>
      <w:r>
        <w:rPr>
          <w:rFonts w:hint="eastAsia"/>
          <w:color w:val="auto"/>
          <w:shd w:val="clear" w:color="auto" w:fill="FFFFFF"/>
        </w:rPr>
        <w:t xml:space="preserve">。 </w:t>
      </w:r>
      <w:r>
        <w:rPr>
          <w:rFonts w:hint="eastAsia"/>
          <w:color w:val="auto"/>
        </w:rPr>
        <w:t>7、四极杆碰撞反应池：</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▲7.1、碰撞反应池内部具有轴向加速的圆柱形四极杆（投标人出具的佐证材料并盖章）</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68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7.2、池技术必须具有具有动作甄别碰撞模式消除干扰、四极杆动态带宽调谐反应模式消除干扰。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【评标项6</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7.3、碰撞反应池可以使用包括He、CH4，O2等多种碰撞或反应气体。</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8、四级杆质量分析器：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70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8.1、带有预四极杆的超高稳定特种合金殷钢材质的四极杆质量分析器，质谱范围：1-285amu或以上， 驱动频率 ≥ 2.5MHz，四极杆最短驻留时间10µs。</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8.2、具有高分辨和标准分辨率模式，可以对不同元素进行不同分辨率的设定，要求在一次样品测试中，可以在线连续调节8种以上不同分辨率，调节范围0.1-2.0amu。低分辨可以设置到2.0amu,可以在一次方法分析过程中使用，以便通过变化分辨率扩大样品分析应用范围。（提供≥8个不同分辨率的实时软件截图佐证材料，并作为验收指标）</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▲8.3、长寿命脉冲模拟双模式同时型电子倍增器，具有电子稀释功能，12个数量级的动态线性范围。（提供产品彩页佐证材料）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71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9、四级真空系统：要求从大气压开始抽至可工作的真空度的时间小于8分钟，真空度最高可达10-8Tor。</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10、软件：全中文软件</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10.1、操作系统： 多任务,多用户系统软件。</w:t>
      </w:r>
    </w:p>
    <w:p>
      <w:pPr>
        <w:pStyle w:val="9"/>
        <w:widowControl/>
        <w:spacing w:beforeAutospacing="0" w:afterAutospacing="0" w:line="480" w:lineRule="atLeast"/>
        <w:ind w:right="-990" w:firstLine="420"/>
        <w:jc w:val="both"/>
        <w:rPr>
          <w:rFonts w:hint="eastAsia" w:ascii="宋体" w:hAnsi="宋体" w:eastAsia="宋体" w:cs="宋体"/>
          <w:color w:val="auto"/>
          <w:lang w:eastAsia="zh-CN"/>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10.2、全自动分析功能（启动关闭仪器 ,炬位调整, 等离子体参数, 离子透镜, 标准等离子体条件与冷等离子体条件切换,标准模式与碰撞反应池模式切换等），可实现仪器自动开机、自动优化、自动分析和自动关机的无人值守分析</w:t>
      </w:r>
      <w:r>
        <w:rPr>
          <w:rFonts w:hint="eastAsia" w:ascii="宋体" w:hAnsi="宋体" w:eastAsia="宋体" w:cs="宋体"/>
          <w:color w:val="auto"/>
          <w:shd w:val="clear" w:color="auto" w:fill="FFFFFF"/>
          <w:lang w:eastAsia="zh-CN"/>
        </w:rPr>
        <w:t>、</w:t>
      </w:r>
      <w:r>
        <w:rPr>
          <w:rFonts w:hint="eastAsia" w:ascii="宋体" w:hAnsi="宋体" w:eastAsia="宋体" w:cs="宋体"/>
          <w:color w:val="auto"/>
          <w:shd w:val="clear" w:color="auto" w:fill="FFFFFF"/>
        </w:rPr>
        <w:t>具有实时数据显示和实时报告显示功能。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11、仪器性能指标：</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11.1、质量范围：1－285amu或以上。</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11.2、质量分辨率： 0.1-2.0amu连续可调。  </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11.3、线性动态范围：大于 12个数量级。</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11.4、背景稳定性： ＜1 cps（220amu）。</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111.5、长期稳定性：≤ 3% RSD（2小时）。</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【评标项7</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11.6、同位素精度： Ag107/Ag108≤ 0.08%。</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80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11.7、检出限：轻质量元素: Be ≤0.5ppt；中质量数元素：In ≤0.1 ppt；高质量数元素：U ≤0.1 ppt。</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12、配置清单：</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12.1、ICP-MS主机（包含高灵敏度同心雾化器和旋流雾室；全彩色等离子体观察窗；等离子体位置XYZ三轴全自动调节；三锥接口；34MHz频率的射频发生器；1.0mm以上直径的采样锥和0.9mm以上直径的截取锥；四级杆离子偏转器离子透镜；四级杆碰撞反应池；含预四级杆的超高稳定特种合金四极杆质量分析器；双模同时检测器；四级真空系统；5个高精度气体质量流量控制器）：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12.2、自动稀释的全基质进样系统（稀释倍数最高可达200倍）：1套；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12.3、全中文工作站软件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12.4、配套循环冷却水系统：1套；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12.5、原厂仪器调试液：1套；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12.6、多元素混合内标溶液:100ml，1瓶。</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12.7、不间断电源UPS（≥2小时）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12.8、备件：包括：镍采样锥1个，镍截取锥1个，超截取锥1个（小锥口设计的必须配套10套采样锥及截取锥）；一体化石英炬管1支；采样锥垫片1包；超锥O型圈1包；超锥螺丝1个；内标泵管1包（12根/包）；蠕动泵排液管2包（12根/包）；蠕动泵进样管2包（12根/包）。</w:t>
      </w:r>
    </w:p>
    <w:p>
      <w:pPr>
        <w:pStyle w:val="9"/>
        <w:widowControl/>
        <w:spacing w:beforeAutospacing="0" w:afterAutospacing="0" w:line="480" w:lineRule="atLeast"/>
        <w:ind w:firstLine="420"/>
        <w:rPr>
          <w:rFonts w:hint="eastAsia" w:ascii="宋体" w:hAnsi="宋体" w:eastAsia="宋体" w:cs="宋体"/>
          <w:color w:val="auto"/>
          <w:shd w:val="clear" w:color="auto" w:fill="FFFFFF"/>
        </w:rPr>
      </w:pP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rPr>
          <w:rFonts w:hint="default" w:cs="宋体"/>
          <w:color w:val="auto"/>
          <w:sz w:val="78"/>
          <w:szCs w:val="78"/>
        </w:rPr>
      </w:pPr>
      <w:r>
        <w:rPr>
          <w:rStyle w:val="13"/>
          <w:rFonts w:cs="宋体"/>
          <w:b/>
          <w:color w:val="auto"/>
          <w:sz w:val="36"/>
          <w:szCs w:val="36"/>
          <w:shd w:val="clear" w:color="auto" w:fill="FFFFFF"/>
        </w:rPr>
        <w:t>品目 6：</w:t>
      </w:r>
      <w:r>
        <w:rPr>
          <w:rStyle w:val="13"/>
          <w:rFonts w:hint="default" w:ascii="Times New Roman" w:hAnsi="Times New Roman"/>
          <w:b/>
          <w:color w:val="auto"/>
          <w:sz w:val="36"/>
          <w:szCs w:val="36"/>
          <w:shd w:val="clear" w:color="auto" w:fill="FFFFFF"/>
        </w:rPr>
        <w:t> </w:t>
      </w:r>
      <w:r>
        <w:rPr>
          <w:rStyle w:val="13"/>
          <w:rFonts w:cs="宋体"/>
          <w:b/>
          <w:color w:val="auto"/>
          <w:sz w:val="36"/>
          <w:szCs w:val="36"/>
          <w:shd w:val="clear" w:color="auto" w:fill="FFFFFF"/>
        </w:rPr>
        <w:t>电感耦合等离子光谱仪（</w:t>
      </w:r>
      <w:r>
        <w:rPr>
          <w:rStyle w:val="13"/>
          <w:rFonts w:hint="default" w:ascii="Times New Roman" w:hAnsi="Times New Roman"/>
          <w:b/>
          <w:color w:val="auto"/>
          <w:sz w:val="36"/>
          <w:szCs w:val="36"/>
          <w:shd w:val="clear" w:color="auto" w:fill="FFFFFF"/>
        </w:rPr>
        <w:t>ICP-OES</w:t>
      </w:r>
      <w:r>
        <w:rPr>
          <w:rStyle w:val="13"/>
          <w:rFonts w:cs="宋体"/>
          <w:b/>
          <w:color w:val="auto"/>
          <w:sz w:val="36"/>
          <w:szCs w:val="36"/>
          <w:shd w:val="clear" w:color="auto" w:fill="FFFFFF"/>
        </w:rPr>
        <w:t>）</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781-2016测试方法相关要求。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1.1、固体废物样品量为 0.25 g，消解后定容体积为 25.0 mL 时，银（Ag）、铝（Al）、钡（Ba）、铍（Be）、钙（Ca）、镉（Cd）、钴（Co）、铬（Cr）、铜（Cu）、铁（Fe）、钾（K）、镁（Mg）、锰（Mn）、 钠（Na）、镍（Ni）、铅（Pb）、锶（Sr）、钛（Ti）、钒（V）、 锌（Zn）、铊（Tl）、锑（Sb）等22 种金属元素的方法检出限为0.04 mg/kg ~8.9 mg/kg，测定下限为 0.16 mg/kg ~35.6 mg/kg。</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1.2、固体废物浸出液中 22 种金属元素的方法检出限为 0.004 mg/L ~0.35 mg/L，测定下限为 0.016 mg/L ~1.40 mg/L。</w:t>
      </w:r>
    </w:p>
    <w:p>
      <w:pPr>
        <w:pStyle w:val="9"/>
        <w:widowControl/>
        <w:spacing w:beforeAutospacing="0" w:afterAutospacing="0" w:line="480" w:lineRule="atLeast"/>
        <w:ind w:firstLine="420"/>
        <w:jc w:val="both"/>
        <w:rPr>
          <w:rFonts w:ascii="宋体" w:hAnsi="宋体" w:eastAsia="宋体" w:cs="宋体"/>
          <w:b/>
          <w:bCs/>
          <w:color w:val="auto"/>
        </w:rPr>
      </w:pPr>
      <w:r>
        <w:rPr>
          <w:rStyle w:val="13"/>
          <w:rFonts w:hint="eastAsia" w:ascii="宋体" w:hAnsi="宋体" w:eastAsia="宋体" w:cs="宋体"/>
          <w:b w:val="0"/>
          <w:bCs/>
          <w:color w:val="auto"/>
          <w:shd w:val="clear" w:color="auto" w:fill="FFFFFF"/>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2.1、动态范围：不低于六个数量级（≥10</w:t>
      </w:r>
      <w:r>
        <w:rPr>
          <w:rFonts w:hint="eastAsia" w:ascii="宋体" w:hAnsi="宋体" w:eastAsia="宋体" w:cs="宋体"/>
          <w:color w:val="auto"/>
          <w:shd w:val="clear" w:color="auto" w:fill="FFFFFF"/>
          <w:vertAlign w:val="superscript"/>
        </w:rPr>
        <w:t>6</w:t>
      </w:r>
      <w:r>
        <w:rPr>
          <w:rFonts w:hint="eastAsia" w:ascii="宋体" w:hAnsi="宋体" w:eastAsia="宋体" w:cs="宋体"/>
          <w:color w:val="auto"/>
          <w:shd w:val="clear" w:color="auto" w:fill="FFFFFF"/>
        </w:rPr>
        <w:t>）</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2.2、波长范围：具有全谱功能。覆盖范围165-900nm或以上（提供软件截图佐证材料）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2.3、精密度：测定1ppm标准溶液，重复测定十次的RSD≤0.5%；</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2.4、在200 nm处，光学分辨率：≤0.007nm；像素分辨率：≤0.003nm；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2.5、仪器灵敏度（单位：cps或cts/ppm）：1ppm的锰的标准溶液，Mn 257.610nm，最低检出限≤0.1㎍/L，信号强度≥300万cps；</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2.6、加氧功能：有机样品直接进样时，具有加氧辅助燃烧功能;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2.7、具有尾焰消除功能。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2.8、进样系统：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【评标项89】</w:t>
      </w:r>
      <w:r>
        <w:rPr>
          <w:rFonts w:hint="eastAsia" w:ascii="宋体" w:hAnsi="宋体" w:eastAsia="宋体" w:cs="宋体"/>
          <w:color w:val="auto"/>
          <w:shd w:val="clear" w:color="auto" w:fill="FFFFFF"/>
        </w:rPr>
        <w:t>2.8.1、耐HF酸的进样系统（含耐HF酸的雾化器和雾室），耐： 50% (v/v) HCl、HNO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、H</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rPr>
        <w:t>SO</w:t>
      </w:r>
      <w:r>
        <w:rPr>
          <w:rFonts w:hint="eastAsia" w:ascii="宋体" w:hAnsi="宋体" w:eastAsia="宋体" w:cs="宋体"/>
          <w:color w:val="auto"/>
          <w:shd w:val="clear" w:color="auto" w:fill="FFFFFF"/>
          <w:vertAlign w:val="subscript"/>
        </w:rPr>
        <w:t>4</w:t>
      </w:r>
      <w:r>
        <w:rPr>
          <w:rFonts w:hint="eastAsia" w:ascii="宋体" w:hAnsi="宋体" w:eastAsia="宋体" w:cs="宋体"/>
          <w:color w:val="auto"/>
          <w:shd w:val="clear" w:color="auto" w:fill="FFFFFF"/>
        </w:rPr>
        <w:t>、H</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rPr>
        <w:t>PO</w:t>
      </w:r>
      <w:r>
        <w:rPr>
          <w:rFonts w:hint="eastAsia" w:ascii="宋体" w:hAnsi="宋体" w:eastAsia="宋体" w:cs="宋体"/>
          <w:color w:val="auto"/>
          <w:shd w:val="clear" w:color="auto" w:fill="FFFFFF"/>
          <w:vertAlign w:val="subscript"/>
        </w:rPr>
        <w:t>4</w:t>
      </w:r>
      <w:r>
        <w:rPr>
          <w:rFonts w:hint="eastAsia" w:ascii="宋体" w:hAnsi="宋体" w:eastAsia="宋体" w:cs="宋体"/>
          <w:color w:val="auto"/>
          <w:shd w:val="clear" w:color="auto" w:fill="FFFFFF"/>
        </w:rPr>
        <w:t>，20% (v/v) HF；</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【评标项90】</w:t>
      </w:r>
      <w:r>
        <w:rPr>
          <w:rFonts w:hint="eastAsia" w:ascii="宋体" w:hAnsi="宋体" w:eastAsia="宋体" w:cs="宋体"/>
          <w:color w:val="auto"/>
          <w:shd w:val="clear" w:color="auto" w:fill="FFFFFF"/>
        </w:rPr>
        <w:t>2.8.2、气路控制：精度≤0.01ml/min；</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【评标项91】</w:t>
      </w:r>
      <w:r>
        <w:rPr>
          <w:rFonts w:hint="eastAsia" w:ascii="宋体" w:hAnsi="宋体" w:eastAsia="宋体" w:cs="宋体"/>
          <w:color w:val="auto"/>
          <w:shd w:val="clear" w:color="auto" w:fill="FFFFFF"/>
        </w:rPr>
        <w:t>2.8.3、蠕动泵四通道；</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【评标项92】</w:t>
      </w:r>
      <w:r>
        <w:rPr>
          <w:rFonts w:hint="eastAsia" w:ascii="宋体" w:hAnsi="宋体" w:eastAsia="宋体" w:cs="宋体"/>
          <w:color w:val="auto"/>
          <w:shd w:val="clear" w:color="auto" w:fill="FFFFFF"/>
        </w:rPr>
        <w:t>2.8.4、射频发生器频率：功率稳定性≤0.1%，射频发生器的功率传输效率≥80%，1W增量连续可调。功率范围500-1600W。（提供软件截图佐证材料）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【评标项93】</w:t>
      </w:r>
      <w:r>
        <w:rPr>
          <w:rFonts w:hint="eastAsia" w:ascii="宋体" w:hAnsi="宋体" w:eastAsia="宋体" w:cs="宋体"/>
          <w:color w:val="auto"/>
          <w:shd w:val="clear" w:color="auto" w:fill="FFFFFF"/>
        </w:rPr>
        <w:t>2.8.5、观测方式具备：在一次分析中可以同时采用轴向、轴向衰减和径向、径向衰减四种观测方式，并得到四种观测方式的测量结果；</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2.8.6、等离子体具有实时全彩色观测或摄像系统；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2.9、光学系统和检测器：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2.9.1、高性能二维(交叉)色散中阶梯光栅(或棱镜)，波长范围：覆盖165-785nm全波段，</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2.9.2、开机时间：仪器冷开机时间小于15分钟，包括仪器主机、气体、冷却循环水等冷启动，到仪器点炬时间。</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▲2.9.3、像元级制冷：封装在传感器内部的TEC制冷，直接作用像元，制冷温度大于-10℃，有效防止CCD表面冷凝，无需气体吹扫保护。（提供软件功能截图佐证材料）</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▲2.9.4、全谱实时校准技术：利用无干扰的氖特征谱线，对光谱的细微偏移进行实时校正，实现光谱的最优积分，确保长期稳定性，良好消除光谱漂移对于测量的影响。（提供国家认可认证机构出具的佐证材料）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【评标项9</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3.1、ICP主机 ：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3.2、自动进样系统：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3.3、工作站软件 ：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3.4、配套循环冷却水系统：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3.5、备用配件包（冷锥2个、雾化器2个，炬管5根，进样泵管3根）1套，  </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3.6、数据采集、输出系统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3.7、聚四氟乙烯坩埚：50 ml，100 ml。</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3.8、非金属筛，100 目，10个。10、 不间断电源UPS（≥2小时） 1套      </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706"/>
        <w:jc w:val="both"/>
        <w:rPr>
          <w:rFonts w:hint="default" w:cs="宋体"/>
          <w:color w:val="auto"/>
          <w:sz w:val="78"/>
          <w:szCs w:val="78"/>
        </w:rPr>
      </w:pPr>
      <w:r>
        <w:rPr>
          <w:rStyle w:val="13"/>
          <w:rFonts w:cs="宋体"/>
          <w:b/>
          <w:color w:val="auto"/>
          <w:sz w:val="36"/>
          <w:szCs w:val="36"/>
          <w:shd w:val="clear" w:color="auto" w:fill="FFFFFF"/>
        </w:rPr>
        <w:t>品目 7：</w:t>
      </w:r>
      <w:r>
        <w:rPr>
          <w:rStyle w:val="13"/>
          <w:rFonts w:hint="default" w:ascii="Times New Roman" w:hAnsi="Times New Roman"/>
          <w:b/>
          <w:color w:val="auto"/>
          <w:sz w:val="36"/>
          <w:szCs w:val="36"/>
          <w:shd w:val="clear" w:color="auto" w:fill="FFFFFF"/>
        </w:rPr>
        <w:t> </w:t>
      </w:r>
      <w:r>
        <w:rPr>
          <w:rStyle w:val="13"/>
          <w:rFonts w:cs="宋体"/>
          <w:b/>
          <w:color w:val="auto"/>
          <w:sz w:val="36"/>
          <w:szCs w:val="36"/>
          <w:shd w:val="clear" w:color="auto" w:fill="FFFFFF"/>
        </w:rPr>
        <w:t>原子吸收分光光度计</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98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767-2015、HJ 750-2015、HJ 787-2016、HJ 752-2015、HJ 749-2015、HJ 751-2015、HJ 786-2016、HJ 687-2014测试方法相关要求。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lang w:bidi="ar"/>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99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2.1、光谱仪主机系统:火焰+石墨炉一体机，一体机切换时无需拆卸自动进样器。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2.2、光学系统：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2.2.1、光路结构：单光束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2.2.2、光谱带宽：0.1nm,0.2nm,0.4nm,1.0nm,2.0nm五档自动切换</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2.3、光谱带宽换档误差：±0.02nm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2.4、波长范围：至少覆盖185-910nm波段；</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2.5、光栅刻线密度：1800条/mm；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2.6、波长重复性：±0.05 nm；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2.7、仪器光谱分辨能力：Mn 279.5 –279.8之间峰谷能量不超过30%</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3、火焰分析系统：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▲3.1、燃烧头：提供单缝和三缝两种燃烧头，缝长10cm，耐高盐，耐腐蚀（提供截面原理图片及实物图片佐证材料）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3.2、雾化器：可调雾化器，耐腐蚀（可使用氢氟酸）</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▲3.3、气体控制：采用压力传感器加气阻来替代原流量传感器，MFC控制器的响应速度极快，便于模块化安装（提供气路图及安装后的实物图并加以说明的佐证材料）</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▲3.4、原子化器模式：采用多种火焰原子化模式，全新气路一体化设计及电路控制系统，提供空气-乙炔和空气-丙烷两种模式。（提供制造商产品彩页佐证材料）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3.5、安全系统：有完善的安全连锁系统，包括废液瓶液面传感器报警控制装置（提供废液瓶液面传感器装置实物图片佐证材料）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【评标项10</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3.6、点火方式：自动点火</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09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3.7、代表元素检测指标：Cu：特征浓度：0.02mg/L；检出限：≤0.004 mg/L；RSD ：Cu≤0.7％（空气-乙炔法）  Cu≤1.0％（空气-液化石油气法）</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10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3.8、燃烧头位置调整：高度自动调整，可旋转</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3.9、背景校正方法：提供自吸收扣背景和氘灯扣背景两种扣背景方式</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4、石墨炉分析系统：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4.1、加热控温方式：干燥灰化阶段功率控制方式，原子化阶段采用光控最大功率方式。</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4.2、升温方式：斜坡升温，阶梯升温，最大功率升温；</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▲4.3、石墨管：横向加热石墨管，悬浮平台与基体管内壁局部接触，保持悬浮平台与管内壁之间距离均匀，最大进样量≥40ul（提供截面原理图片及实物图片佐证材料）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4.4、测定方式：峰高，峰面积任意选择和互换；</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4.5、代表元素检测指标：Cd: 检出限：≤0.4×10-12g；Cd：RSD≤ 2%；</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4.6、保护气控制：计算机自动控制，内外气流分别单独控制；</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4.7、操作软件: 中文界面；</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【评标项11</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4.9、最大磁场强度：1.0T；</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19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4.10、石墨炉自动进样器样品位数：≥70个；</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4.11、进样精度：优于±0.2μL；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4.12、稀释功能：全自动智能化稀释，最大稀释比例：1：500；</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4.13、辅助设备：石墨炉循环水冷却系统；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5、配置</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5.1、火焰石墨炉一体机（含自动进样器）或分体机（均含自动进样器）原子吸收主机 1套</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5.2、静音空气压缩机：应备有除水、除油和除尘装置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5.3、冷却水循环器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5.4、空心阴极灯： 原装8只（元素种类由甲方指定）</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5.5、原装石墨管：                 40根</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5.6、样品杯：                   2000个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5.7、进样毛细管：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5.8、数据采集、输出系统         1套（一体机）/2套（分体机）</w:t>
      </w:r>
    </w:p>
    <w:p>
      <w:pPr>
        <w:pStyle w:val="2"/>
        <w:widowControl/>
        <w:spacing w:before="346" w:beforeAutospacing="0" w:after="330" w:afterAutospacing="0" w:line="480" w:lineRule="atLeast"/>
        <w:ind w:left="-136"/>
        <w:rPr>
          <w:rFonts w:hint="default" w:cs="宋体"/>
          <w:color w:val="auto"/>
          <w:sz w:val="78"/>
          <w:szCs w:val="78"/>
        </w:rPr>
      </w:pPr>
      <w:r>
        <w:rPr>
          <w:rStyle w:val="13"/>
          <w:rFonts w:cs="宋体"/>
          <w:b/>
          <w:color w:val="auto"/>
          <w:sz w:val="36"/>
          <w:szCs w:val="36"/>
          <w:shd w:val="clear" w:color="auto" w:fill="FFFFFF"/>
        </w:rPr>
        <w:t>品目 8：</w:t>
      </w:r>
      <w:r>
        <w:rPr>
          <w:rStyle w:val="13"/>
          <w:rFonts w:hint="default" w:ascii="Times New Roman" w:hAnsi="Times New Roman"/>
          <w:b/>
          <w:color w:val="auto"/>
          <w:sz w:val="36"/>
          <w:szCs w:val="36"/>
          <w:shd w:val="clear" w:color="auto" w:fill="FFFFFF"/>
        </w:rPr>
        <w:t> </w:t>
      </w:r>
      <w:r>
        <w:rPr>
          <w:rStyle w:val="13"/>
          <w:rFonts w:cs="宋体"/>
          <w:b/>
          <w:color w:val="auto"/>
          <w:sz w:val="36"/>
          <w:szCs w:val="36"/>
          <w:shd w:val="clear" w:color="auto" w:fill="FFFFFF"/>
        </w:rPr>
        <w:t>原子荧光光谱仪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702-2014、GB/T 21191等测试方法相关要求。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lang w:bidi="ar"/>
        </w:rPr>
        <w:t>2、技术参数：</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2.1、用途：用于样品中As、Sb、Bi、Hg、Se等元素的痕量分析。</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2.2、至少三通道，可至少三元素同时测定，或任选元素检测，并具有通道增强功能。在不改变任何结构的情况下，可随时升级为四元素四通道同时测定。</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2.3、元素灯可自动切换。</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▲2.4、光学系统：元素灯与原子化器呈倾斜45°-85°角设计，免调光源光路设计，光源自动对焦，普通元素灯即插即用。（提供元素灯与原子化器呈倾斜45°-85°结构照片佐证材料）</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2.5、全自动内置式双进样系统，包含注射泵进样系统和蠕动泵进样系统。注射泵可精确控制样品溶液进量，最小进样体积0.01mL。实现对氢化物反应酸碱度要求严格元素的测量（Pb、Cd、Sn等）；同时，也适用于珍贵样品的检测。蠕动泵进样系统适用于浑浊及基体复杂样品的检测。软件选择进样系统，自动切换。（提供双进样系统【注射泵和蠕动泵进样系统】切换功能的软件截图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2.6、光源扣除漂移装置：具有自动扣除汞灯漂移装置；连续测量3小时 1ug/L浓度汞标准溶液，最大漂移量≤8％，汞灯自动激发，无需使用辅助工具激发起辉。（提供光源漂移扣除装置照片及连续测量3小时 1ug/L浓度汞标准溶液最大漂移量≤8％测量数据佐证材料）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【评标项129】</w:t>
      </w:r>
      <w:r>
        <w:rPr>
          <w:rFonts w:hint="eastAsia" w:ascii="宋体" w:hAnsi="宋体" w:eastAsia="宋体" w:cs="宋体"/>
          <w:color w:val="auto"/>
          <w:shd w:val="clear" w:color="auto" w:fill="FFFFFF"/>
        </w:rPr>
        <w:t>2.7、原子化器：屏蔽式低温点火石英炉原子化器，具有氩氢火焰观察窗。</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【评标项130】</w:t>
      </w:r>
      <w:r>
        <w:rPr>
          <w:rFonts w:hint="eastAsia" w:ascii="宋体" w:hAnsi="宋体" w:eastAsia="宋体" w:cs="宋体"/>
          <w:color w:val="auto"/>
          <w:shd w:val="clear" w:color="auto" w:fill="FFFFFF"/>
        </w:rPr>
        <w:t>2.8、单点自动配标准曲线r&gt;0.9995，在线自动稀释高浓度样品。</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气液分离装置：具有双重气液分离装置。独立的蠕动泵数量&gt;2个，可实现全管路关机清洗（提供&gt;2个蠕动泵实现全管路关机清洗结构照片及国家认可的认证机构出具的氢化物发生系统的清洗装置佐证材料）</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2.10、具有样品液面高度自动探测功能，随量跟踪，软件控制进样针下探高度。进样针须耐腐蚀、疏水不沾液的特殊金属材质。（提供进样针液位探测功能结构照片及进样针液位探测深度设定功能软件截图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2.11、气路系统：具备质量流量计控制载气和屏蔽气，气流量精度≤1mL，具有实时显示气体流量和流量异常提示及无载气安全保护功能；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2.12、总量检出限（DL）硒、碲、铋、砷、汞等元素&lt;0.01µg/L；</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冷原子测汞&lt;0.001µg/L；镉&lt;0.001µg/L; 金&lt;3.0µg/L。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2.13、三通道同时检测精密度（RSD）≤0.6%。</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2.14、每间隔20个样品回测载流空白，与初始载流空白荧光值最大偏差不超10％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2.15、自动进样系统≥200个样品位；</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2.16、仪器具有可选择低灵敏度和高灵敏度两种检测模式功能。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2.17、具有在线标准加入法装置，可在线添加还原剂、掩蔽剂等。（提供在线标准加入法装置结构照片及软件功能截图佐证材料）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【评标项13</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3.1、三通道原子荧光光度计主机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3.2、可升级四通道预留接口</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3.3、大于200位自动进样器</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3.4、进样器液面探测技术装置</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3.5、注射泵进样系统</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3.6、蠕动泵进样系统</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3.7、双质量流量计气路控制模块（载气和屏敝气）</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3.8、扣除汞漂移装置</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3.9、气液分离装置</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3.10、泵管</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3.11、屏蔽式石英炉原子化器</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3.12、砷、汞、硒元素灯       各1支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3.13、进样针</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3.14、耗材（毛细管1套、样品瓶500个）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3.15、原子荧光操作软件</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3.16、数据输入、输出系统1套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w:t>
      </w:r>
      <w:r>
        <w:rPr>
          <w:rStyle w:val="13"/>
          <w:rFonts w:hint="default" w:ascii="Times New Roman" w:hAnsi="Times New Roman"/>
          <w:b/>
          <w:color w:val="auto"/>
          <w:sz w:val="36"/>
          <w:szCs w:val="36"/>
          <w:shd w:val="clear" w:color="auto" w:fill="FFFFFF"/>
        </w:rPr>
        <w:t> </w:t>
      </w:r>
      <w:r>
        <w:rPr>
          <w:rStyle w:val="13"/>
          <w:rFonts w:ascii="Times New Roman" w:hAnsi="Times New Roman"/>
          <w:b/>
          <w:color w:val="auto"/>
          <w:sz w:val="36"/>
          <w:szCs w:val="36"/>
          <w:shd w:val="clear" w:color="auto" w:fill="FFFFFF"/>
        </w:rPr>
        <w:t xml:space="preserve"> 9：</w:t>
      </w:r>
      <w:r>
        <w:rPr>
          <w:rStyle w:val="13"/>
          <w:rFonts w:cs="宋体"/>
          <w:b/>
          <w:color w:val="auto"/>
          <w:sz w:val="36"/>
          <w:szCs w:val="36"/>
          <w:shd w:val="clear" w:color="auto" w:fill="FFFFFF"/>
        </w:rPr>
        <w:t>离子色谱仪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40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999-2018、GB 5085.3-2007附录G等测试方法相关要求。适用于样品中常见无机阴离子/无机阳离子等离子分析。</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lang w:bidi="ar"/>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41</w:t>
      </w:r>
      <w:r>
        <w:rPr>
          <w:rStyle w:val="13"/>
          <w:rFonts w:hint="eastAsia" w:ascii="宋体" w:hAnsi="宋体" w:eastAsia="宋体" w:cs="宋体"/>
          <w:color w:val="auto"/>
          <w:shd w:val="clear" w:color="auto" w:fill="FFFFFF"/>
        </w:rPr>
        <w:t>】2.</w:t>
      </w:r>
      <w:r>
        <w:rPr>
          <w:rFonts w:hint="eastAsia" w:ascii="宋体" w:hAnsi="宋体" w:eastAsia="宋体" w:cs="宋体"/>
          <w:color w:val="auto"/>
          <w:shd w:val="clear" w:color="auto" w:fill="FFFFFF"/>
        </w:rPr>
        <w:t>1、可实现多样品分析自动化，并具有在线自动样品前处理功能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2.2、泵单元：</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2.1.1、类型：采用化学惰性的非金属泵头，PEEK管路,适合于pH为0～14的水相淋洗液以及各种反相淋洗液体系。</w:t>
      </w:r>
    </w:p>
    <w:p>
      <w:pPr>
        <w:pStyle w:val="9"/>
        <w:widowControl/>
        <w:spacing w:beforeAutospacing="0" w:afterAutospacing="0" w:line="480" w:lineRule="atLeast"/>
        <w:ind w:right="-990" w:firstLine="420"/>
        <w:jc w:val="both"/>
        <w:rPr>
          <w:rStyle w:val="13"/>
          <w:rFonts w:ascii="宋体" w:hAnsi="宋体" w:eastAsia="宋体" w:cs="宋体"/>
          <w:color w:val="auto"/>
          <w:shd w:val="clear" w:color="auto" w:fill="FFFFFF"/>
        </w:rPr>
      </w:pPr>
      <w:r>
        <w:rPr>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2.1.2、流速范围：至少覆盖0.001-20mL/min。（提供彩页资料及软件设置界面截图进行佐证）</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2.1.3、流速增幅：≤0.001 mL/min；</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2.1.4、流速精确度： ≤0.1 ％；</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2.1.5、最大耐压≥35 Mpa。</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2.2、柱恒温箱：</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2.2.1、控温范围：至少覆盖室温+5℃-室温+40℃；</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2.2.2、温度稳定性：≤0.05℃；</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2.2.3、控制幅度：≤0.1 ℃；</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2.3、电导检测器：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【评标项14</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2.3.1、全量程输出范围:数字式0-15000μS/cm或更宽；</w:t>
      </w:r>
    </w:p>
    <w:p>
      <w:pPr>
        <w:pStyle w:val="9"/>
        <w:widowControl/>
        <w:spacing w:beforeAutospacing="0" w:afterAutospacing="0" w:line="480" w:lineRule="atLeast"/>
        <w:ind w:right="-990" w:firstLine="420"/>
        <w:jc w:val="both"/>
        <w:rPr>
          <w:rFonts w:hint="eastAsia" w:ascii="宋体" w:hAnsi="宋体" w:eastAsia="宋体" w:cs="宋体"/>
          <w:b/>
          <w:color w:val="auto"/>
          <w:shd w:val="clear" w:color="auto" w:fill="FFFFFF"/>
        </w:rPr>
      </w:pP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2.3.2、温度稳定性：≤0.001℃；</w:t>
      </w:r>
      <w:r>
        <w:rPr>
          <w:rStyle w:val="13"/>
          <w:rFonts w:hint="eastAsia" w:ascii="宋体" w:hAnsi="宋体" w:eastAsia="宋体" w:cs="宋体"/>
          <w:b w:val="0"/>
          <w:bCs/>
          <w:color w:val="auto"/>
          <w:shd w:val="clear" w:color="auto" w:fill="FFFFFF"/>
        </w:rPr>
        <w:t>（提供产品彩页佐证资料）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50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2.3.3、电子噪音≤0.1nS/cm；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51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2.3.4、温度补偿：0-5%/K可设定；</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2.3.5、池体积：≤0.8μL；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2.3.6、基线噪音：≤0.2ns/cm；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2.3.7、电导池常数：13.0-21.0/cm可设定；</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2.3.8、分辨率：优于0.005ns/cm；</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2.4、阴离子化学抑制器：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2.4.1、最大耐压≥2.5MPa；</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2.4.2、免费保修期≥10年；</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2.4.3、有机溶剂兼容性：0-100%；</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【评标项15</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2.4.4、内置压力过载保护装置，遇过高压力可自动切断流路，并报警；</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2.5、色谱柱和保护柱：</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▲2.5.1、含有实体接触式智能芯片（非软件虚拟功能替代），主机有智能芯片触点，显示序列号、使用的次数等信息；（需提供主机智能芯片触点图片及色谱柱上智能芯片实际照片进行佐证）</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60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2.5.2、阴离子分离柱及相应的保护柱1套，可完成F</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、Cl</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、Br</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、NO</w:t>
      </w:r>
      <w:r>
        <w:rPr>
          <w:rFonts w:hint="eastAsia" w:ascii="宋体" w:hAnsi="宋体" w:eastAsia="宋体" w:cs="宋体"/>
          <w:color w:val="auto"/>
          <w:shd w:val="clear" w:color="auto" w:fill="FFFFFF"/>
          <w:vertAlign w:val="subscript"/>
        </w:rPr>
        <w:t>3</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、NO</w:t>
      </w:r>
      <w:r>
        <w:rPr>
          <w:rFonts w:hint="eastAsia" w:ascii="宋体" w:hAnsi="宋体" w:eastAsia="宋体" w:cs="宋体"/>
          <w:color w:val="auto"/>
          <w:shd w:val="clear" w:color="auto" w:fill="FFFFFF"/>
          <w:vertAlign w:val="subscript"/>
        </w:rPr>
        <w:t>2</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、PO</w:t>
      </w:r>
      <w:r>
        <w:rPr>
          <w:rFonts w:hint="eastAsia" w:ascii="宋体" w:hAnsi="宋体" w:eastAsia="宋体" w:cs="宋体"/>
          <w:color w:val="auto"/>
          <w:shd w:val="clear" w:color="auto" w:fill="FFFFFF"/>
          <w:vertAlign w:val="subscript"/>
        </w:rPr>
        <w:t>4</w:t>
      </w:r>
      <w:r>
        <w:rPr>
          <w:rFonts w:hint="eastAsia" w:ascii="宋体" w:hAnsi="宋体" w:eastAsia="宋体" w:cs="宋体"/>
          <w:color w:val="auto"/>
          <w:shd w:val="clear" w:color="auto" w:fill="FFFFFF"/>
          <w:vertAlign w:val="superscript"/>
        </w:rPr>
        <w:t>3-</w:t>
      </w:r>
      <w:r>
        <w:rPr>
          <w:rFonts w:hint="eastAsia" w:ascii="宋体" w:hAnsi="宋体" w:eastAsia="宋体" w:cs="宋体"/>
          <w:color w:val="auto"/>
          <w:shd w:val="clear" w:color="auto" w:fill="FFFFFF"/>
        </w:rPr>
        <w:t xml:space="preserve"> 、SO</w:t>
      </w:r>
      <w:r>
        <w:rPr>
          <w:rFonts w:hint="eastAsia" w:ascii="宋体" w:hAnsi="宋体" w:eastAsia="宋体" w:cs="宋体"/>
          <w:color w:val="auto"/>
          <w:shd w:val="clear" w:color="auto" w:fill="FFFFFF"/>
          <w:vertAlign w:val="subscript"/>
        </w:rPr>
        <w:t>4</w:t>
      </w:r>
      <w:r>
        <w:rPr>
          <w:rFonts w:hint="eastAsia" w:ascii="宋体" w:hAnsi="宋体" w:eastAsia="宋体" w:cs="宋体"/>
          <w:color w:val="auto"/>
          <w:shd w:val="clear" w:color="auto" w:fill="FFFFFF"/>
          <w:vertAlign w:val="superscript"/>
        </w:rPr>
        <w:t>2-</w:t>
      </w:r>
      <w:r>
        <w:rPr>
          <w:rFonts w:hint="eastAsia" w:ascii="宋体" w:hAnsi="宋体" w:eastAsia="宋体" w:cs="宋体"/>
          <w:color w:val="auto"/>
          <w:shd w:val="clear" w:color="auto" w:fill="FFFFFF"/>
        </w:rPr>
        <w:t>、I</w:t>
      </w:r>
      <w:r>
        <w:rPr>
          <w:rFonts w:hint="eastAsia" w:ascii="宋体" w:hAnsi="宋体" w:eastAsia="宋体" w:cs="宋体"/>
          <w:color w:val="auto"/>
          <w:shd w:val="clear" w:color="auto" w:fill="FFFFFF"/>
          <w:vertAlign w:val="superscript"/>
        </w:rPr>
        <w:t>-</w:t>
      </w:r>
      <w:r>
        <w:rPr>
          <w:rFonts w:hint="eastAsia" w:ascii="宋体" w:hAnsi="宋体" w:eastAsia="宋体" w:cs="宋体"/>
          <w:color w:val="auto"/>
          <w:shd w:val="clear" w:color="auto" w:fill="FFFFFF"/>
        </w:rPr>
        <w:t>等离子分析。</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61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2.6、自动进样器：</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2.6.1、样品位≥55位；</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2.6.2、样品管体积≥10mL，可满足多次进样及在线样品预处理要求；</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22.6.3、可以实现样品插队，自由定位分析；</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2.6.4、内置原装双通道蠕动泵进样；</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2.6.5、样品管可重复使用；</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2.6.6、设有专用清洗位，清洗位体积≥200mL。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62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2.7、蠕动泵：</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2.7.1、转动速率：≥0-40转/分钟；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2.7.2、方向：顺时针和逆时针双向。</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2.8、在线样品超滤系统：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2.8.1、处理膜孔径：≤0.22μm；</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2.8.2、每张膜可以处理300个以上样品；</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▲2.8.3、交叉污染：≤0.1%。</w:t>
      </w:r>
      <w:r>
        <w:rPr>
          <w:rStyle w:val="13"/>
          <w:rFonts w:hint="eastAsia" w:ascii="宋体" w:hAnsi="宋体" w:eastAsia="宋体" w:cs="宋体"/>
          <w:b w:val="0"/>
          <w:bCs/>
          <w:color w:val="auto"/>
          <w:shd w:val="clear" w:color="auto" w:fill="FFFFFF"/>
        </w:rPr>
        <w:t>（提供产品彩页佐证资料）</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2.9、安培检测器：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2.9.1、测量原理：DSP数字式信号处理技术；</w:t>
      </w:r>
    </w:p>
    <w:p>
      <w:pPr>
        <w:pStyle w:val="9"/>
        <w:widowControl/>
        <w:spacing w:beforeAutospacing="0" w:afterAutospacing="0" w:line="480" w:lineRule="atLeast"/>
        <w:ind w:right="-990" w:firstLine="420"/>
        <w:jc w:val="both"/>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2.9.2、模式：至少包含直流安培法；脉冲安培法；积分脉冲安培法；循环伏安法四种模式；电位范围：-5.0V-+5.0V,0.001V步进；</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2.9.3、数字式信号范围：</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直流安培模式：0.0005pA-2 mA或更宽；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脉冲安培模式：0.02pA-2 mA或更宽；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积分脉冲安培模式：0.2pC-200μC或更宽；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循环伏安模式：0.2pA-20 mA或更宽；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2.9.4、电子噪声：直流安培模式：&lt; 5 pA；脉冲安培模式：&lt; 10 pA；积分脉冲安培模式：&lt; 30 pC。</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2.10、色谱软件：</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2.10.1、具备中文或英文界面；</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2.10.2、能同时控制主机及所有检测器、超滤系统；</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【评标项16</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3.1、主机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3.2、洗脱液套件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3.3、高压串联双柱塞泵（含智能芯片）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3.4、脉冲阻尼器                 1个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3.5、电子六通进样阀               1个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3.6、柱温箱                   1个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3.7、阴离子化学抑制器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3.8、蠕动泵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3.9、自动进样器</w:t>
      </w:r>
      <w:r>
        <w:rPr>
          <w:rFonts w:ascii="Times New Roman" w:hAnsi="Times New Roman" w:eastAsia="宋体"/>
          <w:color w:val="auto"/>
          <w:shd w:val="clear" w:color="auto" w:fill="FFFFFF"/>
        </w:rPr>
        <w:t>                        </w:t>
      </w:r>
      <w:r>
        <w:rPr>
          <w:rFonts w:hint="eastAsia" w:ascii="Times New Roman" w:hAnsi="Times New Roman" w:eastAsia="宋体"/>
          <w:color w:val="auto"/>
          <w:shd w:val="clear" w:color="auto" w:fill="FFFFFF"/>
        </w:rPr>
        <w:t xml:space="preserve">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3.10、智能型电导检测器（含智能芯片）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3.11、安培检测器（含检测池及电极）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3.12、阴离子分析柱（含智能芯片）及保护柱</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3.13、氰化物、硫化物分析柱及保护柱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3.14、色谱软件</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3.15、消耗品（蠕动泵管4根，样品管200套，在线过滤器滤芯10个、干燥剂1瓶）</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3.16、数据采集、输出系统</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570" w:firstLine="723" w:firstLineChars="200"/>
        <w:rPr>
          <w:rFonts w:hint="default" w:cs="宋体"/>
          <w:color w:val="auto"/>
          <w:sz w:val="78"/>
          <w:szCs w:val="78"/>
        </w:rPr>
      </w:pPr>
      <w:r>
        <w:rPr>
          <w:rStyle w:val="13"/>
          <w:rFonts w:cs="宋体"/>
          <w:b/>
          <w:color w:val="auto"/>
          <w:sz w:val="36"/>
          <w:szCs w:val="36"/>
          <w:shd w:val="clear" w:color="auto" w:fill="FFFFFF"/>
        </w:rPr>
        <w:t>品目 10：</w:t>
      </w:r>
      <w:r>
        <w:rPr>
          <w:rStyle w:val="13"/>
          <w:rFonts w:hint="default" w:ascii="Times New Roman" w:hAnsi="Times New Roman"/>
          <w:b/>
          <w:color w:val="auto"/>
          <w:sz w:val="36"/>
          <w:szCs w:val="36"/>
          <w:shd w:val="clear" w:color="auto" w:fill="FFFFFF"/>
        </w:rPr>
        <w:t> </w:t>
      </w:r>
      <w:r>
        <w:rPr>
          <w:rStyle w:val="13"/>
          <w:rFonts w:cs="宋体"/>
          <w:b/>
          <w:color w:val="auto"/>
          <w:sz w:val="36"/>
          <w:szCs w:val="36"/>
          <w:shd w:val="clear" w:color="auto" w:fill="FFFFFF"/>
        </w:rPr>
        <w:t>高效液相色谱仪（</w:t>
      </w:r>
      <w:r>
        <w:rPr>
          <w:rStyle w:val="13"/>
          <w:rFonts w:hint="default" w:ascii="Times New Roman" w:hAnsi="Times New Roman"/>
          <w:b/>
          <w:color w:val="auto"/>
          <w:sz w:val="36"/>
          <w:szCs w:val="36"/>
          <w:shd w:val="clear" w:color="auto" w:fill="FFFFFF"/>
        </w:rPr>
        <w:t>HPLC</w:t>
      </w:r>
      <w:r>
        <w:rPr>
          <w:rStyle w:val="13"/>
          <w:rFonts w:cs="宋体"/>
          <w:b/>
          <w:color w:val="auto"/>
          <w:sz w:val="36"/>
          <w:szCs w:val="36"/>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70</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1、应用范围</w:t>
      </w:r>
      <w:r>
        <w:rPr>
          <w:rFonts w:hint="eastAsia" w:ascii="宋体" w:hAnsi="宋体" w:eastAsia="宋体" w:cs="宋体"/>
          <w:b/>
          <w:bCs/>
          <w:color w:val="auto"/>
        </w:rPr>
        <w:t>：</w:t>
      </w:r>
      <w:r>
        <w:rPr>
          <w:rFonts w:hint="eastAsia" w:ascii="宋体" w:hAnsi="宋体" w:eastAsia="宋体" w:cs="宋体"/>
          <w:color w:val="auto"/>
          <w:shd w:val="clear" w:color="auto" w:fill="FFFFFF"/>
        </w:rPr>
        <w:t>符合GB 5085.3—2007附录J、HJ 1025-2019、HJ 1026-2019、GB 5085.6附录J、GB 5085.6附录L、GB 5085.6附录M、GB 5085.6附录P、HJ 950-2018、HJ 892-2017等测试方法相关要求。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lang w:bidi="ar"/>
        </w:rPr>
        <w:t>2、技术参数</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71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2.1、泵单元：</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2.1.1、溶剂数：四元；</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2.1.2、混合模式：低压混合；</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2.1.3、梯度洗脱范围：0~100%，最小递增率0.1%；递增率0.001ml/min；</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2.1.4、流量范围：0.001-5.000ml/min；</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2.1.5、流速精密度：RSD ≤0.07%；</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2.1.6、混合精度：RSD＜0.30%；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2.1.7、流量准确度： ±1%；</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2.1.8、最大输液压力：60MPa；</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2.1.9、压力准确度: ±5%；</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2.1.10、在线脱气机：容量：510μL，至少4个独立通道；</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2.1.11、泵清洗系统：独立的柱塞清洗泵，固定流速1mL/min。</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72</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2、自动进样器：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2.1、进样方式：直接进样;</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2.2、样品位数: ≥200位;</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2.3、进样针规格: 100μL，标配；500μL、1mL等;</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2.4、标准进样体积：0.1－100μL，≤0.1μL增量;</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2.5、进样体积重复性：RSD≤0.3%</w:t>
      </w:r>
      <w:r>
        <w:rPr>
          <w:rFonts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2.6、进样体积准确度: ≤±0.8% (50μL, n=10)</w:t>
      </w:r>
      <w:r>
        <w:rPr>
          <w:rFonts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2.7、样品残留: ≤0.005 %（羟基苯甲酸甲酯，60mg/100mL）;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2.8、样品最大进样次数: ≥99</w:t>
      </w:r>
      <w:r>
        <w:rPr>
          <w:rFonts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2.9、最大耐压：≥60Mpa</w:t>
      </w:r>
      <w:r>
        <w:rPr>
          <w:rFonts w:ascii="宋体" w:hAnsi="宋体" w:eastAsia="宋体" w:cs="宋体"/>
          <w:color w:val="auto"/>
          <w:shd w:val="clear" w:color="auto" w:fill="FFFFFF"/>
        </w:rPr>
        <w:t>;</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2.10、最长运行时间: ≥999.9 min</w:t>
      </w:r>
      <w:r>
        <w:rPr>
          <w:rFonts w:ascii="宋体" w:hAnsi="宋体" w:eastAsia="宋体" w:cs="宋体"/>
          <w:color w:val="auto"/>
          <w:shd w:val="clear" w:color="auto" w:fill="FFFFFF"/>
        </w:rPr>
        <w:t>;</w:t>
      </w:r>
    </w:p>
    <w:p>
      <w:pPr>
        <w:widowControl/>
        <w:spacing w:line="480" w:lineRule="atLeast"/>
        <w:ind w:left="420"/>
        <w:rPr>
          <w:rFonts w:ascii="宋体" w:hAnsi="宋体" w:eastAsia="宋体" w:cs="宋体"/>
          <w:color w:val="auto"/>
          <w:sz w:val="24"/>
        </w:rPr>
      </w:pPr>
      <w:r>
        <w:rPr>
          <w:rStyle w:val="13"/>
          <w:rFonts w:hint="eastAsia" w:ascii="宋体" w:hAnsi="宋体" w:eastAsia="宋体" w:cs="宋体"/>
          <w:b w:val="0"/>
          <w:color w:val="auto"/>
          <w:kern w:val="0"/>
          <w:sz w:val="24"/>
          <w:shd w:val="clear" w:color="auto" w:fill="FFFFFF"/>
        </w:rPr>
        <w:t>2.2.11</w:t>
      </w:r>
      <w:r>
        <w:rPr>
          <w:rFonts w:hint="eastAsia" w:ascii="宋体" w:hAnsi="宋体" w:eastAsia="宋体" w:cs="宋体"/>
          <w:color w:val="auto"/>
          <w:sz w:val="24"/>
          <w:shd w:val="clear" w:color="auto" w:fill="FFFFFF"/>
        </w:rPr>
        <w:t>、温控范围：4-40℃;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w:t>
      </w:r>
      <w:r>
        <w:rPr>
          <w:rStyle w:val="13"/>
          <w:rFonts w:hint="eastAsia" w:ascii="宋体" w:hAnsi="宋体" w:eastAsia="宋体" w:cs="宋体"/>
          <w:color w:val="auto"/>
          <w:shd w:val="clear" w:color="auto" w:fill="FFFFFF"/>
          <w:lang w:val="en-US" w:eastAsia="zh-CN"/>
        </w:rPr>
        <w:t>73</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3、柱温箱：</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3.1、容纳个数: 250mm×4根 色谱柱，可内置柱切换阀和混合器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3.2、控温方式：有预热功能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3.3、安全措施: 具备过热保护及漏液传感器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3.4、温度设置范围：至少覆盖4-85℃（0.1℃步进）</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3.5、温度准确度：≤±0.5℃</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3.6、温度控制精度：≤±0.1℃</w:t>
      </w:r>
    </w:p>
    <w:p>
      <w:pPr>
        <w:widowControl/>
        <w:spacing w:line="480" w:lineRule="atLeast"/>
        <w:ind w:left="420"/>
        <w:rPr>
          <w:rFonts w:ascii="宋体" w:hAnsi="宋体" w:eastAsia="宋体" w:cs="宋体"/>
          <w:color w:val="auto"/>
          <w:sz w:val="24"/>
        </w:rPr>
      </w:pPr>
      <w:r>
        <w:rPr>
          <w:rFonts w:hint="eastAsia" w:ascii="宋体" w:hAnsi="宋体" w:eastAsia="宋体" w:cs="宋体"/>
          <w:color w:val="auto"/>
          <w:sz w:val="24"/>
          <w:shd w:val="clear" w:color="auto" w:fill="FFFFFF"/>
        </w:rPr>
        <w:t>2.4、检测器：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【评标项17</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2.4.1、二极管阵列检测器：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2.4.1.1、二极管数：≥1024位；</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2.4.1.2、光源：D2灯，W灯；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2.4.1.3、波长范围：至少覆盖190～800nm；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2.4.1.4、波长准确度：＜±1nm；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2.4.1.5、狭缝宽度：1nm，4nm可调；</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2.4.1.6、噪音：＜0.5×10-5AU；</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2.4.1.7、漂移：＜0.4×10-3AU/hr；</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2.4.1.8、监测通道：≥5个；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【评标项17</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2.4.2、荧光检测器：</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2.4.2.1、光源：Xe灯；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2.4.2.2、波长范围：至少覆盖激发光200～850nm，发射光300～900nm；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2.4.2.3、波长准确度：＜±3nm；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2.4.2.4、波长重复性：±0.5nm；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2.4.2.5、光谱带宽：激发光≤20nm，发射光≤20nm；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2.4.2.6、灵敏度：水峰拉曼扫描S/N≥3000；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【评标项17</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3.1、液相主机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3.2、自动进样器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3.3、柱温箱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3.4、荧光检测器         1个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3.5、 二极管阵列检测器     1个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3.6、色谱工作站软件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3.7、色谱柱           3根  </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3.8、数据采集、输出系统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rPr>
          <w:rFonts w:hint="default" w:cs="宋体"/>
          <w:color w:val="auto"/>
          <w:sz w:val="78"/>
          <w:szCs w:val="78"/>
        </w:rPr>
      </w:pPr>
      <w:bookmarkStart w:id="1" w:name="_Hlk151740991"/>
      <w:r>
        <w:rPr>
          <w:rStyle w:val="13"/>
          <w:rFonts w:cs="宋体"/>
          <w:b/>
          <w:color w:val="auto"/>
          <w:sz w:val="36"/>
          <w:szCs w:val="36"/>
          <w:shd w:val="clear" w:color="auto" w:fill="FFFFFF"/>
        </w:rPr>
        <w:t>品目 11：</w:t>
      </w:r>
      <w:r>
        <w:rPr>
          <w:rStyle w:val="13"/>
          <w:rFonts w:hint="default" w:ascii="Times New Roman" w:hAnsi="Times New Roman"/>
          <w:b/>
          <w:color w:val="auto"/>
          <w:sz w:val="36"/>
          <w:szCs w:val="36"/>
          <w:shd w:val="clear" w:color="auto" w:fill="FFFFFF"/>
        </w:rPr>
        <w:t> </w:t>
      </w:r>
      <w:r>
        <w:rPr>
          <w:rStyle w:val="13"/>
          <w:rFonts w:cs="宋体"/>
          <w:b/>
          <w:color w:val="auto"/>
          <w:sz w:val="36"/>
          <w:szCs w:val="36"/>
          <w:shd w:val="clear" w:color="auto" w:fill="FFFFFF"/>
        </w:rPr>
        <w:t>高效液相色谱质谱联用仪（</w:t>
      </w:r>
      <w:r>
        <w:rPr>
          <w:rStyle w:val="13"/>
          <w:rFonts w:hint="default" w:ascii="Times New Roman" w:hAnsi="Times New Roman"/>
          <w:b/>
          <w:color w:val="auto"/>
          <w:sz w:val="36"/>
          <w:szCs w:val="36"/>
          <w:shd w:val="clear" w:color="auto" w:fill="FFFFFF"/>
        </w:rPr>
        <w:t>HPLC-MS</w:t>
      </w:r>
      <w:r>
        <w:rPr>
          <w:rStyle w:val="13"/>
          <w:rFonts w:cs="宋体"/>
          <w:b/>
          <w:color w:val="auto"/>
          <w:sz w:val="36"/>
          <w:szCs w:val="36"/>
          <w:shd w:val="clear" w:color="auto" w:fill="FFFFFF"/>
        </w:rPr>
        <w:t>）</w:t>
      </w:r>
    </w:p>
    <w:p>
      <w:pPr>
        <w:pStyle w:val="9"/>
        <w:widowControl/>
        <w:spacing w:beforeAutospacing="0" w:afterAutospacing="0" w:line="480" w:lineRule="atLeast"/>
        <w:ind w:firstLine="420"/>
        <w:jc w:val="both"/>
        <w:rPr>
          <w:rFonts w:ascii="宋体" w:hAnsi="宋体" w:cs="宋体"/>
          <w:color w:val="auto"/>
        </w:rPr>
      </w:pPr>
      <w:r>
        <w:rPr>
          <w:rStyle w:val="13"/>
          <w:rFonts w:hint="eastAsia" w:ascii="宋体" w:hAnsi="宋体" w:cs="宋体"/>
          <w:color w:val="auto"/>
          <w:shd w:val="clear" w:color="auto" w:fill="FFFFFF"/>
        </w:rPr>
        <w:t>【评标项17</w:t>
      </w:r>
      <w:r>
        <w:rPr>
          <w:rStyle w:val="13"/>
          <w:rFonts w:hint="eastAsia" w:ascii="宋体" w:hAnsi="宋体" w:cs="宋体"/>
          <w:color w:val="auto"/>
          <w:shd w:val="clear" w:color="auto" w:fill="FFFFFF"/>
          <w:lang w:val="en-US" w:eastAsia="zh-CN"/>
        </w:rPr>
        <w:t>7</w:t>
      </w:r>
      <w:r>
        <w:rPr>
          <w:rStyle w:val="13"/>
          <w:rFonts w:hint="eastAsia" w:ascii="宋体" w:hAnsi="宋体" w:cs="宋体"/>
          <w:color w:val="auto"/>
          <w:shd w:val="clear" w:color="auto" w:fill="FFFFFF"/>
        </w:rPr>
        <w:t>】</w:t>
      </w:r>
      <w:r>
        <w:rPr>
          <w:rFonts w:hint="eastAsia" w:ascii="宋体" w:hAnsi="宋体" w:cs="宋体"/>
          <w:color w:val="auto"/>
          <w:shd w:val="clear" w:color="auto" w:fill="FFFFFF"/>
          <w:lang w:bidi="ar"/>
        </w:rPr>
        <w:t>1、应用范围</w:t>
      </w:r>
      <w:r>
        <w:rPr>
          <w:rFonts w:hint="eastAsia" w:ascii="宋体" w:hAnsi="宋体" w:cs="宋体"/>
          <w:color w:val="auto"/>
        </w:rPr>
        <w:t>：</w:t>
      </w:r>
      <w:r>
        <w:rPr>
          <w:rFonts w:hint="eastAsia" w:ascii="宋体" w:hAnsi="宋体" w:cs="宋体"/>
          <w:color w:val="auto"/>
          <w:shd w:val="clear" w:color="auto" w:fill="FFFFFF"/>
        </w:rPr>
        <w:t>符合GB 5085.6附录I等测试方法相关要求。当固体废物取样量为 10 g，定容体积为 5.0 mL，进样体积为1μL 时，杀线威、灭多威、二氧威、涕灭威、恶虫威、克百威、残杀威、甲萘威、乙硫苯威、抗蚜威、异丙威、仲丁威、甲硫威、猛杀威、棉铃威15 种氨基甲酸酯类农药的方法检出限为 1.0 µg/kg～2.0 µg/kg，测定下限为 4.0 µg/kg～8.0 µg/kg；</w:t>
      </w:r>
    </w:p>
    <w:p>
      <w:pPr>
        <w:pStyle w:val="9"/>
        <w:widowControl/>
        <w:spacing w:beforeAutospacing="0" w:afterAutospacing="0" w:line="480" w:lineRule="atLeast"/>
        <w:ind w:firstLine="420"/>
        <w:jc w:val="both"/>
        <w:rPr>
          <w:rFonts w:ascii="宋体" w:hAnsi="宋体" w:cs="宋体"/>
          <w:color w:val="auto"/>
        </w:rPr>
      </w:pPr>
      <w:r>
        <w:rPr>
          <w:rFonts w:hint="eastAsia" w:ascii="宋体" w:hAnsi="宋体" w:cs="宋体"/>
          <w:color w:val="auto"/>
          <w:shd w:val="clear" w:color="auto" w:fill="FFFFFF"/>
        </w:rPr>
        <w:t>2、当固体废物浸出液取样体积为 100 mL，定容体积为 5.0 mL，进样体积为 1 μL 时，15 种氨基甲酸酯类农药（同上）的方法检出限为 0.2 μg/L，测定下限为 0.8 μg/L。</w:t>
      </w:r>
    </w:p>
    <w:p>
      <w:pPr>
        <w:pStyle w:val="9"/>
        <w:widowControl/>
        <w:spacing w:beforeAutospacing="0" w:afterAutospacing="0" w:line="480" w:lineRule="atLeast"/>
        <w:ind w:firstLine="420"/>
        <w:jc w:val="both"/>
        <w:rPr>
          <w:rFonts w:ascii="宋体" w:hAnsi="宋体" w:cs="宋体"/>
          <w:color w:val="auto"/>
        </w:rPr>
      </w:pPr>
      <w:r>
        <w:rPr>
          <w:rFonts w:hint="eastAsia" w:ascii="宋体" w:hAnsi="宋体" w:cs="宋体"/>
          <w:color w:val="auto"/>
          <w:shd w:val="clear" w:color="auto" w:fill="FFFFFF"/>
          <w:lang w:bidi="ar"/>
        </w:rPr>
        <w:t>3、技术指标</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3.1、超高效液相色谱仪指标</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【评标项17</w:t>
      </w:r>
      <w:r>
        <w:rPr>
          <w:rStyle w:val="13"/>
          <w:rFonts w:hint="eastAsia" w:ascii="宋体" w:hAnsi="宋体" w:cs="宋体"/>
          <w:color w:val="auto"/>
          <w:shd w:val="clear" w:color="auto" w:fill="FFFFFF"/>
          <w:lang w:val="en-US" w:eastAsia="zh-CN"/>
        </w:rPr>
        <w:t>8</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3.1.1、二元高压混合梯度泵及在线真空脱气机：</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3.1.1.1、流速范围：0.001-5mL/min, 步进：0.001 mL/min。（在软件上可设置）</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3.1.1.2、流量精度: 小于0.07%RSD；</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3.1.1.3、流量准确度:±1%；</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3.1.1.4、在线真空脱气机：4路及以上；</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3.1.1.5、标配自动柱塞杆清洗功能；</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【评标项17</w:t>
      </w:r>
      <w:r>
        <w:rPr>
          <w:rStyle w:val="13"/>
          <w:rFonts w:hint="eastAsia" w:ascii="宋体" w:hAnsi="宋体" w:cs="宋体"/>
          <w:color w:val="auto"/>
          <w:shd w:val="clear" w:color="auto" w:fill="FFFFFF"/>
          <w:lang w:val="en-US" w:eastAsia="zh-CN"/>
        </w:rPr>
        <w:t>9</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3.1.2、自动进样器：</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3.1.2.1、交叉污染：小于0.0015%；</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3.1.2.2、进样体积: 0.1-50 uL，步进：0.1uL；</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3.1.2.3、进样精度：小于0.3% RSD；</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3.1.2.4、样品容量：≥96位（1.5mL样品瓶），且兼容微孔板；</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3.1.2.6、样品室控温：4-40℃；</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80</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3.1.3、柱温箱：</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3.1.3.1、温度范围：室温以上5℃-85℃；</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3.1.3.2、温度稳定性：± 0.1℃；</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3.2、三重四极杆串联质谱仪指标</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3.2.1、离子源：</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81</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3.2.1.1、标配独立的ESI源和APCI源，质谱仪为桌上台式质谱，方便操作。</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▲3.2.1.2、ESI源流速耐受要求：可耐流速≥3.0mL/min（必须为不分流的情况下,且灵敏度不损失）。（投标时需现场演示操作软件中关于农药多菌灵在不同流速：0.4，0.8，1，2，3mL/min下，灵敏度不损失的谱图数据）</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82</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3.2.1.3、APCI源流速耐受要求：可耐流速≥3.0mL/min（必须为不分流的情况下，且灵敏度不损失）。（投标时提供阿苯达唑在不同流速：0.4，0.6，1，2，3mL/min下，灵敏度不损失的谱图数据佐证材料）</w:t>
      </w:r>
    </w:p>
    <w:p>
      <w:pPr>
        <w:pStyle w:val="9"/>
        <w:widowControl/>
        <w:spacing w:beforeAutospacing="0" w:afterAutospacing="0" w:line="480" w:lineRule="atLeast"/>
        <w:ind w:right="-990" w:firstLine="420"/>
        <w:jc w:val="both"/>
        <w:rPr>
          <w:rFonts w:ascii="宋体" w:hAnsi="宋体"/>
          <w:color w:val="auto"/>
        </w:rPr>
      </w:pPr>
      <w:r>
        <w:rPr>
          <w:rFonts w:hint="eastAsia" w:ascii="宋体" w:hAnsi="宋体" w:cs="宋体"/>
          <w:color w:val="auto"/>
          <w:shd w:val="clear" w:color="auto" w:fill="FFFFFF"/>
        </w:rPr>
        <w:t>★3.2.1.4、离子源内具有两路或两路以上的加热雾化气，确保物质更容易雾化而提高相等样品量的电离度，使系统有稳定可靠的灵敏度，辅助加热气最高温度可达750℃或以上，且该最高温度必须在操作软件上可以设置并实现运行。（投标时提供操作软件中关于温度数值的截图证明材料）</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83</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3.2.1.5、插拔式可互换ESI及APCI喷针，可在实现ESI源及APCI源的快速更换无需放空质谱真空系统。</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4</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3.2.1.6、离子传输方式: 采用高压离子聚焦技术，压力8 mtorr，以确保最佳的离子聚焦效果和离子传输效率。</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5</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3.2.1.7、离子源内喷雾针和锥孔直线下方具有主动式负压抽气设计，非机械泵抽压</w:t>
      </w:r>
    </w:p>
    <w:p>
      <w:pPr>
        <w:pStyle w:val="9"/>
        <w:widowControl/>
        <w:spacing w:beforeAutospacing="0" w:afterAutospacing="0" w:line="480" w:lineRule="atLeast"/>
        <w:ind w:right="-990" w:firstLine="420"/>
        <w:jc w:val="both"/>
        <w:rPr>
          <w:rFonts w:ascii="宋体" w:hAnsi="宋体" w:cs="宋体"/>
          <w:color w:val="auto"/>
          <w:shd w:val="clear" w:color="auto" w:fill="FFFFFF"/>
        </w:rPr>
      </w:pPr>
      <w:r>
        <w:rPr>
          <w:rFonts w:hint="eastAsia" w:ascii="宋体" w:hAnsi="宋体" w:cs="宋体"/>
          <w:color w:val="auto"/>
          <w:shd w:val="clear" w:color="auto" w:fill="FFFFFF"/>
        </w:rPr>
        <w:t>▲3.2.1.8、离子化后稳定性需求：离子源接口采用360度反吹气装置的一级锥孔结构，仪器内部无第二级锥孔结构、无毛细管或其它任何引流管路传输设计，以同时保持高灵敏度和优异的抗污染能力。若投标型号为锥孔结构，需在配置中配锥孔擦拭工具2包；若采用毛细管结构，在配置中配原厂备用毛细管（石英或金属）50根。（投标时提供离子源接口锥孔结构图的产品彩页证明）</w:t>
      </w:r>
    </w:p>
    <w:p>
      <w:pPr>
        <w:pStyle w:val="9"/>
        <w:widowControl/>
        <w:spacing w:beforeAutospacing="0" w:afterAutospacing="0" w:line="480" w:lineRule="atLeast"/>
        <w:ind w:right="-990" w:firstLine="420"/>
        <w:jc w:val="both"/>
        <w:rPr>
          <w:rFonts w:ascii="宋体" w:hAnsi="宋体" w:cs="宋体"/>
          <w:color w:val="auto"/>
          <w:shd w:val="clear" w:color="auto" w:fill="FFFFFF"/>
        </w:rPr>
      </w:pPr>
      <w:r>
        <w:rPr>
          <w:rFonts w:hint="eastAsia" w:ascii="宋体" w:hAnsi="宋体" w:cs="宋体"/>
          <w:color w:val="auto"/>
          <w:shd w:val="clear" w:color="auto" w:fill="FFFFFF"/>
        </w:rPr>
        <w:t>▲3.2.1.9、离子源不同温度对灵敏度的影响：在其他条件不变的前提下，在300-750℃范围内，测定喹乙醇随着离子源温度升高灵敏度升高的数据。（投标时提供至少三个温度点下的谱图数据证明，其中必须包含650℃和750℃温度点）</w:t>
      </w:r>
    </w:p>
    <w:p>
      <w:pPr>
        <w:pStyle w:val="9"/>
        <w:widowControl/>
        <w:spacing w:beforeAutospacing="0" w:afterAutospacing="0" w:line="480" w:lineRule="atLeast"/>
        <w:ind w:right="-990" w:firstLine="420"/>
        <w:jc w:val="both"/>
        <w:rPr>
          <w:rFonts w:ascii="宋体" w:hAnsi="宋体" w:cs="宋体"/>
          <w:color w:val="auto"/>
          <w:shd w:val="clear" w:color="auto" w:fill="FFFFFF"/>
        </w:rPr>
      </w:pPr>
      <w:r>
        <w:rPr>
          <w:rFonts w:hint="eastAsia" w:ascii="宋体" w:hAnsi="宋体" w:cs="宋体"/>
          <w:color w:val="auto"/>
          <w:shd w:val="clear" w:color="auto" w:fill="FFFFFF"/>
        </w:rPr>
        <w:t>★3.2.2、串联质谱碰撞池能力: 采用180°U型的拐弯非直型碰撞池的设计，且具有线性加速技术；碰撞池不需要加热，以防止加热产生的老化。同时，采用氮气发生器产生的氮气作为雾化气和碰撞气，无需氩气或氮气钢瓶等额外气源。（投标时提供拐弯碰撞池结构图的证明）</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6</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3.2.3、质量分析器：采用弹性系数小的陶瓷镀金材质，保证长时间的稳定性。（投标时提供陶瓷镀金材质图片佐证材料）</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7</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3.2.4、检测器：采用脉冲电子倍增器，无信号模拟过程，保证低浓度水平检测重现性和准确性。</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8</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3.2.5、真空系统：特殊设计的机械泵和长寿命涡轮分子泵组合差分抽气高真空系统, 无需额外水冷却系统，具有自动断电保护功能。</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3.2.6、仪器可扩展安装差分离子淌度装置，基于气态离子的尺寸和形状进行分离，可对同分异构体的分离分析，复杂基质中分离消除共流出污染物，以及降低高背景噪音，接口须简单，即插即用，无需卸真空。（投标时提供差分离子淌度装置结构图的产品彩页证明）</w:t>
      </w:r>
    </w:p>
    <w:p>
      <w:pPr>
        <w:pStyle w:val="9"/>
        <w:widowControl/>
        <w:spacing w:beforeAutospacing="0" w:afterAutospacing="0" w:line="480" w:lineRule="atLeast"/>
        <w:ind w:right="-990" w:firstLine="420"/>
        <w:jc w:val="both"/>
        <w:rPr>
          <w:rFonts w:ascii="宋体" w:hAnsi="宋体" w:cs="宋体"/>
          <w:color w:val="auto"/>
          <w:shd w:val="clear" w:color="auto" w:fill="FFFFFF"/>
        </w:rPr>
      </w:pPr>
      <w:r>
        <w:rPr>
          <w:rFonts w:hint="eastAsia" w:ascii="宋体" w:hAnsi="宋体" w:cs="宋体"/>
          <w:color w:val="auto"/>
          <w:shd w:val="clear" w:color="auto" w:fill="FFFFFF"/>
        </w:rPr>
        <w:t>▲3.2.7、质谱兼容扩展性：为满足不同样品检测需求，要求质谱主机具备连接同一厂家的高效毛细管电泳分离和电喷雾离子化系统（投标时提供其高效毛细管电泳分离和电喷雾离子化系统的型号及产品彩页证明）</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3.2.8、质谱系统的性能</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▲3.2.8.1、四级杆扫描质量范围(m/z)：5~1250</w:t>
      </w:r>
      <w:r>
        <w:rPr>
          <w:rFonts w:ascii="宋体" w:hAnsi="宋体" w:cs="宋体"/>
          <w:color w:val="auto"/>
          <w:shd w:val="clear" w:color="auto" w:fill="FFFFFF"/>
        </w:rPr>
        <w:t>D</w:t>
      </w:r>
      <w:r>
        <w:rPr>
          <w:rFonts w:hint="eastAsia" w:ascii="宋体" w:hAnsi="宋体" w:cs="宋体"/>
          <w:color w:val="auto"/>
          <w:shd w:val="clear" w:color="auto" w:fill="FFFFFF"/>
        </w:rPr>
        <w:t>a。为保证整个质量范围高灵敏度，最大质量范围需不超过1500</w:t>
      </w:r>
      <w:r>
        <w:rPr>
          <w:rFonts w:ascii="宋体" w:hAnsi="宋体" w:cs="宋体"/>
          <w:color w:val="auto"/>
          <w:shd w:val="clear" w:color="auto" w:fill="FFFFFF"/>
        </w:rPr>
        <w:t>D</w:t>
      </w:r>
      <w:r>
        <w:rPr>
          <w:rFonts w:hint="eastAsia" w:ascii="宋体" w:hAnsi="宋体" w:cs="宋体"/>
          <w:color w:val="auto"/>
          <w:shd w:val="clear" w:color="auto" w:fill="FFFFFF"/>
        </w:rPr>
        <w:t>a。（投标时提供操作软件演示质量范围数据，超过1</w:t>
      </w:r>
      <w:r>
        <w:rPr>
          <w:rFonts w:ascii="宋体" w:hAnsi="宋体" w:cs="宋体"/>
          <w:color w:val="auto"/>
          <w:shd w:val="clear" w:color="auto" w:fill="FFFFFF"/>
        </w:rPr>
        <w:t>500 D</w:t>
      </w:r>
      <w:r>
        <w:rPr>
          <w:rFonts w:hint="eastAsia" w:ascii="宋体" w:hAnsi="宋体" w:cs="宋体"/>
          <w:color w:val="auto"/>
          <w:shd w:val="clear" w:color="auto" w:fill="FFFFFF"/>
        </w:rPr>
        <w:t>a的数值在软件中将不可设置。）</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【评标项18</w:t>
      </w:r>
      <w:r>
        <w:rPr>
          <w:rStyle w:val="13"/>
          <w:rFonts w:hint="eastAsia" w:ascii="宋体" w:hAnsi="宋体" w:cs="宋体"/>
          <w:color w:val="auto"/>
          <w:shd w:val="clear" w:color="auto" w:fill="FFFFFF"/>
          <w:lang w:val="en-US" w:eastAsia="zh-CN"/>
        </w:rPr>
        <w:t>9</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3.2.8.2、四极杆扫描速度≥12000 amu/s；</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90</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3.2.8.3、MRM最小驻留时间(dwell time)≤1ms；</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91</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3.2.8.4、线性范围：≥6个数量级；</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w:t>
      </w:r>
      <w:r>
        <w:rPr>
          <w:rStyle w:val="13"/>
          <w:rFonts w:hint="eastAsia" w:ascii="宋体" w:hAnsi="宋体" w:cs="宋体"/>
          <w:color w:val="auto"/>
          <w:shd w:val="clear" w:color="auto" w:fill="FFFFFF"/>
          <w:lang w:val="en-US" w:eastAsia="zh-CN"/>
        </w:rPr>
        <w:t>92</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3.2.8.5、质量稳定性：全质量范围质量稳定性优于0.1Da/48hr；</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3</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3.2.8.6、信噪比真实性要求：分别测量50fg、100fg、200fg、500fg柱上量的利血平，要求其回归系数R＞0.99。</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4</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3.2.8.7、ESI+灵敏度：1pg利血平，MRM离子对为m/z609与195，过色谱柱， 信噪比＞1000000:1。</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▲3.2.8.8、满足ESI-灵敏度：1pg 氯霉素，MRM离子对为m/z321与152，过色谱柱，信噪比＞1000000:1。</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5</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3.2.8.9、仪器重现性：5ppb和50ppb的利血平连续5次进样RSD＜1%。</w:t>
      </w:r>
    </w:p>
    <w:p>
      <w:pPr>
        <w:pStyle w:val="9"/>
        <w:widowControl/>
        <w:spacing w:beforeAutospacing="0" w:afterAutospacing="0" w:line="480" w:lineRule="atLeast"/>
        <w:ind w:right="-990" w:firstLine="420"/>
        <w:jc w:val="both"/>
        <w:rPr>
          <w:rFonts w:ascii="宋体" w:hAnsi="宋体" w:cs="宋体"/>
          <w:color w:val="auto"/>
          <w:shd w:val="clear" w:color="auto" w:fill="FFFFFF"/>
        </w:rPr>
      </w:pPr>
      <w:r>
        <w:rPr>
          <w:rFonts w:hint="eastAsia" w:ascii="宋体" w:hAnsi="宋体" w:cs="宋体"/>
          <w:color w:val="auto"/>
          <w:shd w:val="clear" w:color="auto" w:fill="FFFFFF"/>
        </w:rPr>
        <w:t>▲3.2.8.10</w:t>
      </w:r>
      <w:bookmarkStart w:id="2" w:name="_Hlk151728248"/>
      <w:r>
        <w:rPr>
          <w:rFonts w:hint="eastAsia" w:ascii="宋体" w:hAnsi="宋体" w:cs="宋体"/>
          <w:color w:val="auto"/>
          <w:shd w:val="clear" w:color="auto" w:fill="FFFFFF"/>
        </w:rPr>
        <w:t>、正负离子稳定时间（切换速率）：5ms</w:t>
      </w:r>
      <w:bookmarkEnd w:id="2"/>
      <w:r>
        <w:rPr>
          <w:rFonts w:hint="eastAsia" w:ascii="宋体" w:hAnsi="宋体" w:cs="宋体"/>
          <w:color w:val="auto"/>
          <w:shd w:val="clear" w:color="auto" w:fill="FFFFFF"/>
        </w:rPr>
        <w:t>。（投标时需现场演示操作软件关于正负离子稳定时间5 ms的数据证明）</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▲3.2.8.11、仪器后续可加配具有以下扫描模式：子离子扫描( Product Ion)、母离子扫描(Precursor Ion)、中性丢失扫描(Neutral Loss)、选择反应扫描(</w:t>
      </w:r>
      <w:r>
        <w:rPr>
          <w:rFonts w:ascii="宋体" w:hAnsi="宋体" w:cs="宋体"/>
          <w:color w:val="auto"/>
          <w:shd w:val="clear" w:color="auto" w:fill="FFFFFF"/>
        </w:rPr>
        <w:t>Q1 MI/Q3 MI</w:t>
      </w:r>
      <w:r>
        <w:rPr>
          <w:rFonts w:hint="eastAsia" w:ascii="宋体" w:hAnsi="宋体" w:cs="宋体"/>
          <w:color w:val="auto"/>
          <w:shd w:val="clear" w:color="auto" w:fill="FFFFFF"/>
        </w:rPr>
        <w:t>)、多反应监测扫描(MRM)、增强全扫描（EMS）、增强子离子扫描（EPI）、增强分辨率扫描（ER）。（投标时需现场演示操作软件关于加配后的这些功能显示）</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6</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3.2.8.12、仪器后续可加配具有电荷数判定功能：可以根据离子动能，实现在低分辨条件下，区分离子的电荷数。</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▲3.2.8.13提供3000种以上化合物的M</w:t>
      </w:r>
      <w:r>
        <w:rPr>
          <w:rFonts w:ascii="宋体" w:hAnsi="宋体" w:cs="宋体"/>
          <w:color w:val="auto"/>
          <w:shd w:val="clear" w:color="auto" w:fill="FFFFFF"/>
        </w:rPr>
        <w:t>RM</w:t>
      </w:r>
      <w:r>
        <w:rPr>
          <w:rFonts w:hint="eastAsia" w:ascii="宋体" w:hAnsi="宋体" w:cs="宋体"/>
          <w:color w:val="auto"/>
          <w:shd w:val="clear" w:color="auto" w:fill="FFFFFF"/>
        </w:rPr>
        <w:t>离子对库和</w:t>
      </w:r>
      <w:r>
        <w:rPr>
          <w:rFonts w:ascii="宋体" w:hAnsi="宋体" w:cs="宋体"/>
          <w:color w:val="auto"/>
          <w:shd w:val="clear" w:color="auto" w:fill="FFFFFF"/>
        </w:rPr>
        <w:t>1700</w:t>
      </w:r>
      <w:r>
        <w:rPr>
          <w:rFonts w:hint="eastAsia" w:ascii="宋体" w:hAnsi="宋体" w:cs="宋体"/>
          <w:color w:val="auto"/>
          <w:shd w:val="clear" w:color="auto" w:fill="FFFFFF"/>
        </w:rPr>
        <w:t>种以上化合物的增强子离子谱库（投标时需现场演示操作软件关于</w:t>
      </w:r>
      <w:r>
        <w:rPr>
          <w:rFonts w:ascii="宋体" w:hAnsi="宋体" w:cs="宋体"/>
          <w:color w:val="auto"/>
          <w:shd w:val="clear" w:color="auto" w:fill="FFFFFF"/>
        </w:rPr>
        <w:t>1700</w:t>
      </w:r>
      <w:r>
        <w:rPr>
          <w:rFonts w:hint="eastAsia" w:ascii="宋体" w:hAnsi="宋体" w:cs="宋体"/>
          <w:color w:val="auto"/>
          <w:shd w:val="clear" w:color="auto" w:fill="FFFFFF"/>
        </w:rPr>
        <w:t>种以上化合物的增强子离子谱库）。</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7</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3.2.8.14、仪器后续可升级复杂基质下高选择性MRM3定量分析，5pg利血平,母离子609，驻留时间设为20ms，子离子397，二级子离子365，S/N＞300：1，由于源内解离（source-CID）没有选择性，因此任何源内解离数据均不应被看做满足此项指标。</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8</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3.3 工作站软件</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3.3.1、操作软件支持中文界面，自动实现仪器的功能配置、条件优化、数据采集、数据处理、快速定量。软件同时控制液相、质谱。 能自动地确保系统待用，进行质量校正和设置质谱分辨率，以便不用进行此项操作，通过生成化合物明确的质谱方法（MRM）和优化针对特定分析环境的API源条件达到最佳检测限,检查液相色谱/质谱系统性能，确保分析结果准确,通过监测系统参数和解析系统报警使系统的运行时间最大化。</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3.3.2、能提供“及时”定量数据质量监测，以确定QC或空白样品是否落在甲方指定的误差范围内。能决定或是样品是否被注入或是需要进行更详细的检查，确保实验室的资源得到最充分利用。</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3.3.3、配备高通量定量软件，可处理大批量样品，同时分析上百种甚至上千种化合物。要求能自动标识离子比率、异常值等。积分可靠，减少积分误差。具有审计追踪功能。智能的多化合物MRM方法设置，可根据每个MRM目标物的保留时间自动设置MRM窗口，无需手动设置MRM采集窗口的起止时间段。</w:t>
      </w:r>
    </w:p>
    <w:p>
      <w:pPr>
        <w:pStyle w:val="9"/>
        <w:widowControl/>
        <w:spacing w:beforeAutospacing="0" w:afterAutospacing="0" w:line="480" w:lineRule="atLeast"/>
        <w:ind w:right="-990" w:firstLine="420"/>
        <w:jc w:val="both"/>
        <w:rPr>
          <w:rFonts w:ascii="宋体" w:hAnsi="宋体" w:cs="宋体"/>
          <w:color w:val="auto"/>
        </w:rPr>
      </w:pPr>
      <w:r>
        <w:rPr>
          <w:rStyle w:val="13"/>
          <w:rFonts w:hint="eastAsia" w:ascii="宋体" w:hAnsi="宋体" w:cs="宋体"/>
          <w:color w:val="auto"/>
          <w:shd w:val="clear" w:color="auto" w:fill="FFFFFF"/>
        </w:rPr>
        <w:t>【评标项19</w:t>
      </w:r>
      <w:r>
        <w:rPr>
          <w:rStyle w:val="13"/>
          <w:rFonts w:hint="eastAsia" w:ascii="宋体" w:hAnsi="宋体" w:cs="宋体"/>
          <w:color w:val="auto"/>
          <w:shd w:val="clear" w:color="auto" w:fill="FFFFFF"/>
          <w:lang w:val="en-US" w:eastAsia="zh-CN"/>
        </w:rPr>
        <w:t>9</w:t>
      </w:r>
      <w:r>
        <w:rPr>
          <w:rStyle w:val="13"/>
          <w:rFonts w:hint="eastAsia" w:ascii="宋体" w:hAnsi="宋体" w:cs="宋体"/>
          <w:color w:val="auto"/>
          <w:shd w:val="clear" w:color="auto" w:fill="FFFFFF"/>
        </w:rPr>
        <w:t>】</w:t>
      </w:r>
      <w:r>
        <w:rPr>
          <w:rFonts w:hint="eastAsia" w:ascii="宋体" w:hAnsi="宋体" w:cs="宋体"/>
          <w:color w:val="auto"/>
          <w:shd w:val="clear" w:color="auto" w:fill="FFFFFF"/>
        </w:rPr>
        <w:t>4、配置清单：</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4.1、二元超高压液相色谱一套：包括二元超高压梯度泵单元，脱气单元，控温自动进样器，柱温箱，溶剂瓶及托盘等</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4.2、台式串联四级杆质谱主机（标配ESI和APCI离子源）一台</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4.3、注射泵（内置在质谱主机）一台</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4.4、离子淌度接口一个</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4.5、中文界面操作和定量软件一套</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4.6、配套氮气发生器一套；</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4.7、备品备件：透明1.5mL样品瓶500个，色谱柱1根，机械泵油2瓶</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4.8、不间断电源一套：10KVA，蓄电两小时。</w:t>
      </w:r>
    </w:p>
    <w:p>
      <w:pPr>
        <w:pStyle w:val="9"/>
        <w:widowControl/>
        <w:spacing w:beforeAutospacing="0" w:afterAutospacing="0" w:line="480" w:lineRule="atLeast"/>
        <w:ind w:right="-990" w:firstLine="420"/>
        <w:jc w:val="both"/>
        <w:rPr>
          <w:rFonts w:ascii="宋体" w:hAnsi="宋体" w:cs="宋体"/>
          <w:color w:val="auto"/>
        </w:rPr>
      </w:pPr>
      <w:r>
        <w:rPr>
          <w:rFonts w:hint="eastAsia" w:ascii="宋体" w:hAnsi="宋体" w:cs="宋体"/>
          <w:color w:val="auto"/>
          <w:shd w:val="clear" w:color="auto" w:fill="FFFFFF"/>
        </w:rPr>
        <w:t>4</w:t>
      </w:r>
      <w:r>
        <w:rPr>
          <w:rFonts w:ascii="宋体" w:hAnsi="宋体" w:cs="宋体"/>
          <w:color w:val="auto"/>
          <w:shd w:val="clear" w:color="auto" w:fill="FFFFFF"/>
        </w:rPr>
        <w:t>.9</w:t>
      </w:r>
      <w:r>
        <w:rPr>
          <w:rFonts w:hint="eastAsia" w:ascii="宋体" w:hAnsi="宋体" w:cs="宋体"/>
          <w:color w:val="auto"/>
          <w:shd w:val="clear" w:color="auto" w:fill="FFFFFF"/>
        </w:rPr>
        <w:t>、M</w:t>
      </w:r>
      <w:r>
        <w:rPr>
          <w:rFonts w:ascii="宋体" w:hAnsi="宋体" w:cs="宋体"/>
          <w:color w:val="auto"/>
          <w:shd w:val="clear" w:color="auto" w:fill="FFFFFF"/>
        </w:rPr>
        <w:t>RM</w:t>
      </w:r>
      <w:r>
        <w:rPr>
          <w:rFonts w:hint="eastAsia" w:ascii="宋体" w:hAnsi="宋体" w:cs="宋体"/>
          <w:color w:val="auto"/>
          <w:shd w:val="clear" w:color="auto" w:fill="FFFFFF"/>
        </w:rPr>
        <w:t>离子对库（≥3</w:t>
      </w:r>
      <w:r>
        <w:rPr>
          <w:rFonts w:ascii="宋体" w:hAnsi="宋体" w:cs="宋体"/>
          <w:color w:val="auto"/>
          <w:shd w:val="clear" w:color="auto" w:fill="FFFFFF"/>
        </w:rPr>
        <w:t>000</w:t>
      </w:r>
      <w:r>
        <w:rPr>
          <w:rFonts w:hint="eastAsia" w:ascii="宋体" w:hAnsi="宋体" w:cs="宋体"/>
          <w:color w:val="auto"/>
          <w:shd w:val="clear" w:color="auto" w:fill="FFFFFF"/>
        </w:rPr>
        <w:t>种化合物）。</w:t>
      </w:r>
    </w:p>
    <w:bookmarkEnd w:id="1"/>
    <w:p>
      <w:pPr>
        <w:pStyle w:val="2"/>
        <w:widowControl/>
        <w:spacing w:before="346" w:beforeAutospacing="0" w:after="330" w:afterAutospacing="0" w:line="480" w:lineRule="atLeast"/>
        <w:ind w:left="-990" w:firstLine="1446" w:firstLineChars="400"/>
        <w:rPr>
          <w:rFonts w:hint="default" w:cs="宋体"/>
          <w:color w:val="auto"/>
          <w:sz w:val="78"/>
          <w:szCs w:val="78"/>
        </w:rPr>
      </w:pPr>
      <w:r>
        <w:rPr>
          <w:rStyle w:val="13"/>
          <w:rFonts w:cs="宋体"/>
          <w:b/>
          <w:color w:val="auto"/>
          <w:sz w:val="36"/>
          <w:szCs w:val="36"/>
          <w:shd w:val="clear" w:color="auto" w:fill="FFFFFF"/>
        </w:rPr>
        <w:t>品目 12：汞形态分析系统</w:t>
      </w:r>
    </w:p>
    <w:p>
      <w:pPr>
        <w:pStyle w:val="9"/>
        <w:widowControl/>
        <w:spacing w:line="276" w:lineRule="auto"/>
        <w:ind w:firstLine="420"/>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200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1、应用范围：符合《水质 烷基汞的测定 吹扫捕集/气相色谱-冷原子荧光光谱法 》（HJ 977-2018）；《土壤和沉积物 甲基汞和乙基汞的测定 吹扫捕集/气相色谱-冷原子荧光光谱法 》(HJ 1269-2022)等测试方法相关要求。</w:t>
      </w:r>
    </w:p>
    <w:p>
      <w:pPr>
        <w:pStyle w:val="9"/>
        <w:widowControl/>
        <w:spacing w:beforeAutospacing="0" w:afterAutospacing="0" w:line="276" w:lineRule="auto"/>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201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2.1、主要用途：用于环境介质、生物样品中各种形态的汞含量的测定和研究,在固体废物中主要用于甲基汞、乙基汞的测定。</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2.2、电源电压: 单相AC  220V ±10%  / 50Hz</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3、技术指标：</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▲3.1自动进样器：≥70位， 满瓶式进样或原位吹扫进样方式（提供样品进样流路图佐证材料）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hint="eastAsia" w:ascii="宋体" w:hAnsi="宋体" w:eastAsia="宋体" w:cs="宋体"/>
          <w:color w:val="auto"/>
          <w:shd w:val="clear" w:color="auto" w:fill="FFFFFF"/>
          <w:lang w:val="en-US" w:eastAsia="zh-CN"/>
        </w:rPr>
        <w:t>202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3.2金属进样针：保证无烷基汞的吸附，同时兼顾使用强度和寿命。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▲3.3异位吹扫模块：吹扫管体积≥60mL，吹扫管上下均有开口（提供吹扫管实物图佐证材料）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3.4原位吹扫模块：使用瓶内顶空方式吹扫，进样量≥25mL。</w:t>
      </w:r>
    </w:p>
    <w:p>
      <w:pPr>
        <w:pStyle w:val="9"/>
        <w:widowControl/>
        <w:spacing w:beforeAutospacing="0" w:afterAutospacing="0" w:line="480" w:lineRule="atLeast"/>
        <w:ind w:right="-990" w:firstLine="420"/>
        <w:jc w:val="both"/>
        <w:rPr>
          <w:rFonts w:hint="eastAsia"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33.5捕集脱附模块：具有对样品进行吸附、干燥、脱附等功能，平行三通道或以上捕集管，至少能同时对三个样品进行分析。为避免交叉污染，吸附、干燥、脱附、反吹等每个步骤均不共用电磁阀通道，电磁阀数量大于15个。</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33.6配备液体传感器，水汽进入捕集管会报警。（提供报警功能佐证材料）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3.7气相色谱高温裂解模块：甲基汞、乙基汞的分辨率均大于1.5。每个填充柱保证大于100000个以上样品的超长使用寿命。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3.8冷原子荧光检测器，汞检出限到达0.002ng/L。当取样体积为 45 mL 时，甲基汞和乙基汞的检出限到达0.002ng/L，测定下限均为0.08 pg。检测器触摸控制屏上可轻松调节设置电压，可自动归零，通过高清晰LCD显示信号和设定。</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3.9水样实验室空白：取45ml去离子水，测试空白水样甲基汞、乙基汞值，连续12个样品，测定结果均低于0.02ng/L。仪器重复性：以0.125ng/L为例，连续进8针，重复性优于3%；以0.5 ng/L 、2.5ng/L为例，连续进8针，重复性优于2%；</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【评标项20</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4、配置</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4.1、汞形态分析系统主机（包含自动进样器、异位吹扫模块、原位吹扫模块、捕集脱附模块、气相色谱分离及高温裂解模块、冷蒸汽原子荧光检测器、仪器连接附件）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4.2、仪器控制及数据处理软件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4.3、标准品（汞标准品及衍生化试剂）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4.4、数据输入、输出装置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4.5、吹扫瓶                      200个</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4.6、吹扫管</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2个</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widowControl/>
        <w:spacing w:before="345" w:after="330" w:line="480" w:lineRule="atLeast"/>
        <w:ind w:left="420"/>
        <w:jc w:val="left"/>
        <w:rPr>
          <w:rStyle w:val="13"/>
          <w:rFonts w:ascii="宋体" w:hAnsi="宋体" w:eastAsia="宋体" w:cs="宋体"/>
          <w:bCs/>
          <w:color w:val="auto"/>
          <w:kern w:val="44"/>
          <w:sz w:val="36"/>
          <w:szCs w:val="36"/>
          <w:shd w:val="clear" w:color="auto" w:fill="FFFFFF"/>
          <w:lang w:bidi="ar"/>
        </w:rPr>
      </w:pPr>
      <w:r>
        <w:rPr>
          <w:rStyle w:val="13"/>
          <w:rFonts w:hint="eastAsia" w:ascii="宋体" w:hAnsi="宋体" w:eastAsia="宋体" w:cs="宋体"/>
          <w:bCs/>
          <w:color w:val="auto"/>
          <w:kern w:val="44"/>
          <w:sz w:val="36"/>
          <w:szCs w:val="36"/>
          <w:shd w:val="clear" w:color="auto" w:fill="FFFFFF"/>
          <w:lang w:bidi="ar"/>
        </w:rPr>
        <w:t>品目 13：平衡顶空分析仪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10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符合GB 5085.3-2007附录Q等测试方法相关要求。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11</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2</w:t>
      </w:r>
      <w:r>
        <w:rPr>
          <w:rFonts w:hint="eastAsia" w:ascii="宋体" w:hAnsi="宋体" w:eastAsia="宋体" w:cs="宋体"/>
          <w:color w:val="auto"/>
          <w:shd w:val="clear" w:color="auto" w:fill="FFFFFF"/>
        </w:rPr>
        <w:t>、顶空进样器总体要求：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可与各种型号的GC/GCMS联用，采用压力平衡进样技术既可进行常规静态顶空进样以保证得到窄的色谱峰形，也可以利用内置捕集阱富集样品以提高方法检出限。顶空测定水中乙醇(0.4%)的RSD≤1.5%（N=10）。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12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进样系统：使用全封闭传输系统，顶空样品在毛细管线中无扩散；顶空样品在进样过程中无载气稀释；两种进样量控制模式：时间控制进样量和体积设定进样量；操作方式：常规，自动连续模式和多次顶空提取。自动连续模式每次可加热≥12个样品瓶。</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13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4、样品瓶位：≥40位。</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14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5、样品加热温度范围：覆盖35-210℃，增量：1℃。</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【评标项21</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6、采用与毛细管色谱柱相同的熔融石英管材质，传输线温度范围：覆盖35-210 ℃，增量1℃。</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【评标项21</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7、气路控制：电子气路控制PPC。</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【评标项21</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8、配置清单：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8.1、平衡顶空分析仪    一套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8.2、系统工作站        一套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8.3、O型圈（10个）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8.4、进样针密封附件（2个）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8.5、手动压盖器（1个）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8.6、手动起盖器（1个）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8.7、20ml顶空小瓶400个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8.8、聚四氟乙烯硅胶瓶垫/铝盖/星片（最高耐温220 度）400个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8.9、预处理的铜管1根</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8.10、不锈钢三通2个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8.11、接口适配器1套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8.12、零顶空提取器 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 14：微波消解仪</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【评标项21</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Style w:val="13"/>
          <w:rFonts w:hint="eastAsia" w:ascii="宋体" w:hAnsi="宋体" w:eastAsia="宋体" w:cs="宋体"/>
          <w:b w:val="0"/>
          <w:bCs/>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765-2015等测试方法相关要求。主要用于实验室中各种样品的消解前处理，为原子吸收（AA）,等离子发射光谱（ICP），ICP-MS等制备样品。用于环境样、废弃物、废水等等各种样品金属元素分析的样品前处理即样品消解。</w:t>
      </w:r>
    </w:p>
    <w:p>
      <w:pPr>
        <w:pStyle w:val="9"/>
        <w:widowControl/>
        <w:spacing w:beforeAutospacing="0" w:afterAutospacing="0" w:line="480" w:lineRule="atLeast"/>
        <w:ind w:right="-990" w:firstLine="420"/>
        <w:jc w:val="both"/>
        <w:rPr>
          <w:rFonts w:ascii="宋体" w:hAnsi="宋体" w:eastAsia="宋体" w:cs="宋体"/>
          <w:b/>
          <w:bCs/>
          <w:color w:val="auto"/>
        </w:rPr>
      </w:pPr>
      <w:r>
        <w:rPr>
          <w:rStyle w:val="13"/>
          <w:rFonts w:hint="eastAsia" w:ascii="宋体" w:hAnsi="宋体" w:eastAsia="宋体" w:cs="宋体"/>
          <w:b w:val="0"/>
          <w:bCs/>
          <w:color w:val="auto"/>
          <w:shd w:val="clear" w:color="auto" w:fill="FFFFFF"/>
        </w:rPr>
        <w:t>2、技术参数</w:t>
      </w:r>
      <w:r>
        <w:rPr>
          <w:rStyle w:val="13"/>
          <w:rFonts w:ascii="Times New Roman" w:hAnsi="Times New Roman" w:eastAsia="宋体"/>
          <w:b w:val="0"/>
          <w:bCs/>
          <w:color w:val="auto"/>
          <w:shd w:val="clear" w:color="auto" w:fill="FFFFFF"/>
        </w:rPr>
        <w:t> </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【评标项21</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2.1、主机外壳采用金属壁封闭的谐振腔与安全门，具备危险时自动平行弹出功能；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20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2.2、腔体全不锈钢结构，多层防腐特氟隆涂层，有防爆性能及安全报警装置。</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21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2.3、操作系统：主机和控制终端分离式操作，仪器内置防腐涂层电容式触摸控制屏，可耐酸碱腐蚀。采用开放式操作平台，中文操作界面</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2.4、控制系统：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2.4.1、高频双光路非接触双红外温度控制系统可以检测所有反应罐内溶液的温度（≥40个），具备底面红外传感器全程监测能力，控温范围50-400℃或更高；（提供可实时监测每一个消解罐内温度软件功能截图佐证材料）</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▲2.4.2、非接触时高精度光纤扫描测压全系统：能够精确监控每一个消解罐内的压力值，具备自动泄压和自动还原密闭功能；（提供可实时监测每个消解罐内压力软件功能截图佐证材料）</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22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2.5、安全控制系统：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2.5.1安全控制系统：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2.5.1.1 具有多种主动安全保护功能；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2.5.1.2电子电路:具有故障自检系统，仪器工作中具有自动报警和停机系统；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2.5.2被动安全控制系统：</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2.5.2.1具有多重电磁辐射屏蔽，防爆安全门，单向晶体和热导体吸收等功能；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2.5.2.2微波泄露检测：具有单项循环晶体；</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2.6、消解罐组件：</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2.6.1、同时具备双重泄压；</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2.6.2、外罐最大耐压20Mpa.；</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2.6.3、单独风冷的时间≤15min。</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2.6.4、内罐材料为TFM，工作温度≥250℃，工作压力≥6Mpa，反应容器体积≥100mL。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2.6.5、每批次处理量≥40个容器；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3.1、微波消解仪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3.2、中红红外温度控制系统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3.3一体化控制和操作系统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3.4、全罐压力监控系统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3.5、消解罐组件：40位高压消解罐；</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3.6、压力信号板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3.7、56孔赶酸仪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widowControl/>
        <w:spacing w:before="345" w:after="330" w:line="480" w:lineRule="atLeast"/>
        <w:ind w:left="420"/>
        <w:jc w:val="left"/>
        <w:rPr>
          <w:rStyle w:val="13"/>
          <w:rFonts w:ascii="宋体" w:hAnsi="宋体" w:eastAsia="宋体" w:cs="宋体"/>
          <w:bCs/>
          <w:color w:val="auto"/>
          <w:kern w:val="44"/>
          <w:sz w:val="36"/>
          <w:szCs w:val="36"/>
          <w:shd w:val="clear" w:color="auto" w:fill="FFFFFF"/>
          <w:lang w:bidi="ar"/>
        </w:rPr>
      </w:pPr>
      <w:r>
        <w:rPr>
          <w:rStyle w:val="13"/>
          <w:rFonts w:hint="eastAsia" w:ascii="宋体" w:hAnsi="宋体" w:eastAsia="宋体" w:cs="宋体"/>
          <w:bCs/>
          <w:color w:val="auto"/>
          <w:kern w:val="44"/>
          <w:sz w:val="36"/>
          <w:szCs w:val="36"/>
          <w:shd w:val="clear" w:color="auto" w:fill="FFFFFF"/>
          <w:lang w:bidi="ar"/>
        </w:rPr>
        <w:t>品目 15：加压流体萃取仪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【评标项22</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1、应用范围：符合HJ 782-2016等测试方法相关要求。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30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2、应用领域及对象：应用于土壤环境样品、固体废物等样品中有机成份检测所需提取前处理。</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3、仪器特点</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31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3.1、可放置通风橱内进行实验操作。</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▲3.2、高度一体化的高压化学惰性萃取池，端帽，滤片和密封圈需设计为一体。可提供不同体积的萃取池。（提供一体化的高压化学惰性萃取池结构照片）</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3.3、加热方式：全周式加热炉设计。</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3.4、封闭式收集仓。收集瓶位有密封盖设计</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3.5、采用彩色高清触摸屏，可设置萃取参数以及执行功能菜单。</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3.6、清洗位：1个。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4、自动化运行性能指标：</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▲4.1、全自动化式设计，采用转盘式萃取顺序运行，萃取池转盘不少于</w:t>
      </w:r>
      <w:bookmarkStart w:id="3" w:name="_Hlk151725110"/>
      <w:r>
        <w:rPr>
          <w:rFonts w:hint="eastAsia" w:ascii="宋体" w:hAnsi="宋体" w:eastAsia="宋体" w:cs="宋体"/>
          <w:color w:val="auto"/>
          <w:shd w:val="clear" w:color="auto" w:fill="FFFFFF"/>
        </w:rPr>
        <w:t>26个样品池位</w:t>
      </w:r>
      <w:bookmarkEnd w:id="3"/>
      <w:r>
        <w:rPr>
          <w:rFonts w:hint="eastAsia" w:ascii="宋体" w:hAnsi="宋体" w:eastAsia="宋体" w:cs="宋体"/>
          <w:color w:val="auto"/>
          <w:shd w:val="clear" w:color="auto" w:fill="FFFFFF"/>
        </w:rPr>
        <w:t>（不包含清洗位），无需人工干涉可连续自动萃取不少于26个样品。不采用XYZ三维机械臂方式。（提供萃取池转盘≥26个样品池位结构照片佐证材料）</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4.2、仪器可自动化完成仪器预热、加载溶剂（加压）、加热、萃取、淋洗、过滤、净化和氮气吹扫。在整个萃取过程中仪器可实时监控，任一操作出现异常，可自动报警并停止工作。</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4.3、室温～210℃；加热炉控温精度≤±1℃；</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4.4、高压液体泵：</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4.4.1高压输液泵：流速范围≥0-50mL/min；</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4.4.2可提供压力范围：大气压～25Mpa；</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4.4.3可根据样品萃取池不同体积自动调节泵速，可有效降低加压过程中的过压，大大提高了系统的稳定性和可靠性</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【评标项23</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5、压力控制单元：配置过压保护系统，萃取过程压力与甲方设定值的偏差为0.3Mpa时自动开始稳压，萃取样品时压力参数前后一致性</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40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6、检测传感器：气路检测、液路检测和位置检测三部分组成配置3套检测传感器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41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7、样品收集：根据不同的萃取方法和萃取条件，可同时选用250 mL、66 mL或其他规格收集瓶</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8、集成式溶剂控制器：可选配，实现混合溶剂的在线自动配置或不同溶剂的在线自动切换（4种试剂以上）</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9、通讯连接方式：WLAN数据接口，用户可实时更新嵌入式软件系统</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10、配置清单：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10.1、不少于26萃取位主机   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10.2、高压输液泵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10.3、加热炉体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10.4、萃取池转盘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10.5、收集瓶转盘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10.6、高清触摸屏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10.7、温控单元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10.8、压力控制单元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10.9、清洗池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10.10、废液池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10.11、气液检测传感器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一台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10.12、实时操作软件平台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10.13、萃取池</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26个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10.14、附件耗材</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2"/>
        <w:widowControl/>
        <w:spacing w:before="346" w:beforeAutospacing="0" w:after="330" w:afterAutospacing="0" w:line="480" w:lineRule="atLeast"/>
        <w:ind w:left="706"/>
        <w:rPr>
          <w:rFonts w:hint="default" w:cs="宋体"/>
          <w:color w:val="auto"/>
          <w:sz w:val="78"/>
          <w:szCs w:val="78"/>
        </w:rPr>
      </w:pPr>
      <w:r>
        <w:rPr>
          <w:rStyle w:val="13"/>
          <w:rFonts w:cs="宋体"/>
          <w:b/>
          <w:color w:val="auto"/>
          <w:sz w:val="36"/>
          <w:szCs w:val="36"/>
          <w:shd w:val="clear" w:color="auto" w:fill="FFFFFF"/>
        </w:rPr>
        <w:t>品目 16：全自动脂肪测定仪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1、应用范围</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符合GB 5085.3—2007附录V等测试方法相关要求。</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2、测定范围：≥0.1-100%；</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 采用一体式金属浴加热方式，控温范围不小于室温+5℃-300℃该温度区间；</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4、加热杯体积：≧150mL；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【评标项24</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5、溶剂回收率：≧85%；</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50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6、测定样品重量≤0.5g～15g该范围；</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51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7、处理能力：≧6个/批；</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8、测试时间应比传统方法提高不低于20-80%；</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9、具有索氏标准法（国标法）、索氏热萃取、热萃取、连续流动及CH标准热萃取等五种萃取方式可任意选择；</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10、采用双加热模式，除加热萃取杯外，还加热萃取室的溶剂，样品一直处于热的溶剂中，提高萃取效率；</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11、要求内置PID控温系统，控温精度：≦±1℃；</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12、配置清单：</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12.1、脂肪测定仪主机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12.2、冷却水机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12.3、系统工作站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12.4备品备件         </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706"/>
        <w:rPr>
          <w:rFonts w:hint="default" w:cs="宋体"/>
          <w:color w:val="auto"/>
          <w:sz w:val="78"/>
          <w:szCs w:val="78"/>
        </w:rPr>
      </w:pPr>
      <w:r>
        <w:rPr>
          <w:rStyle w:val="13"/>
          <w:rFonts w:cs="宋体"/>
          <w:b/>
          <w:color w:val="auto"/>
          <w:sz w:val="36"/>
          <w:szCs w:val="36"/>
          <w:shd w:val="clear" w:color="auto" w:fill="FFFFFF"/>
        </w:rPr>
        <w:t>品目 17：全自动固相萃取装置</w:t>
      </w:r>
    </w:p>
    <w:p>
      <w:pPr>
        <w:pStyle w:val="9"/>
        <w:widowControl/>
        <w:spacing w:beforeAutospacing="0" w:afterAutospacing="0" w:line="480" w:lineRule="atLeast"/>
        <w:ind w:firstLine="420"/>
        <w:jc w:val="both"/>
        <w:rPr>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Theme="minorEastAsia" w:hAnsiTheme="minorEastAsia"/>
          <w:color w:val="auto"/>
          <w:shd w:val="clear" w:color="auto" w:fill="FFFFFF"/>
        </w:rPr>
        <w:t>1、</w:t>
      </w:r>
      <w:r>
        <w:rPr>
          <w:rFonts w:hint="eastAsia"/>
          <w:color w:val="auto"/>
          <w:shd w:val="clear" w:color="auto" w:fill="FFFFFF"/>
        </w:rPr>
        <w:t>应用范围</w:t>
      </w:r>
      <w:r>
        <w:rPr>
          <w:rFonts w:hint="eastAsia"/>
          <w:color w:val="auto"/>
        </w:rPr>
        <w:t>：</w:t>
      </w:r>
      <w:r>
        <w:rPr>
          <w:rFonts w:hint="eastAsia" w:ascii="宋体" w:hAnsi="宋体" w:eastAsia="宋体" w:cs="宋体"/>
          <w:color w:val="auto"/>
          <w:shd w:val="clear" w:color="auto" w:fill="FFFFFF"/>
        </w:rPr>
        <w:t>符合GB 5085.3-2007附录W等测试方法相关要求。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2、技术规格及要求</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2.1、可自动完成固相萃取的全过程（在线过滤、柱活化、上样、淋洗、吹干、洗脱、在线除水、分步收集）。</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【评标项25</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2.2、萃取通道：≥2通道。</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60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2.3、连续处理样品能力：≥48个样品；</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61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2.4、溶剂选择阀可进行≥8种溶剂、以及样品、萃取、空气、排废的切换。</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2.5、注射泵≥8个，流速：≥0.1-100mL/min。</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2.6、有机溶剂≥8种，具有自动清洗管道功能。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2.7、密封圈下降高度范围覆盖：2.0cm-5.0cm。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2.8、样品架，收集架，SPE柱架都可独立自动移动，具备自动定位的功能。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2.9、大体积样品批处理能力：具备装载大体积上样架即可实现1L以上大体积水样的萃取与富集；溶剂通道数8种不变，样品同时处理8个，可连续处理48个的大体积水样。</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2.10、具有氮气自动吹扫，在线干燥SPE柱功能。且采用单独外接氮气+三通阀切换，保证恒定流速和连续性，吹干效果好。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2.11、气压输入：最大100psi（6.9bar）；气压输出：≥0-20psi（1.4bar）。</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【评标项26</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2.12、排废模块功能：排废槽电机驱动，自动前后移动，排废槽高度高于收集瓶架，多层隔断自动位移区分废液种类，排废槽底部直接连接废液管路中间无空气接触，可将废水、废有机溶剂、其他危废分开回收处理。</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70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2.13、仪器具备在线水样过滤模块，在运行过程中自动对水样进行在线过滤，通过≥35mm的微孔滤膜将水样中的颗粒和悬浮物过滤，最大可连续完成≥80位样品的在线过滤，每个样品均配置独立的微孔滤膜。</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71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2.14、有机物回收率：覆盖60-120%。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3.1、全自动固相萃取仪主机     1台</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3.2、表面处理进样针套件       2套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3.3、高精度注射泵          2套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3.4、12通阀模组           2套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3.5、全自动固相萃取系统工作软件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3.6、6ml萃取套件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3.7、废液模块            1组</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3.8、在线除水模块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3.9、溶剂瓶套件           8套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3.10、80位20ml样品和收集套件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3.11、在线过滤模块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3.12、大体积进样套件        1套</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3.13、控制系统</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 18：高通量真空平行浓缩仪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951-2018、HJ 711-2014、HJ 891-2017等测试方法相关要求。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2、技术参数</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2.1、样品在真空负压、加热和震荡的多重作用下，进行样品浓缩，无需外接气源。</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2.2、批处理能力：同时≥16个260m</w:t>
      </w:r>
      <w:r>
        <w:rPr>
          <w:rFonts w:ascii="宋体" w:hAnsi="宋体" w:eastAsia="宋体" w:cs="宋体"/>
          <w:color w:val="auto"/>
          <w:shd w:val="clear" w:color="auto" w:fill="FFFFFF"/>
        </w:rPr>
        <w:t>L</w:t>
      </w:r>
      <w:r>
        <w:rPr>
          <w:rFonts w:hint="eastAsia" w:ascii="宋体" w:hAnsi="宋体" w:eastAsia="宋体" w:cs="宋体"/>
          <w:color w:val="auto"/>
          <w:shd w:val="clear" w:color="auto" w:fill="FFFFFF"/>
        </w:rPr>
        <w:t>带定容尾管样品同时进行浓缩，可灵活切换为65mL带尾管的浓缩试管，并可在浓缩尾管内直接定容。</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2.3、试管架和浓缩腔分体式设计，样品架16位260m</w:t>
      </w:r>
      <w:r>
        <w:rPr>
          <w:rFonts w:ascii="宋体" w:hAnsi="宋体" w:eastAsia="宋体" w:cs="宋体"/>
          <w:color w:val="auto"/>
          <w:shd w:val="clear" w:color="auto" w:fill="FFFFFF"/>
        </w:rPr>
        <w:t>L</w:t>
      </w:r>
      <w:r>
        <w:rPr>
          <w:rFonts w:hint="eastAsia" w:ascii="宋体" w:hAnsi="宋体" w:eastAsia="宋体" w:cs="宋体"/>
          <w:color w:val="auto"/>
          <w:shd w:val="clear" w:color="auto" w:fill="FFFFFF"/>
        </w:rPr>
        <w:t>和65m</w:t>
      </w:r>
      <w:r>
        <w:rPr>
          <w:rFonts w:ascii="宋体" w:hAnsi="宋体" w:eastAsia="宋体" w:cs="宋体"/>
          <w:color w:val="auto"/>
          <w:shd w:val="clear" w:color="auto" w:fill="FFFFFF"/>
        </w:rPr>
        <w:t>L</w:t>
      </w:r>
      <w:r>
        <w:rPr>
          <w:rFonts w:hint="eastAsia" w:ascii="宋体" w:hAnsi="宋体" w:eastAsia="宋体" w:cs="宋体"/>
          <w:color w:val="auto"/>
          <w:shd w:val="clear" w:color="auto" w:fill="FFFFFF"/>
        </w:rPr>
        <w:t>试管架。</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2.4、高度可视化，浓缩腔体为三面透明，容积不小于8L。</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2.5、加热模块：水浴加热，温度可设定≥（室温~80℃），加热模块不与样品管接触。</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【评标项27</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2.6、仪器具备自动给排水功能和高低液位传感器；</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80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2.7、具备程序阶梯式控制，时间范围0- 99小时59分钟。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81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2.8、样品架上可加装冷凝回流模块。</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w:t>
      </w:r>
      <w:r>
        <w:rPr>
          <w:rStyle w:val="13"/>
          <w:rFonts w:ascii="宋体" w:hAnsi="宋体" w:eastAsia="宋体" w:cs="宋体"/>
          <w:color w:val="auto"/>
          <w:shd w:val="clear" w:color="auto" w:fill="FFFFFF"/>
        </w:rPr>
        <w:t>28</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2.9、水平振荡转速范围：≥0-300 rpm。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2.10、水平振荡偏心率可调范围：≥0-5mm。</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2.11、每个样品管含有独立的真空管路。</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2.12、真空盖板采用耐腐蚀PFA涂层，耐腐蚀。</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2.13、真空泵速：≥20 L/min- 30 L/min, 极限真空度≤8 mbar。真空泵后具有缓冲瓶，可实现溶剂的回收和消音功能，控制真空泵运行噪音在60 dB以下。</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2.14、真空度控制精度：1-10 mbar，真空度设置精度≤1 mbar；</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8</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2.15、真空泵膜片为聚四氟乙烯隔膜，气体管道材料：PEEK，PTFE，玻璃，抗化学腐蚀，可自动干燥残留溶剂。</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【评标项28</w:t>
      </w:r>
      <w:r>
        <w:rPr>
          <w:rStyle w:val="13"/>
          <w:rFonts w:hint="eastAsia" w:ascii="宋体" w:hAnsi="宋体" w:eastAsia="宋体" w:cs="宋体"/>
          <w:color w:val="auto"/>
          <w:shd w:val="clear" w:color="auto" w:fill="FFFFFF"/>
          <w:lang w:val="en-US" w:eastAsia="zh-CN"/>
        </w:rPr>
        <w:t>9</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2.16、真空密封盖板具备独立控压功能。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90</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2.17、仪器具备兼容同品牌固相萃取仪收集管的功能。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w:t>
      </w:r>
      <w:r>
        <w:rPr>
          <w:rStyle w:val="13"/>
          <w:rFonts w:hint="eastAsia" w:ascii="宋体" w:hAnsi="宋体" w:eastAsia="宋体" w:cs="宋体"/>
          <w:color w:val="auto"/>
          <w:shd w:val="clear" w:color="auto" w:fill="FFFFFF"/>
          <w:lang w:val="en-US" w:eastAsia="zh-CN"/>
        </w:rPr>
        <w:t>91</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3、溶剂回收部分</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3.1、仪器具备冷凝回收功能。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3.2、具备废液液面设定高度自动报警功能。</w:t>
      </w:r>
    </w:p>
    <w:p>
      <w:pPr>
        <w:pStyle w:val="9"/>
        <w:widowControl/>
        <w:spacing w:beforeAutospacing="0" w:afterAutospacing="0" w:line="480" w:lineRule="atLeast"/>
        <w:ind w:right="-990" w:firstLine="420"/>
        <w:jc w:val="both"/>
        <w:rPr>
          <w:rFonts w:ascii="宋体" w:hAnsi="宋体" w:eastAsia="宋体" w:cs="宋体"/>
          <w:color w:val="auto"/>
        </w:rPr>
      </w:pPr>
      <w:r>
        <w:rPr>
          <w:rFonts w:hint="eastAsia" w:ascii="宋体" w:hAnsi="宋体" w:eastAsia="宋体" w:cs="宋体"/>
          <w:color w:val="auto"/>
          <w:shd w:val="clear" w:color="auto" w:fill="FFFFFF"/>
        </w:rPr>
        <w:t>4、集成控制系统</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4.1 主机集成自控，主屏幕可按设定进行温度、震荡、真空度，真空度下降梯度实时调节；终点控制可设定，具有定时和尾管隔热保护多种判断模式。</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【评标项293】4</w:t>
      </w:r>
      <w:r>
        <w:rPr>
          <w:rFonts w:hint="eastAsia" w:ascii="宋体" w:hAnsi="宋体" w:eastAsia="宋体" w:cs="宋体"/>
          <w:color w:val="auto"/>
          <w:shd w:val="clear" w:color="auto" w:fill="FFFFFF"/>
        </w:rPr>
        <w:t>.3、具备内置放气阀和压力传感器，断电时可以自动放气，防止系统过压；</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【评标项294】</w:t>
      </w:r>
      <w:r>
        <w:rPr>
          <w:rFonts w:hint="eastAsia" w:ascii="宋体" w:hAnsi="宋体" w:eastAsia="宋体" w:cs="宋体"/>
          <w:color w:val="auto"/>
          <w:shd w:val="clear" w:color="auto" w:fill="FFFFFF"/>
        </w:rPr>
        <w:t>4.4、具备低液位自动报警功能。</w:t>
      </w:r>
    </w:p>
    <w:p>
      <w:pPr>
        <w:pStyle w:val="9"/>
        <w:widowControl/>
        <w:spacing w:beforeAutospacing="0" w:afterAutospacing="0" w:line="480" w:lineRule="atLeast"/>
        <w:ind w:right="-990"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【评标项295】</w:t>
      </w:r>
      <w:r>
        <w:rPr>
          <w:rFonts w:hint="eastAsia" w:ascii="宋体" w:hAnsi="宋体" w:eastAsia="宋体" w:cs="宋体"/>
          <w:color w:val="auto"/>
          <w:shd w:val="clear" w:color="auto" w:fill="FFFFFF"/>
        </w:rPr>
        <w:t>4.5、主面板内置浓缩数据库，带有至少40种溶剂的挥发设定程序。</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【评标项296】</w:t>
      </w:r>
      <w:r>
        <w:rPr>
          <w:rFonts w:hint="eastAsia" w:ascii="宋体" w:hAnsi="宋体" w:eastAsia="宋体" w:cs="宋体"/>
          <w:color w:val="auto"/>
          <w:shd w:val="clear" w:color="auto" w:fill="FFFFFF"/>
        </w:rPr>
        <w:t>5、配置清单：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5.1、真空平行浓缩仪主机   </w:t>
      </w:r>
      <w:r>
        <w:rPr>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rPr>
        <w:t>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5.2、蛇形冷凝回收管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5.3、真空泵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5.4、冷却循环系统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5.5、16位样品架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5.6、16位真空顶盖        1件</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5.7、尾管保护模组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5.8、适配器           16个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5.9、260ml玻璃试管      </w:t>
      </w:r>
      <w:r>
        <w:rPr>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rPr>
        <w:t>32支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5.10、65ml玻璃试管       32支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5.11、搁置架          2个</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5.12、盖板助力模块      </w:t>
      </w:r>
      <w:r>
        <w:rPr>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5.13、盖板独立控压模块  </w:t>
      </w:r>
      <w:r>
        <w:rPr>
          <w:rFonts w:ascii="宋体" w:hAnsi="宋体" w:eastAsia="宋体" w:cs="宋体"/>
          <w:color w:val="auto"/>
          <w:shd w:val="clear" w:color="auto" w:fill="FFFFFF"/>
        </w:rPr>
        <w:t xml:space="preserve">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w:t>
      </w:r>
      <w:r>
        <w:rPr>
          <w:rStyle w:val="13"/>
          <w:rFonts w:hint="default" w:ascii="Times New Roman" w:hAnsi="Times New Roman"/>
          <w:b/>
          <w:color w:val="auto"/>
          <w:sz w:val="36"/>
          <w:szCs w:val="36"/>
          <w:shd w:val="clear" w:color="auto" w:fill="FFFFFF"/>
        </w:rPr>
        <w:t> </w:t>
      </w:r>
      <w:r>
        <w:rPr>
          <w:rStyle w:val="13"/>
          <w:rFonts w:ascii="Times New Roman" w:hAnsi="Times New Roman"/>
          <w:b/>
          <w:color w:val="auto"/>
          <w:sz w:val="36"/>
          <w:szCs w:val="36"/>
          <w:shd w:val="clear" w:color="auto" w:fill="FFFFFF"/>
        </w:rPr>
        <w:t xml:space="preserve"> 19：</w:t>
      </w:r>
      <w:r>
        <w:rPr>
          <w:rStyle w:val="13"/>
          <w:rFonts w:cs="宋体"/>
          <w:b/>
          <w:color w:val="auto"/>
          <w:sz w:val="36"/>
          <w:szCs w:val="36"/>
          <w:shd w:val="clear" w:color="auto" w:fill="FFFFFF"/>
        </w:rPr>
        <w:t>全自动平行浓缩仪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【评标项297】</w:t>
      </w:r>
      <w:r>
        <w:rPr>
          <w:rFonts w:hint="eastAsia" w:ascii="宋体" w:hAnsi="宋体" w:eastAsia="宋体" w:cs="宋体"/>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符合HJ 1025-2019、HJ 1026-2019等测试方法相关要求。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2、技术参数</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【评标项298】</w:t>
      </w:r>
      <w:r>
        <w:rPr>
          <w:rFonts w:hint="eastAsia" w:ascii="宋体" w:hAnsi="宋体" w:eastAsia="宋体" w:cs="宋体"/>
          <w:color w:val="auto"/>
          <w:shd w:val="clear" w:color="auto" w:fill="FFFFFF"/>
        </w:rPr>
        <w:t>2.1、具备水浴均匀加热和氮吹共同作用；</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【评标项299】</w:t>
      </w:r>
      <w:r>
        <w:rPr>
          <w:rFonts w:hint="eastAsia" w:ascii="宋体" w:hAnsi="宋体" w:eastAsia="宋体" w:cs="宋体"/>
          <w:color w:val="auto"/>
          <w:shd w:val="clear" w:color="auto" w:fill="FFFFFF"/>
        </w:rPr>
        <w:t>2.2、批量处理能力：不少于80位20mL样品同时进行浓缩，也可以兼容各类试管类型；</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【评标项300】</w:t>
      </w:r>
      <w:r>
        <w:rPr>
          <w:rFonts w:hint="eastAsia" w:ascii="宋体" w:hAnsi="宋体" w:eastAsia="宋体" w:cs="宋体"/>
          <w:color w:val="auto"/>
          <w:shd w:val="clear" w:color="auto" w:fill="FFFFFF"/>
        </w:rPr>
        <w:t>2.3、浓缩管体积：≥10mL~100mL，可兼容多种不同规格浓缩管，并有多种试管支架可选；</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【评标项301】</w:t>
      </w:r>
      <w:r>
        <w:rPr>
          <w:rFonts w:hint="eastAsia" w:ascii="宋体" w:hAnsi="宋体" w:eastAsia="宋体" w:cs="宋体"/>
          <w:color w:val="auto"/>
          <w:shd w:val="clear" w:color="auto" w:fill="FFFFFF"/>
        </w:rPr>
        <w:t>2.4、具备氮吹针针位移速度设定功能，垂直移动距离≥160mm；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【评标项302】</w:t>
      </w:r>
      <w:r>
        <w:rPr>
          <w:rFonts w:hint="eastAsia" w:ascii="宋体" w:hAnsi="宋体" w:eastAsia="宋体" w:cs="宋体"/>
          <w:color w:val="auto"/>
          <w:shd w:val="clear" w:color="auto" w:fill="FFFFFF"/>
        </w:rPr>
        <w:t>2.5、电子气流控制：最大值≥3.0L/min，精确到0.1L/min；</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【评标项303】</w:t>
      </w:r>
      <w:r>
        <w:rPr>
          <w:rFonts w:hint="eastAsia" w:ascii="宋体" w:hAnsi="宋体" w:eastAsia="宋体" w:cs="宋体"/>
          <w:color w:val="auto"/>
          <w:shd w:val="clear" w:color="auto" w:fill="FFFFFF"/>
        </w:rPr>
        <w:t>2.6、氮吹针通道≥8组，每组氮气通道仪具备单独控制能力，每个通道的气流由比例调节阀进行自动分配，气流大小不受开启通道数的影响，并且可安装不同间距氮吹针适配不同样品体积；</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【评标项304】</w:t>
      </w:r>
      <w:r>
        <w:rPr>
          <w:rFonts w:hint="eastAsia" w:ascii="宋体" w:hAnsi="宋体" w:eastAsia="宋体" w:cs="宋体"/>
          <w:color w:val="auto"/>
          <w:shd w:val="clear" w:color="auto" w:fill="FFFFFF"/>
        </w:rPr>
        <w:t>2.7、具备水浴槽集成高低液位传感器和自动给排水功能；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【评标项305】</w:t>
      </w:r>
      <w:r>
        <w:rPr>
          <w:rFonts w:hint="eastAsia" w:ascii="宋体" w:hAnsi="宋体" w:eastAsia="宋体" w:cs="宋体"/>
          <w:color w:val="auto"/>
          <w:shd w:val="clear" w:color="auto" w:fill="FFFFFF"/>
        </w:rPr>
        <w:t>2.8、浓缩过程具备精确控制氮吹针移动功能；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【评标项306】</w:t>
      </w:r>
      <w:r>
        <w:rPr>
          <w:rFonts w:hint="eastAsia" w:ascii="宋体" w:hAnsi="宋体" w:eastAsia="宋体" w:cs="宋体"/>
          <w:color w:val="auto"/>
          <w:shd w:val="clear" w:color="auto" w:fill="FFFFFF"/>
        </w:rPr>
        <w:t>2.9、具有单独的氮吹至近干模块；</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【评标项307】</w:t>
      </w:r>
      <w:r>
        <w:rPr>
          <w:rFonts w:hint="eastAsia" w:ascii="宋体" w:hAnsi="宋体" w:eastAsia="宋体" w:cs="宋体"/>
          <w:color w:val="auto"/>
          <w:shd w:val="clear" w:color="auto" w:fill="FFFFFF"/>
        </w:rPr>
        <w:t>2.10、具有水位超限报警；</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【评标项308】</w:t>
      </w:r>
      <w:r>
        <w:rPr>
          <w:rFonts w:hint="eastAsia" w:ascii="宋体" w:hAnsi="宋体" w:eastAsia="宋体" w:cs="宋体"/>
          <w:color w:val="auto"/>
          <w:shd w:val="clear" w:color="auto" w:fill="FFFFFF"/>
        </w:rPr>
        <w:t>2.11、水浴具备双层玻璃；</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【评标项309】</w:t>
      </w:r>
      <w:r>
        <w:rPr>
          <w:rFonts w:hint="eastAsia" w:ascii="宋体" w:hAnsi="宋体" w:eastAsia="宋体" w:cs="宋体"/>
          <w:color w:val="auto"/>
          <w:shd w:val="clear" w:color="auto" w:fill="FFFFFF"/>
        </w:rPr>
        <w:t>2.12、具备感应防夹手功能；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【评标项310】</w:t>
      </w:r>
      <w:r>
        <w:rPr>
          <w:rFonts w:hint="eastAsia" w:ascii="宋体" w:hAnsi="宋体" w:eastAsia="宋体" w:cs="宋体"/>
          <w:color w:val="auto"/>
          <w:shd w:val="clear" w:color="auto" w:fill="FFFFFF"/>
        </w:rPr>
        <w:t>2.13、具备整体密封和自动排风管道功能；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【评标项311】</w:t>
      </w:r>
      <w:r>
        <w:rPr>
          <w:rFonts w:hint="eastAsia" w:ascii="宋体" w:hAnsi="宋体" w:eastAsia="宋体" w:cs="宋体"/>
          <w:color w:val="auto"/>
          <w:shd w:val="clear" w:color="auto" w:fill="FFFFFF"/>
        </w:rPr>
        <w:t>2.14、具备内置控制系统；</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【评标项312】</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3.1、全自动平行浓缩仪主机 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3.2、水浴双层加热模组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3.3、6位氮吹模组 8套；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3.4、48位20ml试管架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3.5、20ml试管100个/包 1包；</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3.6、48位80ml技术参数及配置管架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3.7、80ml试管100个/包 1包；</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3.8、近干模组 1套；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3.9、控制软件1套；</w:t>
      </w:r>
    </w:p>
    <w:p>
      <w:pPr>
        <w:pStyle w:val="2"/>
        <w:widowControl/>
        <w:spacing w:before="346" w:beforeAutospacing="0" w:after="330" w:afterAutospacing="0" w:line="480" w:lineRule="atLeast"/>
        <w:ind w:left="-136" w:firstLine="723" w:firstLineChars="200"/>
        <w:rPr>
          <w:rStyle w:val="13"/>
          <w:rFonts w:hint="default" w:cs="宋体"/>
          <w:b/>
          <w:color w:val="auto"/>
          <w:sz w:val="36"/>
          <w:szCs w:val="36"/>
          <w:shd w:val="clear" w:color="auto" w:fill="FFFFFF"/>
        </w:rPr>
      </w:pPr>
      <w:r>
        <w:rPr>
          <w:rStyle w:val="13"/>
          <w:rFonts w:cs="宋体"/>
          <w:b/>
          <w:color w:val="auto"/>
          <w:sz w:val="36"/>
          <w:szCs w:val="36"/>
          <w:shd w:val="clear" w:color="auto" w:fill="FFFFFF"/>
        </w:rPr>
        <w:t>品目</w:t>
      </w:r>
      <w:r>
        <w:rPr>
          <w:rStyle w:val="13"/>
          <w:rFonts w:hint="default" w:ascii="Times New Roman" w:hAnsi="Times New Roman"/>
          <w:b/>
          <w:color w:val="auto"/>
          <w:sz w:val="36"/>
          <w:szCs w:val="36"/>
          <w:shd w:val="clear" w:color="auto" w:fill="FFFFFF"/>
        </w:rPr>
        <w:t> </w:t>
      </w:r>
      <w:r>
        <w:rPr>
          <w:rStyle w:val="13"/>
          <w:rFonts w:ascii="Times New Roman" w:hAnsi="Times New Roman"/>
          <w:b/>
          <w:color w:val="auto"/>
          <w:sz w:val="36"/>
          <w:szCs w:val="36"/>
          <w:shd w:val="clear" w:color="auto" w:fill="FFFFFF"/>
        </w:rPr>
        <w:t>20：</w:t>
      </w:r>
      <w:r>
        <w:rPr>
          <w:rStyle w:val="13"/>
          <w:rFonts w:cs="宋体"/>
          <w:b/>
          <w:color w:val="auto"/>
          <w:sz w:val="36"/>
          <w:szCs w:val="36"/>
          <w:shd w:val="clear" w:color="auto" w:fill="FFFFFF"/>
        </w:rPr>
        <w:t>十万分之一天平</w:t>
      </w:r>
    </w:p>
    <w:p>
      <w:pPr>
        <w:pStyle w:val="9"/>
        <w:widowControl/>
        <w:spacing w:beforeAutospacing="0" w:afterAutospacing="0" w:line="480" w:lineRule="atLeast"/>
        <w:ind w:firstLine="420"/>
        <w:jc w:val="both"/>
        <w:rPr>
          <w:rStyle w:val="13"/>
          <w:rFonts w:ascii="宋体" w:hAnsi="宋体" w:eastAsia="宋体" w:cs="宋体"/>
          <w:color w:val="auto"/>
          <w:shd w:val="clear" w:color="auto" w:fill="FFFFFF"/>
          <w:lang w:bidi="ar"/>
        </w:rPr>
      </w:pPr>
      <w:r>
        <w:rPr>
          <w:rStyle w:val="13"/>
          <w:rFonts w:hint="eastAsia" w:ascii="宋体" w:hAnsi="宋体" w:eastAsia="宋体" w:cs="宋体"/>
          <w:color w:val="auto"/>
          <w:shd w:val="clear" w:color="auto" w:fill="FFFFFF"/>
          <w:lang w:bidi="ar"/>
        </w:rPr>
        <w:t>【评标项313】</w:t>
      </w:r>
      <w:r>
        <w:rPr>
          <w:rStyle w:val="13"/>
          <w:rFonts w:hint="eastAsia" w:ascii="宋体" w:hAnsi="宋体" w:eastAsia="宋体" w:cs="宋体"/>
          <w:b w:val="0"/>
          <w:bCs/>
          <w:color w:val="auto"/>
          <w:shd w:val="clear" w:color="auto" w:fill="FFFFFF"/>
          <w:lang w:bidi="ar"/>
        </w:rPr>
        <w:t>1、技术参数：</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1.1、称量范围（g）：≥62；</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1.2、可读性(mg)：≥0.01；</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1.3、重复性(≤mg)：≥±0.01；</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1.4、线性(≤mg)：≥±0.02；</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1.5、秤盘尺寸（mm）：≥Ф80；</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1.6、响应时间（sec）：≤6；</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  21：易燃性鉴别装置</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【评标项314】</w:t>
      </w:r>
      <w:r>
        <w:rPr>
          <w:rFonts w:hint="eastAsia" w:ascii="宋体" w:hAnsi="宋体" w:eastAsia="宋体" w:cs="宋体"/>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符合GB/T261、GB19521.1、GB19521.3等测试方法相关要求。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2、技术参数</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【评标项315】</w:t>
      </w:r>
      <w:r>
        <w:rPr>
          <w:rFonts w:hint="eastAsia" w:ascii="宋体" w:hAnsi="宋体" w:eastAsia="宋体" w:cs="宋体"/>
          <w:color w:val="auto"/>
          <w:shd w:val="clear" w:color="auto" w:fill="FFFFFF"/>
        </w:rPr>
        <w:t>2.1闭口闪点测定仪</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【评标项316】</w:t>
      </w:r>
      <w:r>
        <w:rPr>
          <w:rFonts w:hint="eastAsia" w:ascii="宋体" w:hAnsi="宋体" w:eastAsia="宋体" w:cs="宋体"/>
          <w:color w:val="auto"/>
          <w:shd w:val="clear" w:color="auto" w:fill="FFFFFF"/>
        </w:rPr>
        <w:t>2.2需符合 GB/T 261的相关要求。</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【评标项317】</w:t>
      </w:r>
      <w:r>
        <w:rPr>
          <w:rFonts w:hint="eastAsia" w:ascii="宋体" w:hAnsi="宋体" w:eastAsia="宋体" w:cs="宋体"/>
          <w:color w:val="auto"/>
          <w:shd w:val="clear" w:color="auto" w:fill="FFFFFF"/>
        </w:rPr>
        <w:t>2.3测定范围：40～300℃。</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【评标项318】</w:t>
      </w:r>
      <w:r>
        <w:rPr>
          <w:rFonts w:hint="eastAsia" w:ascii="宋体" w:hAnsi="宋体" w:eastAsia="宋体" w:cs="宋体"/>
          <w:color w:val="auto"/>
          <w:shd w:val="clear" w:color="auto" w:fill="FFFFFF"/>
        </w:rPr>
        <w:t>2.4搅拌转速：可选。</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【评标项319】</w:t>
      </w:r>
      <w:r>
        <w:rPr>
          <w:rFonts w:hint="eastAsia" w:ascii="宋体" w:hAnsi="宋体" w:eastAsia="宋体" w:cs="宋体"/>
          <w:color w:val="auto"/>
          <w:shd w:val="clear" w:color="auto" w:fill="FFFFFF"/>
        </w:rPr>
        <w:t>2.5燃气源：液化石油气或丙烷。</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【评标项320】</w:t>
      </w:r>
      <w:r>
        <w:rPr>
          <w:rFonts w:hint="eastAsia" w:ascii="宋体" w:hAnsi="宋体" w:eastAsia="宋体" w:cs="宋体"/>
          <w:color w:val="auto"/>
          <w:shd w:val="clear" w:color="auto" w:fill="FFFFFF"/>
        </w:rPr>
        <w:t>3、固体燃烧速率仪</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rPr>
        <w:t>同时具备自动易燃固体筛分仪、金属燃烧速率仪、非金属燃烧速率仪功能，即符合GB19521.1《易燃固体危险货物危险特性检验安全规范》、GB19521.1《易燃固体危险货物危险特性检验安全规范》、GB19521.1《易燃固体危险货物危险特性检验安全规范》要求。</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【评标项321】</w:t>
      </w:r>
      <w:r>
        <w:rPr>
          <w:rFonts w:hint="eastAsia" w:ascii="宋体" w:hAnsi="宋体" w:eastAsia="宋体" w:cs="宋体"/>
          <w:color w:val="auto"/>
          <w:shd w:val="clear" w:color="auto" w:fill="FFFFFF"/>
        </w:rPr>
        <w:t>3.1工作环境：(-5～45)℃，&lt;95%RH；</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【评标项322】</w:t>
      </w:r>
      <w:r>
        <w:rPr>
          <w:rFonts w:hint="eastAsia" w:ascii="宋体" w:hAnsi="宋体" w:eastAsia="宋体" w:cs="宋体"/>
          <w:color w:val="auto"/>
          <w:shd w:val="clear" w:color="auto" w:fill="FFFFFF"/>
        </w:rPr>
        <w:t>3.2点火源温度：≥1000℃；</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【评标项323】</w:t>
      </w:r>
      <w:r>
        <w:rPr>
          <w:rFonts w:hint="eastAsia" w:ascii="宋体" w:hAnsi="宋体" w:eastAsia="宋体" w:cs="宋体"/>
          <w:color w:val="auto"/>
          <w:shd w:val="clear" w:color="auto" w:fill="FFFFFF"/>
        </w:rPr>
        <w:t>3.3点火方式：气体点火器与氮硅棒；</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【评标项324】</w:t>
      </w:r>
      <w:r>
        <w:rPr>
          <w:rFonts w:hint="eastAsia" w:ascii="宋体" w:hAnsi="宋体" w:eastAsia="宋体" w:cs="宋体"/>
          <w:color w:val="auto"/>
          <w:shd w:val="clear" w:color="auto" w:fill="FFFFFF"/>
        </w:rPr>
        <w:t>3.4燃烧检测行程：(0～250)mm；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【评标项325】</w:t>
      </w:r>
      <w:r>
        <w:rPr>
          <w:rFonts w:hint="eastAsia" w:ascii="宋体" w:hAnsi="宋体" w:eastAsia="宋体" w:cs="宋体"/>
          <w:color w:val="auto"/>
          <w:shd w:val="clear" w:color="auto" w:fill="FFFFFF"/>
        </w:rPr>
        <w:t>3.5燃烧距离测量精度：±0.5mm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【评标项326】</w:t>
      </w:r>
      <w:r>
        <w:rPr>
          <w:rFonts w:hint="eastAsia" w:ascii="宋体" w:hAnsi="宋体" w:eastAsia="宋体" w:cs="宋体"/>
          <w:color w:val="auto"/>
          <w:shd w:val="clear" w:color="auto" w:fill="FFFFFF"/>
        </w:rPr>
        <w:t>4、气体易燃性测试装置：</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4.1工作环境：(-5～45)℃，&lt;95%RH；</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4.2流量控制范围：(5～500)sccm；</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4.3流量控制精度：±1%FS；</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4.4流量测量响应时间：≤1s；</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4.5燃烧检测响应时间：≤1ms；</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4.6安全阀开启压力：2kg/cm²；</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C0C0C0"/>
        </w:rPr>
        <w:t>4.7</w:t>
      </w:r>
      <w:r>
        <w:rPr>
          <w:rFonts w:hint="eastAsia" w:ascii="宋体" w:hAnsi="宋体" w:eastAsia="宋体" w:cs="宋体"/>
          <w:color w:val="auto"/>
          <w:shd w:val="clear" w:color="auto" w:fill="FFFFFF"/>
        </w:rPr>
        <w:t>燃烧速度检测范围：≤500cm/s；</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4.8燃烧速度检测精度：±5mm/s；</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4.9气体通道进口压力：≤5MPa；</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4.10气体采样袋：1L。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【评标项327】</w:t>
      </w:r>
      <w:r>
        <w:rPr>
          <w:rFonts w:hint="eastAsia" w:ascii="宋体" w:hAnsi="宋体" w:eastAsia="宋体" w:cs="宋体"/>
          <w:color w:val="auto"/>
          <w:shd w:val="clear" w:color="auto" w:fill="FFFFFF"/>
        </w:rPr>
        <w:t>5、配置清单：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5.1固体燃烧速率试验仪1台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5.2闭口闪点测定仪   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5.3气体易燃性测试装置1台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5.4氮化硅加热棒      2支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5.5点火枪         2支</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5.6充气瓶         1瓶</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5.7承烧板         4套</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5.8保险丝管        1个</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  22： 反应性鉴别装置</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【评标项328】</w:t>
      </w:r>
      <w:r>
        <w:rPr>
          <w:rFonts w:hint="eastAsia" w:ascii="宋体" w:hAnsi="宋体" w:eastAsia="宋体" w:cs="宋体"/>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符合GB19521.4第5.5.1、5.5.2条及GB19452、GB19521.12等测试方法相关要求。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2、技术参数</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【评标项329】</w:t>
      </w:r>
      <w:r>
        <w:rPr>
          <w:rFonts w:hint="eastAsia" w:ascii="宋体" w:hAnsi="宋体" w:eastAsia="宋体" w:cs="宋体"/>
          <w:color w:val="auto"/>
          <w:shd w:val="clear" w:color="auto" w:fill="FFFFFF"/>
        </w:rPr>
        <w:t>2.1、遇水放气试验仪：</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2.1.1、工作环境： -5℃～45℃，&lt;95%RH；</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2.1.2、测试室控温范围：10℃～35℃，默认控温目标：20℃，可软件设置；</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2.1.3、控温稳定性：±0.5℃；</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2.1.4、实验加水量：样品自动入水；</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2.1.5、样品杯体积：≥20mL；</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2.1.6、气体收集量：0～800mL；</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2.1.7、气体检测分辨力：0.01mL；</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2.1.8、气体收集精度：±0.5mL；</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2.1.0、样品释放气体速率范围：0～100L/min/kg；</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2.1.10、气体体积采样间隔：1s；</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2.1.11、气体释放速率计算间隔：1min～1h，可软件设置；</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2.1.12、计时范围：0～240h。</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【评标项330】</w:t>
      </w:r>
      <w:r>
        <w:rPr>
          <w:rFonts w:hint="eastAsia" w:ascii="宋体" w:hAnsi="宋体" w:eastAsia="宋体" w:cs="宋体"/>
          <w:color w:val="auto"/>
          <w:shd w:val="clear" w:color="auto" w:fill="FFFFFF"/>
        </w:rPr>
        <w:t>2.2、适用范围和标准：主要测定仪和相关配件需符合GB 19521.4-2004《遇水放出易燃气体危险货物危险特性检验安全规范》和GB5085.5-2007《危险废物鉴别标准反应性鉴别》要求，兼具联合国《关于危险货物运输的建议书 试验和标准手册》33.4.1.4  试验N.5：遇水放出易燃气体的物质的试验方法、GB 30000.13-2013《化学品分类和标签规范 第13部分：遇水放出易燃气体的物质和混合物》、GB/T 21619-2008《危险品 易燃固体遇水放出易燃气体试验方法》、GA/T 536.4-2005《易燃易爆危险品 火灾危险性分级及试验方法 第4部分：遇水放出易燃气体物质分级试验》以及NY/T 1860.29-2016《农药理化性质测定试验导则 第29部分：遇水可燃性》等标准进行测试等试验功能。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【评标项331】</w:t>
      </w:r>
      <w:r>
        <w:rPr>
          <w:rFonts w:hint="eastAsia" w:ascii="宋体" w:hAnsi="宋体" w:eastAsia="宋体" w:cs="宋体"/>
          <w:color w:val="auto"/>
          <w:shd w:val="clear" w:color="auto" w:fill="FFFFFF"/>
        </w:rPr>
        <w:t>2.3、氧化性固体试验仪：</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2.3.1、工作环境：(-5～45)℃，&lt;95%RH；</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2.3.2、加热方式：标准形状的惰性金属线加热；</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2.3.3、加热金属丝功率：150W±2W；</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2.3.4、检测方式：红外传感器阵列检测方式或天平称重检测方式；</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2.3.5、天平称重精度：±0.1g；</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2.3.6、环境温度测量范围：覆盖-10℃～+60℃；</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2.3.7、环境温度测量精度：±0.5℃；</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2.3.8、环境湿度测量范围：5%RH～95%RH；</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2.3.9、环境湿度测量精度：±5.0%RH；</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2.3.10、计时显示分辨能力：1s；</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2.3.11、计时精度：±7ms/Minute；</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2.3.12、测试板：材质为刚玉。</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【评标项332】</w:t>
      </w:r>
      <w:r>
        <w:rPr>
          <w:rFonts w:hint="eastAsia" w:ascii="宋体" w:hAnsi="宋体" w:eastAsia="宋体" w:cs="宋体"/>
          <w:color w:val="auto"/>
          <w:shd w:val="clear" w:color="auto" w:fill="FFFFFF"/>
        </w:rPr>
        <w:t>2.4、适用范围和标准：主要测定仪和相关配件需符合GB19521.12 《有机过氧化物危险货物危险特性检验安全规范》和GB19452《氧化性危险货物危险特性检验安全规范》要求，兼具联合国《关于危险货物运输的建议书·试验和标准手册》34.4.1试验O.1：氧化性固体的试验，34.4.3试验O.3：氧化性固体重量试验和GB/T 21617-2008《危险品 氧化性固体试验方法》等功能。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【评标项333】</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3.1、遇水放气试验仪</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3.2、天平（万分之一）</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最大量程220g</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3.3、氧化性固体试验仪</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3.4、低温恒温槽</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3.5、经济型方台</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3.6、制样模具</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3.7、研磨器具</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3.8、单头椭圆形浅勺</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1个</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3.9、金属丝成型工具</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3.10、温湿度传感器</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3.11、UN刚玉板</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5块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136" w:firstLine="723" w:firstLineChars="200"/>
        <w:rPr>
          <w:rFonts w:hint="default" w:cs="宋体"/>
          <w:color w:val="auto"/>
          <w:sz w:val="78"/>
          <w:szCs w:val="78"/>
        </w:rPr>
      </w:pPr>
      <w:r>
        <w:rPr>
          <w:rStyle w:val="13"/>
          <w:rFonts w:cs="宋体"/>
          <w:b/>
          <w:color w:val="auto"/>
          <w:sz w:val="36"/>
          <w:szCs w:val="36"/>
          <w:shd w:val="clear" w:color="auto" w:fill="FFFFFF"/>
        </w:rPr>
        <w:t>品目  23: 腐蚀性鉴别装置</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【评标项334】</w:t>
      </w:r>
      <w:r>
        <w:rPr>
          <w:rFonts w:hint="eastAsia" w:ascii="宋体" w:hAnsi="宋体" w:eastAsia="宋体" w:cs="宋体"/>
          <w:color w:val="auto"/>
          <w:shd w:val="clear" w:color="auto" w:fill="FFFFFF"/>
        </w:rPr>
        <w:t>1、应用范围</w:t>
      </w:r>
      <w:r>
        <w:rPr>
          <w:rFonts w:hint="eastAsia" w:ascii="宋体" w:hAnsi="宋体" w:eastAsia="宋体" w:cs="宋体"/>
          <w:color w:val="auto"/>
        </w:rPr>
        <w:t>：</w:t>
      </w:r>
      <w:r>
        <w:rPr>
          <w:rFonts w:hint="eastAsia" w:ascii="宋体" w:hAnsi="宋体" w:eastAsia="宋体" w:cs="宋体"/>
          <w:color w:val="auto"/>
          <w:shd w:val="clear" w:color="auto" w:fill="FFFFFF"/>
        </w:rPr>
        <w:t>符合GB/T15555.12、JB/T7901-1999等测试方法相关要求。</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【评标项335】</w:t>
      </w:r>
      <w:r>
        <w:rPr>
          <w:rFonts w:hint="eastAsia" w:ascii="宋体" w:hAnsi="宋体" w:eastAsia="宋体" w:cs="宋体"/>
          <w:color w:val="auto"/>
          <w:shd w:val="clear" w:color="auto" w:fill="FFFFFF"/>
        </w:rPr>
        <w:t>2、试验设备：</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2.1、玻璃电极。</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2.2、腐蚀性试验设备：</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2.2.1、密闭容器：材质应使用对腐蚀介质呈惰性的材料，常用的有玻璃、塑料、陶瓷等，符合JB/T7901-1999《金属材料实验室均匀腐蚀全浸试验方法》要求。</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2.2.2、温度保持系统：恒温箱，符合JB/T7901-1999《金属材料实验室均匀腐蚀全浸试验方法》要求。</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2.2.3、试样支持系统：能把试样支持于试液中间，材质应对试液和试样呈惰性，如玻璃支架或挂钩或塑料或陶瓷及化学纤维等材质支持系统，符合JB/T7901-1999《金属材料实验室均匀腐蚀全浸试验方法》要求。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【评标项336】</w:t>
      </w:r>
      <w:r>
        <w:rPr>
          <w:rFonts w:hint="eastAsia" w:ascii="宋体" w:hAnsi="宋体" w:eastAsia="宋体" w:cs="宋体"/>
          <w:color w:val="auto"/>
          <w:shd w:val="clear" w:color="auto" w:fill="FFFFFF"/>
        </w:rPr>
        <w:t>3、技术参数：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3.1、工作环境：(-5～45)℃，&lt;95%RH；</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3.2、控温范围：室温～ 80℃；</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3.3、控温精度：±1℃；</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3.4、均温性：±0.5℃；</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3.5、计时范围：(0～30)天；</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3.6、计时显示分辨力：1Minute；</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3.7、样品容器体积：≥3000mL，有效容积≥2000mL。</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【评标项337】</w:t>
      </w:r>
      <w:r>
        <w:rPr>
          <w:rFonts w:hint="eastAsia" w:ascii="宋体" w:hAnsi="宋体" w:eastAsia="宋体" w:cs="宋体"/>
          <w:color w:val="auto"/>
          <w:shd w:val="clear" w:color="auto" w:fill="FFFFFF"/>
        </w:rPr>
        <w:t>4、适用范围和标准：</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主要测定仪和相关配件需符合JB/T7901-1999《金属材料实验室均匀腐蚀全浸试验方法》要求，兼具联合国《关于危险货物运输的建议书·试验和标准手册》37.4.1.1试验C.1：试验用于确定液体和在运输过程中可能变为液体的固体物质（第8类危险货物、Ⅲ类包装）的腐蚀性和 GB/T 21621-2008 《危险品 金属腐蚀性试验方法》的功能。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【评标项338】</w:t>
      </w:r>
      <w:r>
        <w:rPr>
          <w:rFonts w:hint="eastAsia" w:ascii="宋体" w:hAnsi="宋体" w:eastAsia="宋体" w:cs="宋体"/>
          <w:color w:val="auto"/>
          <w:shd w:val="clear" w:color="auto" w:fill="FFFFFF"/>
        </w:rPr>
        <w:t>5、配置清单：</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5.1、金属腐蚀性试验仪</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1台</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5.2、反应容器盖支架</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2套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5.3、勾板（长、中、短）和上挂钩</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2套</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5.4、广口瓶：玻璃</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2件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5.5、反应容器盖（玻璃）</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5.6、冷凝器（玻璃）</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5.7、加料塞（玻璃）</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2件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5.8、观察窗（玻璃）</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2件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5.9、冷凝器连接软管</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4根</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5.10、铝材试验样片</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 30片</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5.11、钢材试验样片</w:t>
      </w:r>
      <w:r>
        <w:rPr>
          <w:rFonts w:ascii="Times New Roman" w:hAnsi="Times New Roman" w:eastAsia="宋体"/>
          <w:color w:val="auto"/>
          <w:shd w:val="clear" w:color="auto" w:fill="FFFFFF"/>
        </w:rPr>
        <w:t>                    </w:t>
      </w:r>
      <w:r>
        <w:rPr>
          <w:rFonts w:hint="eastAsia" w:ascii="宋体" w:hAnsi="宋体" w:eastAsia="宋体" w:cs="宋体"/>
          <w:color w:val="auto"/>
          <w:shd w:val="clear" w:color="auto" w:fill="FFFFFF"/>
        </w:rPr>
        <w:t>30片</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pStyle w:val="2"/>
        <w:widowControl/>
        <w:spacing w:before="346" w:beforeAutospacing="0" w:after="330" w:afterAutospacing="0" w:line="480" w:lineRule="atLeast"/>
        <w:ind w:left="286"/>
        <w:rPr>
          <w:rFonts w:hint="default" w:cs="宋体"/>
          <w:color w:val="auto"/>
          <w:sz w:val="78"/>
          <w:szCs w:val="78"/>
        </w:rPr>
      </w:pPr>
      <w:r>
        <w:rPr>
          <w:rStyle w:val="13"/>
          <w:rFonts w:cs="宋体"/>
          <w:b/>
          <w:color w:val="auto"/>
          <w:sz w:val="36"/>
          <w:szCs w:val="36"/>
          <w:shd w:val="clear" w:color="auto" w:fill="FFFFFF"/>
        </w:rPr>
        <w:t>品目  24: 生物毒性实验室</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Style w:val="13"/>
          <w:rFonts w:hint="eastAsia" w:ascii="宋体" w:hAnsi="宋体" w:eastAsia="宋体" w:cs="宋体"/>
          <w:color w:val="auto"/>
          <w:shd w:val="clear" w:color="auto" w:fill="FFFFFF"/>
        </w:rPr>
        <w:t>【评标项339】</w:t>
      </w:r>
      <w:r>
        <w:rPr>
          <w:rFonts w:hint="eastAsia" w:ascii="宋体" w:hAnsi="宋体" w:eastAsia="宋体" w:cs="宋体"/>
          <w:color w:val="auto"/>
          <w:shd w:val="clear" w:color="auto" w:fill="FFFFFF"/>
        </w:rPr>
        <w:t>1、应用范围：符合HJ/T153等测试方法相关要求。</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2、IVC主机及配套设施：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【评标项340】</w:t>
      </w:r>
      <w:r>
        <w:rPr>
          <w:rFonts w:hint="eastAsia" w:ascii="宋体" w:hAnsi="宋体" w:eastAsia="宋体" w:cs="宋体"/>
          <w:color w:val="auto"/>
          <w:shd w:val="clear" w:color="auto" w:fill="FFFFFF"/>
        </w:rPr>
        <w:t>2.1、独立送风隔离笼具（IVC）由4个部分组成：送风系统、排气系统、笼架、观察盒。</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【评标项341】</w:t>
      </w:r>
      <w:r>
        <w:rPr>
          <w:rFonts w:hint="eastAsia" w:ascii="宋体" w:hAnsi="宋体" w:eastAsia="宋体" w:cs="宋体"/>
          <w:color w:val="auto"/>
          <w:shd w:val="clear" w:color="auto" w:fill="FFFFFF"/>
        </w:rPr>
        <w:t>2.2、电源：220V；</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【评标项342】</w:t>
      </w:r>
      <w:r>
        <w:rPr>
          <w:rFonts w:hint="eastAsia" w:ascii="宋体" w:hAnsi="宋体" w:eastAsia="宋体" w:cs="宋体"/>
          <w:color w:val="auto"/>
          <w:shd w:val="clear" w:color="auto" w:fill="FFFFFF"/>
        </w:rPr>
        <w:t>2.3、排气量：≥200m3/h；</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【评标项343】</w:t>
      </w:r>
      <w:r>
        <w:rPr>
          <w:rFonts w:hint="eastAsia" w:ascii="宋体" w:hAnsi="宋体" w:eastAsia="宋体" w:cs="宋体"/>
          <w:color w:val="auto"/>
          <w:shd w:val="clear" w:color="auto" w:fill="FFFFFF"/>
        </w:rPr>
        <w:t>2.4、换气次数（次/小时）：10～50（可调）；</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【评标项344】</w:t>
      </w:r>
      <w:r>
        <w:rPr>
          <w:rFonts w:hint="eastAsia" w:ascii="宋体" w:hAnsi="宋体" w:eastAsia="宋体" w:cs="宋体"/>
          <w:color w:val="auto"/>
          <w:shd w:val="clear" w:color="auto" w:fill="FFFFFF"/>
        </w:rPr>
        <w:t>2.5、气流速度(m/s)≤0.18；</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【评标项345】</w:t>
      </w:r>
      <w:r>
        <w:rPr>
          <w:rFonts w:hint="eastAsia" w:ascii="宋体" w:hAnsi="宋体" w:eastAsia="宋体" w:cs="宋体"/>
          <w:color w:val="auto"/>
          <w:shd w:val="clear" w:color="auto" w:fill="FFFFFF"/>
        </w:rPr>
        <w:t>2.6、梯度压差(Pa)：0～50（可调）；</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【评标项346】</w:t>
      </w:r>
      <w:r>
        <w:rPr>
          <w:rFonts w:hint="eastAsia" w:ascii="宋体" w:hAnsi="宋体" w:eastAsia="宋体" w:cs="宋体"/>
          <w:color w:val="auto"/>
          <w:shd w:val="clear" w:color="auto" w:fill="FFFFFF"/>
        </w:rPr>
        <w:t>2.7、空气洁净度(级)：&lt;100级；</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【评标项347】</w:t>
      </w:r>
      <w:r>
        <w:rPr>
          <w:rFonts w:hint="eastAsia" w:ascii="宋体" w:hAnsi="宋体" w:eastAsia="宋体" w:cs="宋体"/>
          <w:color w:val="auto"/>
          <w:shd w:val="clear" w:color="auto" w:fill="FFFFFF"/>
        </w:rPr>
        <w:t>2.8、落下菌数(个/皿小时)=0；</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【评标项348】</w:t>
      </w:r>
      <w:r>
        <w:rPr>
          <w:rFonts w:hint="eastAsia" w:ascii="宋体" w:hAnsi="宋体" w:eastAsia="宋体" w:cs="宋体"/>
          <w:color w:val="auto"/>
          <w:shd w:val="clear" w:color="auto" w:fill="FFFFFF"/>
        </w:rPr>
        <w:t>2.9、噪声(dB)：≤55；</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【评标项349】</w:t>
      </w:r>
      <w:r>
        <w:rPr>
          <w:rFonts w:hint="eastAsia" w:ascii="宋体" w:hAnsi="宋体" w:eastAsia="宋体" w:cs="宋体"/>
          <w:color w:val="auto"/>
          <w:shd w:val="clear" w:color="auto" w:fill="FFFFFF"/>
        </w:rPr>
        <w:t>2.10、进风箱、排风箱处提供初、高效两级过滤，高效过滤效率≥99.99%；</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【评标项350】</w:t>
      </w:r>
      <w:r>
        <w:rPr>
          <w:rFonts w:hint="eastAsia" w:ascii="宋体" w:hAnsi="宋体" w:eastAsia="宋体" w:cs="宋体"/>
          <w:color w:val="auto"/>
          <w:shd w:val="clear" w:color="auto" w:fill="FFFFFF"/>
        </w:rPr>
        <w:t>2.11、具有停电、设备故障和温湿度超限等多项报警辅助功能；</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【评标项351】</w:t>
      </w:r>
      <w:r>
        <w:rPr>
          <w:rFonts w:hint="eastAsia" w:ascii="宋体" w:hAnsi="宋体" w:eastAsia="宋体" w:cs="宋体"/>
          <w:color w:val="auto"/>
          <w:shd w:val="clear" w:color="auto" w:fill="FFFFFF"/>
        </w:rPr>
        <w:t>2.12、带更换过滤计时器装置。</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【评标项352】</w:t>
      </w:r>
      <w:r>
        <w:rPr>
          <w:rFonts w:hint="eastAsia" w:ascii="宋体" w:hAnsi="宋体" w:eastAsia="宋体" w:cs="宋体"/>
          <w:color w:val="auto"/>
          <w:shd w:val="clear" w:color="auto" w:fill="FFFFFF"/>
        </w:rPr>
        <w:t>2.13、小鼠不锈钢笼架2个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【评标项353】</w:t>
      </w:r>
      <w:r>
        <w:rPr>
          <w:rFonts w:hint="eastAsia" w:ascii="宋体" w:hAnsi="宋体" w:eastAsia="宋体" w:cs="宋体"/>
          <w:color w:val="auto"/>
          <w:shd w:val="clear" w:color="auto" w:fill="FFFFFF"/>
        </w:rPr>
        <w:t>2.14、不锈钢方管管厚：≥1.5mm；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【评标项354】</w:t>
      </w:r>
      <w:r>
        <w:rPr>
          <w:rFonts w:hint="eastAsia" w:ascii="宋体" w:hAnsi="宋体" w:eastAsia="宋体" w:cs="宋体"/>
          <w:color w:val="auto"/>
          <w:shd w:val="clear" w:color="auto" w:fill="FFFFFF"/>
        </w:rPr>
        <w:t>2.15、材质：不锈钢304；</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【评标项355】</w:t>
      </w:r>
      <w:r>
        <w:rPr>
          <w:rFonts w:hint="eastAsia" w:ascii="宋体" w:hAnsi="宋体" w:eastAsia="宋体" w:cs="宋体"/>
          <w:color w:val="auto"/>
          <w:shd w:val="clear" w:color="auto" w:fill="FFFFFF"/>
        </w:rPr>
        <w:t>2.16、规格：每个笼架可放笼盒≥50笼；</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【评标项356】</w:t>
      </w:r>
      <w:r>
        <w:rPr>
          <w:rFonts w:hint="eastAsia" w:ascii="宋体" w:hAnsi="宋体" w:eastAsia="宋体" w:cs="宋体"/>
          <w:color w:val="auto"/>
          <w:shd w:val="clear" w:color="auto" w:fill="FFFFFF"/>
        </w:rPr>
        <w:t>2.17、笼架进风、排风管孔采用冲压式结构，方便拆卸、清洗；</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【评标项357】</w:t>
      </w:r>
      <w:r>
        <w:rPr>
          <w:rFonts w:hint="eastAsia" w:ascii="宋体" w:hAnsi="宋体" w:eastAsia="宋体" w:cs="宋体"/>
          <w:color w:val="auto"/>
          <w:shd w:val="clear" w:color="auto" w:fill="FFFFFF"/>
        </w:rPr>
        <w:t>2.18、小鼠IVC笼盒；</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【评标项358】</w:t>
      </w:r>
      <w:r>
        <w:rPr>
          <w:rFonts w:hint="eastAsia" w:ascii="宋体" w:hAnsi="宋体" w:eastAsia="宋体" w:cs="宋体"/>
          <w:color w:val="auto"/>
          <w:shd w:val="clear" w:color="auto" w:fill="FFFFFF"/>
        </w:rPr>
        <w:t>2.19、材质：鼠盒和所有密封材料采用硅橡胶材料，具备耐酸耐碱高温特性，硅胶密封条可高压灭菌；</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【评标项359】</w:t>
      </w:r>
      <w:r>
        <w:rPr>
          <w:rFonts w:hint="eastAsia" w:ascii="宋体" w:hAnsi="宋体" w:eastAsia="宋体" w:cs="宋体"/>
          <w:color w:val="auto"/>
          <w:shd w:val="clear" w:color="auto" w:fill="FFFFFF"/>
        </w:rPr>
        <w:t>2.20、尺寸：鼠盒长宽高分别不小于360mm、200mm、150mm；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【评标项360】</w:t>
      </w:r>
      <w:r>
        <w:rPr>
          <w:rFonts w:hint="eastAsia" w:ascii="宋体" w:hAnsi="宋体" w:eastAsia="宋体" w:cs="宋体"/>
          <w:color w:val="auto"/>
          <w:shd w:val="clear" w:color="auto" w:fill="FFFFFF"/>
        </w:rPr>
        <w:t>2.21、具备笼盒进风、排风阀门自动控制功能；笼盒与笼架进排风嘴为非侵入式结构；</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【评标项361】</w:t>
      </w:r>
      <w:r>
        <w:rPr>
          <w:rFonts w:hint="eastAsia" w:ascii="宋体" w:hAnsi="宋体" w:eastAsia="宋体" w:cs="宋体"/>
          <w:color w:val="auto"/>
          <w:shd w:val="clear" w:color="auto" w:fill="FFFFFF"/>
        </w:rPr>
        <w:t>2.22、外置式饮水瓶：容积≥200ml。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【评标项362】</w:t>
      </w:r>
      <w:r>
        <w:rPr>
          <w:rFonts w:hint="eastAsia" w:ascii="宋体" w:hAnsi="宋体" w:eastAsia="宋体" w:cs="宋体"/>
          <w:color w:val="auto"/>
          <w:shd w:val="clear" w:color="auto" w:fill="FFFFFF"/>
        </w:rPr>
        <w:t>2.23、兔笼不锈钢笼架1个</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【评标项363】</w:t>
      </w:r>
      <w:r>
        <w:rPr>
          <w:rFonts w:hint="eastAsia" w:ascii="宋体" w:hAnsi="宋体" w:eastAsia="宋体" w:cs="宋体"/>
          <w:color w:val="auto"/>
          <w:shd w:val="clear" w:color="auto" w:fill="FFFFFF"/>
        </w:rPr>
        <w:t>2.24、不锈钢方管管厚：≥1.5mm  ；</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【评标项364】</w:t>
      </w:r>
      <w:r>
        <w:rPr>
          <w:rFonts w:hint="eastAsia" w:ascii="宋体" w:hAnsi="宋体" w:eastAsia="宋体" w:cs="宋体"/>
          <w:color w:val="auto"/>
          <w:shd w:val="clear" w:color="auto" w:fill="FFFFFF"/>
        </w:rPr>
        <w:t>2.25、材质：不锈钢304；</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【评标项365】</w:t>
      </w:r>
      <w:r>
        <w:rPr>
          <w:rFonts w:hint="eastAsia" w:ascii="宋体" w:hAnsi="宋体" w:eastAsia="宋体" w:cs="宋体"/>
          <w:color w:val="auto"/>
          <w:shd w:val="clear" w:color="auto" w:fill="FFFFFF"/>
        </w:rPr>
        <w:t>2.26、规格：每个笼架可放笼盒≥10笼；</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【评标项367】</w:t>
      </w:r>
      <w:r>
        <w:rPr>
          <w:rFonts w:hint="eastAsia" w:ascii="宋体" w:hAnsi="宋体" w:eastAsia="宋体" w:cs="宋体"/>
          <w:color w:val="auto"/>
          <w:shd w:val="clear" w:color="auto" w:fill="FFFFFF"/>
        </w:rPr>
        <w:t>2.27笼架进风、排风管孔采用冲压式结构。</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【评标项368】</w:t>
      </w:r>
      <w:r>
        <w:rPr>
          <w:rFonts w:hint="eastAsia" w:ascii="宋体" w:hAnsi="宋体" w:eastAsia="宋体" w:cs="宋体"/>
          <w:color w:val="auto"/>
          <w:shd w:val="clear" w:color="auto" w:fill="FFFFFF"/>
        </w:rPr>
        <w:t>2.28、兔IVC笼盒</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【评标项369】</w:t>
      </w:r>
      <w:r>
        <w:rPr>
          <w:rFonts w:hint="eastAsia" w:ascii="宋体" w:hAnsi="宋体" w:eastAsia="宋体" w:cs="宋体"/>
          <w:color w:val="auto"/>
          <w:shd w:val="clear" w:color="auto" w:fill="FFFFFF"/>
        </w:rPr>
        <w:t>2.29、材质：兔盒和所有密封材料采用硅橡胶材料，具备耐酸耐碱高温特性，硅胶密封条可高压灭菌；</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【评标项370】</w:t>
      </w:r>
      <w:r>
        <w:rPr>
          <w:rFonts w:hint="eastAsia" w:ascii="宋体" w:hAnsi="宋体" w:eastAsia="宋体" w:cs="宋体"/>
          <w:color w:val="auto"/>
          <w:shd w:val="clear" w:color="auto" w:fill="FFFFFF"/>
        </w:rPr>
        <w:t>2.30、尺寸：鼠盒长宽高分别不小于350mm、500mm、350mm；</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【评标项371】</w:t>
      </w:r>
      <w:r>
        <w:rPr>
          <w:rFonts w:hint="eastAsia" w:ascii="宋体" w:hAnsi="宋体" w:eastAsia="宋体" w:cs="宋体"/>
          <w:color w:val="auto"/>
          <w:shd w:val="clear" w:color="auto" w:fill="FFFFFF"/>
        </w:rPr>
        <w:t>2.31、功能：具备笼盒进风、排风阀门自动控制功能；笼盒与笼架进排风嘴为非侵入式结构 ；</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【评标项372】</w:t>
      </w:r>
      <w:r>
        <w:rPr>
          <w:rFonts w:hint="eastAsia" w:ascii="宋体" w:hAnsi="宋体" w:eastAsia="宋体" w:cs="宋体"/>
          <w:color w:val="auto"/>
          <w:shd w:val="clear" w:color="auto" w:fill="FFFFFF"/>
        </w:rPr>
        <w:t>2.32、外置式饮水瓶：容积≥500ml。</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【评标项373】</w:t>
      </w:r>
      <w:r>
        <w:rPr>
          <w:rFonts w:hint="eastAsia" w:ascii="宋体" w:hAnsi="宋体" w:eastAsia="宋体" w:cs="宋体"/>
          <w:color w:val="auto"/>
          <w:shd w:val="clear" w:color="auto" w:fill="FFFFFF"/>
        </w:rPr>
        <w:t>3、配置清单：</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3.1、鼠笼  56笼   2套（含笼盒）；</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3.2、IVC 主机   1台；</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3.3、兔笼 6笼一拖二   1套（含笼盒）；</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3.4、配食斗12只  托盘12只  饮水瓶12付；</w:t>
      </w:r>
    </w:p>
    <w:p>
      <w:pPr>
        <w:pStyle w:val="2"/>
        <w:widowControl/>
        <w:spacing w:before="346" w:beforeAutospacing="0" w:after="330" w:afterAutospacing="0" w:line="480" w:lineRule="atLeast"/>
        <w:ind w:left="286"/>
        <w:rPr>
          <w:rStyle w:val="13"/>
          <w:rFonts w:hint="default" w:cs="宋体"/>
          <w:b/>
          <w:color w:val="auto"/>
          <w:sz w:val="36"/>
          <w:szCs w:val="36"/>
          <w:shd w:val="clear" w:color="auto" w:fill="FFFFFF"/>
        </w:rPr>
      </w:pPr>
      <w:r>
        <w:rPr>
          <w:rStyle w:val="13"/>
          <w:rFonts w:cs="宋体"/>
          <w:b/>
          <w:color w:val="auto"/>
          <w:sz w:val="36"/>
          <w:szCs w:val="36"/>
          <w:shd w:val="clear" w:color="auto" w:fill="FFFFFF"/>
        </w:rPr>
        <w:t>品目  25:实验室设备配套设施</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一.实验室结构技术要求：</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Style w:val="13"/>
          <w:rFonts w:hint="eastAsia" w:ascii="宋体" w:hAnsi="宋体" w:eastAsia="宋体" w:cs="宋体"/>
          <w:bCs/>
          <w:color w:val="auto"/>
          <w:shd w:val="clear" w:color="auto" w:fill="FFFFFF"/>
        </w:rPr>
        <w:t>【评标项374】</w:t>
      </w:r>
      <w:r>
        <w:rPr>
          <w:rFonts w:hint="eastAsia" w:ascii="宋体" w:hAnsi="宋体" w:eastAsia="宋体" w:cs="宋体"/>
          <w:color w:val="auto"/>
          <w:shd w:val="clear" w:color="auto" w:fill="FFFFFF"/>
        </w:rPr>
        <w:t>1、彩钢板的材质：</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ascii="宋体" w:hAnsi="宋体" w:eastAsia="宋体" w:cs="宋体"/>
          <w:color w:val="auto"/>
          <w:shd w:val="clear" w:color="auto" w:fill="FFFFFF"/>
        </w:rPr>
        <w:t>1.</w:t>
      </w:r>
      <w:r>
        <w:rPr>
          <w:rFonts w:hint="eastAsia" w:ascii="宋体" w:hAnsi="宋体" w:eastAsia="宋体" w:cs="宋体"/>
          <w:color w:val="auto"/>
          <w:shd w:val="clear" w:color="auto" w:fill="FFFFFF"/>
        </w:rPr>
        <w:t>1、隔墙采用手工单面玻镁彩钢板；吊顶采用手工双面玻镁彩钢板。</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1.2、钢板材质采用≤0.5mm厚钢板，表面覆≤0.06mm塑料保护膜。</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1.3、龙骨采用≤0.8mm镀锌钢带四周连接，采用金属连接件。</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1.4、岩棉容重不低于80kg/m3；玻镁厚度≥5mm。</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1.5、消防要求：耐火极限≥1小时；</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1.6、承受力：专用板可承受向上下、向内外大于200Pa的风压，顶板可满足人员检修的荷载不低于150kg/m2。</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【评标项375】</w:t>
      </w:r>
      <w:r>
        <w:rPr>
          <w:rFonts w:hint="eastAsia" w:ascii="宋体" w:hAnsi="宋体" w:eastAsia="宋体" w:cs="宋体"/>
          <w:bCs/>
          <w:color w:val="auto"/>
        </w:rPr>
        <w:t>2、</w:t>
      </w:r>
      <w:r>
        <w:rPr>
          <w:rFonts w:hint="eastAsia"/>
          <w:bCs/>
          <w:color w:val="auto"/>
        </w:rPr>
        <w:t>铝合金型材：</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2.1、安装采用中字铝斜街安装，中字铝必须布满整个板缝，衔接处不得有镂空现象；</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2.2、接板缝之间缝隙要均匀一致，板缝宽度小于3mm；所有洁净室的安装缝隙，必须清洁后用密封胶双面密封；</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2.3、所有铝型材厚度不小于1.3mm，其中用于承重及固定的中字铝、T型吊顶龙骨、槽铝、角铝≥1.5mm；</w:t>
      </w:r>
    </w:p>
    <w:p>
      <w:pPr>
        <w:pStyle w:val="9"/>
        <w:widowControl/>
        <w:spacing w:beforeAutospacing="0" w:afterAutospacing="0" w:line="480" w:lineRule="atLeast"/>
        <w:ind w:firstLine="420"/>
        <w:jc w:val="both"/>
        <w:rPr>
          <w:rFonts w:ascii="宋体" w:hAnsi="宋体" w:eastAsia="宋体" w:cs="宋体"/>
          <w:color w:val="auto"/>
          <w:shd w:val="clear" w:color="auto" w:fill="FFFFFF"/>
        </w:rPr>
      </w:pPr>
      <w:r>
        <w:rPr>
          <w:rFonts w:hint="eastAsia" w:ascii="宋体" w:hAnsi="宋体" w:eastAsia="宋体" w:cs="宋体"/>
          <w:color w:val="auto"/>
          <w:shd w:val="clear" w:color="auto" w:fill="FFFFFF"/>
        </w:rPr>
        <w:t>2.4、铝合金型材采用喷塑型材。</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【评标项376】</w:t>
      </w:r>
      <w:r>
        <w:rPr>
          <w:rFonts w:hint="eastAsia" w:ascii="宋体" w:hAnsi="宋体" w:eastAsia="宋体" w:cs="宋体"/>
          <w:color w:val="auto"/>
        </w:rPr>
        <w:t>3、</w:t>
      </w:r>
      <w:r>
        <w:rPr>
          <w:rFonts w:hint="eastAsia"/>
          <w:color w:val="auto"/>
        </w:rPr>
        <w:t>净化钢制门</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3.1、所有门均采用耐压、耐划、抗撞击强的双密封彩钢板门；</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3.2、门及门上的所有配件及密封设施要能耐受臭氧、甲醛、酒精等消毒剂的消毒；</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3.3、门上设大面观察窗，观察窗玻璃为实际不小于 5mm厚的双层中空（充惰性气体）玻璃，中间有吸湿剂,全部门加装闭门器，缓冲间门要有电子互锁，中空玻璃的两面必须与门板齐平；</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3.4、门整体美观、平整、光滑，易清洁，符合洁净区使用要求；</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3.5、门扇三边无接缝周边为橡胶密封条，保证门有良好的密封；</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3.6、门铰链为洁净区专用卫生级铰链，平整光滑，不积尘，易清洁；</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3.7、门下方做好卫生级门吸；有碰撞的地方必须安装防撞贴；</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3.8、门把手、门锁、闭门器满足实验室的要求，开关灵活，具有良好的强度，保证正常使用。要求采用暗装闭门器、肘压锁及执手；采用高档锁；</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3.9、门开启方向应结合消防规范、房间压差关系相关要求，如门朝洁净度高的房间方向开启。维持室内正常的压差关系。缓冲间、气闸的门应设计互锁功能装置，防止缓冲室两端门同时打开，影响生产环境，互锁装置应有可显示房门状态指示灯供观察用。</w:t>
      </w:r>
    </w:p>
    <w:p>
      <w:pPr>
        <w:pStyle w:val="9"/>
        <w:widowControl/>
        <w:spacing w:beforeAutospacing="0" w:afterAutospacing="0" w:line="480" w:lineRule="atLeast"/>
        <w:ind w:left="196" w:firstLine="420"/>
        <w:jc w:val="both"/>
        <w:rPr>
          <w:rFonts w:ascii="宋体" w:hAnsi="宋体" w:eastAsia="宋体" w:cs="宋体"/>
          <w:color w:val="auto"/>
        </w:rPr>
      </w:pPr>
      <w:r>
        <w:rPr>
          <w:rFonts w:hint="eastAsia" w:ascii="宋体" w:hAnsi="宋体" w:eastAsia="宋体" w:cs="宋体"/>
          <w:b/>
          <w:color w:val="auto"/>
        </w:rPr>
        <w:t>4</w:t>
      </w:r>
      <w:r>
        <w:rPr>
          <w:rFonts w:hint="eastAsia" w:ascii="宋体" w:hAnsi="宋体" w:eastAsia="宋体" w:cs="宋体"/>
          <w:color w:val="auto"/>
        </w:rPr>
        <w:t>、实验室中央监测系统</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【评标项377】</w:t>
      </w:r>
      <w:r>
        <w:rPr>
          <w:rFonts w:hint="eastAsia" w:ascii="宋体" w:hAnsi="宋体" w:eastAsia="宋体" w:cs="宋体"/>
          <w:color w:val="auto"/>
          <w:shd w:val="clear" w:color="auto" w:fill="FFFFFF"/>
        </w:rPr>
        <w:t>4.1、通过电脑或者手机远程查看实验室内的实时环境参数、空调系统的控制、及报警信息等。</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【评标项378】</w:t>
      </w:r>
      <w:r>
        <w:rPr>
          <w:rFonts w:hint="eastAsia" w:ascii="宋体" w:hAnsi="宋体" w:eastAsia="宋体" w:cs="宋体"/>
          <w:color w:val="auto"/>
          <w:shd w:val="clear" w:color="auto" w:fill="FFFFFF"/>
        </w:rPr>
        <w:t>4.2、系统可实现就地监控和远程监控双冗余，且就地监控无需网络支持。</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【评标项379】</w:t>
      </w:r>
      <w:r>
        <w:rPr>
          <w:rFonts w:hint="eastAsia" w:ascii="宋体" w:hAnsi="宋体" w:eastAsia="宋体" w:cs="宋体"/>
          <w:color w:val="auto"/>
          <w:shd w:val="clear" w:color="auto" w:fill="FFFFFF"/>
        </w:rPr>
        <w:t>4.3、系统采用分布式集中显示，采用1+N架构，即集中显示+分区显示，集中显示采用≥21寸液晶触摸屏，分区显示采用≥10寸液晶屏，即可实现集中显示全部环境参数，又可独立显示各功能间相关的环境参数。</w:t>
      </w:r>
    </w:p>
    <w:p>
      <w:pPr>
        <w:pStyle w:val="9"/>
        <w:widowControl/>
        <w:spacing w:beforeAutospacing="0" w:afterAutospacing="0" w:line="480" w:lineRule="atLeast"/>
        <w:ind w:firstLine="420"/>
        <w:jc w:val="both"/>
        <w:rPr>
          <w:rFonts w:hint="eastAsia" w:ascii="宋体" w:hAnsi="宋体" w:eastAsia="宋体" w:cs="宋体"/>
          <w:color w:val="auto"/>
          <w:lang w:eastAsia="zh-CN"/>
        </w:rPr>
      </w:pPr>
      <w:r>
        <w:rPr>
          <w:rStyle w:val="13"/>
          <w:rFonts w:hint="eastAsia" w:ascii="宋体" w:hAnsi="宋体" w:eastAsia="宋体" w:cs="宋体"/>
          <w:color w:val="auto"/>
          <w:shd w:val="clear" w:color="auto" w:fill="FFFFFF"/>
        </w:rPr>
        <w:t>【评标项380】</w:t>
      </w:r>
      <w:r>
        <w:rPr>
          <w:rFonts w:hint="eastAsia" w:ascii="宋体" w:hAnsi="宋体" w:eastAsia="宋体" w:cs="宋体"/>
          <w:color w:val="auto"/>
          <w:shd w:val="clear" w:color="auto" w:fill="FFFFFF"/>
        </w:rPr>
        <w:t>4.4、投标人需提供（传感器）具备数显功能，带MODBUS标准通讯，且出具相关认证机构出具的佐证材料</w:t>
      </w:r>
      <w:r>
        <w:rPr>
          <w:rFonts w:hint="eastAsia" w:ascii="宋体" w:hAnsi="宋体" w:eastAsia="宋体" w:cs="宋体"/>
          <w:color w:val="auto"/>
          <w:shd w:val="clear" w:color="auto" w:fill="FFFFFF"/>
          <w:lang w:eastAsia="zh-CN"/>
        </w:rPr>
        <w:t>。</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▲4.5、系统采用分布式集中显示，采用1+N架构，即集中显示+分区显示，集中显示采用≥60寸液晶触摸屏，分区显示采用≥10寸液晶屏。（提供集中显示和分区显示样品图片和软件界面截图）</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1</w:t>
      </w:r>
      <w:r>
        <w:rPr>
          <w:rStyle w:val="13"/>
          <w:rFonts w:hint="eastAsia" w:ascii="宋体" w:hAnsi="宋体" w:eastAsia="宋体" w:cs="宋体"/>
          <w:color w:val="auto"/>
          <w:shd w:val="clear" w:color="auto" w:fill="FFFFFF"/>
        </w:rPr>
        <w:t>】</w:t>
      </w:r>
      <w:r>
        <w:rPr>
          <w:rFonts w:hint="eastAsia" w:ascii="宋体" w:hAnsi="宋体" w:eastAsia="宋体" w:cs="宋体"/>
          <w:bCs/>
          <w:color w:val="auto"/>
        </w:rPr>
        <w:t>5</w:t>
      </w:r>
      <w:r>
        <w:rPr>
          <w:rFonts w:hint="eastAsia"/>
          <w:bCs/>
          <w:color w:val="auto"/>
        </w:rPr>
        <w:t>、</w:t>
      </w:r>
      <w:r>
        <w:rPr>
          <w:rFonts w:hint="eastAsia" w:ascii="宋体" w:hAnsi="宋体" w:eastAsia="宋体" w:cs="宋体"/>
          <w:bCs/>
          <w:color w:val="auto"/>
        </w:rPr>
        <w:t>PVC</w:t>
      </w:r>
      <w:r>
        <w:rPr>
          <w:rFonts w:hint="eastAsia"/>
          <w:bCs/>
          <w:color w:val="auto"/>
        </w:rPr>
        <w:t>地板</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地板采用耐腐蚀、抗菌、耐磨阻燃型PVC卷材，厚度≥2.0mm，同质透心，PVC与地面圆角R大于50mm，要求连接平滑无死角，地面与墙面圆弧设计，与彩钢平齐。地面施工过程中需充分考虑到设备安装因素，整体必需平整、无缝。地面颜色与甲方共同确认，提供PVC色卡需要和甲方进行确认，并制作小样需甲方确认后再进行施工。材料需满足以下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5.1、同质透心地板；</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5.2、终身免打蜡；</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5.3、耐碘酊；</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5.4、抗化学腐蚀性能 EN423* 0级无污染；</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5.5、耐磨等级T级；</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5.6、TVOC检测 28天* 小于 10µg/m</w:t>
      </w:r>
      <w:r>
        <w:rPr>
          <w:rFonts w:hint="eastAsia" w:ascii="宋体" w:hAnsi="宋体" w:eastAsia="宋体" w:cs="宋体"/>
          <w:color w:val="auto"/>
          <w:vertAlign w:val="superscript"/>
        </w:rPr>
        <w:t>3</w:t>
      </w:r>
      <w:r>
        <w:rPr>
          <w:rFonts w:hint="eastAsia" w:ascii="宋体" w:hAnsi="宋体" w:eastAsia="宋体" w:cs="宋体"/>
          <w:color w:val="auto"/>
        </w:rPr>
        <w:t>；</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5.7、Reach检测 Reach191种高危物质测试为不含有；</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5.8、重金属含量检测 EN71-3 不含 19种重金属；</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2</w:t>
      </w:r>
      <w:r>
        <w:rPr>
          <w:rStyle w:val="13"/>
          <w:rFonts w:hint="eastAsia" w:ascii="宋体" w:hAnsi="宋体" w:eastAsia="宋体" w:cs="宋体"/>
          <w:color w:val="auto"/>
          <w:shd w:val="clear" w:color="auto" w:fill="FFFFFF"/>
        </w:rPr>
        <w:t>】</w:t>
      </w:r>
      <w:r>
        <w:rPr>
          <w:rFonts w:hint="eastAsia" w:ascii="宋体" w:hAnsi="宋体" w:eastAsia="宋体" w:cs="宋体"/>
          <w:bCs/>
          <w:color w:val="auto"/>
        </w:rPr>
        <w:t>6、</w:t>
      </w:r>
      <w:r>
        <w:rPr>
          <w:rFonts w:hint="eastAsia"/>
          <w:bCs/>
          <w:color w:val="auto"/>
        </w:rPr>
        <w:t>电气部分技术要求：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6.1.设备材料的技术规格和要求：任何设备材料采购前，供应商必须依据设计要求提交对应要采购的设备材料给采购单位做最终选择和批准;待确定通过后，供应商方可采购安装。</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6.2.安装范围：实验室内所要安装的全部涉及到的电气部分。</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6.3.产品技术要求：配电箱应包括热继电器，接触器，本地控制回路等用于控制电机和暖通设备的元器件。</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rPr>
        <w:t>6.4、电缆桥架：电缆桥架必须符合 CECS31:2006《钢制电缆桥架工程设计规范》。桥架材质要求为冷轧板，并进行热浸锌处理 按照图纸标示的类型和尺寸进行采购。</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rPr>
        <w:t>6.5、电气配管套接紧定式钢导管JDG管。</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JDG管系列产品应根据国家标准《电气安装用导管特殊要求》设计生产。</w:t>
      </w:r>
      <w:r>
        <w:rPr>
          <w:rFonts w:ascii="宋体" w:hAnsi="宋体" w:eastAsia="宋体" w:cs="宋体"/>
          <w:color w:val="auto"/>
        </w:rPr>
        <w:br w:type="textWrapping"/>
      </w:r>
      <w:r>
        <w:rPr>
          <w:rFonts w:hint="eastAsia" w:ascii="宋体" w:hAnsi="宋体" w:eastAsia="宋体" w:cs="宋体"/>
          <w:color w:val="auto"/>
        </w:rPr>
        <w:t>电缆及导线：电缆应遵循国家标准。供应商应最终负责图纸上所示电缆截面和芯数的选择。</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照明及普通插座回路选用BV型导线;静电接地系统采用 BVR 型导线；设备、空调和盘柜的配电通常选用YJV型电缆。</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聚氯乙烯绝缘电规定符合国标 GB 5023-2008《额定电压 450/750V 及以下聚氯乙烯绝缘电缆》及 JB8734-98。</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工作温度不超过70°C，敷设温度不低于0°C 电线具有良好的电气绝缘性能、力学性能和不燃性能，质量可靠，方便耐用。成品电线的绝缘或护套表面应有生产厂名、型号和电压的连续标志</w:t>
      </w:r>
    </w:p>
    <w:p>
      <w:pPr>
        <w:pStyle w:val="9"/>
        <w:widowControl/>
        <w:spacing w:beforeAutospacing="0" w:afterAutospacing="0" w:line="480" w:lineRule="atLeast"/>
        <w:ind w:firstLine="480"/>
        <w:jc w:val="both"/>
        <w:rPr>
          <w:rFonts w:ascii="宋体" w:hAnsi="宋体" w:eastAsia="宋体" w:cs="宋体"/>
          <w:color w:val="auto"/>
        </w:rPr>
      </w:pPr>
      <w:r>
        <w:rPr>
          <w:rFonts w:hint="eastAsia" w:ascii="宋体" w:hAnsi="宋体" w:eastAsia="宋体" w:cs="宋体"/>
          <w:color w:val="auto"/>
        </w:rPr>
        <w:t>照明灯具：眩光应在国标可接受的范围以内。所有灯具色温(CCR)应为4000/ 6500K，显色系数CRI应大于等于80。 所有灯具的功率因数大于0.9，所有灯具按照图纸选择相应的安装方式。LED灯具应确保寿命至少为 25000 小时。</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3</w:t>
      </w:r>
      <w:r>
        <w:rPr>
          <w:rStyle w:val="13"/>
          <w:rFonts w:hint="eastAsia" w:ascii="宋体" w:hAnsi="宋体" w:eastAsia="宋体" w:cs="宋体"/>
          <w:color w:val="auto"/>
          <w:shd w:val="clear" w:color="auto" w:fill="FFFFFF"/>
        </w:rPr>
        <w:t>】</w:t>
      </w:r>
      <w:r>
        <w:rPr>
          <w:rFonts w:hint="eastAsia" w:ascii="宋体" w:hAnsi="宋体" w:eastAsia="宋体" w:cs="宋体"/>
          <w:color w:val="auto"/>
        </w:rPr>
        <w:t>7、</w:t>
      </w:r>
      <w:r>
        <w:rPr>
          <w:rFonts w:hint="eastAsia"/>
          <w:color w:val="auto"/>
        </w:rPr>
        <w:t>给排水安装技术要求：</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7.1、设备材料的技术规格和要求</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任何设备材料采购前，供应商必须依据设计要求提交对应要采购的设备材料给采购单位做最终选择和批准;待确定通过后，供应商方可采购安装。</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7.2、安装说明</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安装范围:本项目给排水系统包括所有实验台用水，包括走道紧急冲淋，台面洗眼器用水，需要根据现场实际情况而定。</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7.2.1、给水系统:</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7.2.1.1、水管采用 PPR 给水管(公称工作压力 1.0MPa)，管道采用热熔接。</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7.2.1.2、管道穿过墙壁或楼板，设置金属或塑料套管。</w:t>
      </w:r>
    </w:p>
    <w:p>
      <w:pPr>
        <w:pStyle w:val="9"/>
        <w:widowControl/>
        <w:spacing w:beforeAutospacing="0" w:afterAutospacing="0" w:line="480" w:lineRule="atLeast"/>
        <w:ind w:firstLine="480"/>
        <w:jc w:val="both"/>
        <w:rPr>
          <w:rFonts w:ascii="宋体" w:hAnsi="宋体" w:eastAsia="宋体" w:cs="宋体"/>
          <w:bCs/>
          <w:color w:val="auto"/>
        </w:rPr>
      </w:pPr>
      <w:r>
        <w:rPr>
          <w:rFonts w:hint="eastAsia" w:ascii="宋体" w:hAnsi="宋体" w:eastAsia="宋体" w:cs="宋体"/>
          <w:bCs/>
          <w:color w:val="auto"/>
        </w:rPr>
        <w:t>7.2.2、排水系统:</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7.2.2.1、排水系统中，采用 PP-B超静音排水管，密封圈承插连接。排水立管与横支管连接采用顺水三通， 存水弯均自带清扫口，排水立管与底端横管连接采用两个45弯头，墙厚或柱截面不一致时排 水立管应采用乙字弯偏移,其上方设检查口;排水横支管间相连接，采用斜三通，严禁使用正三通。</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7.2.2.2、排水立管上的检查口应安装在离地 1.00m 处，检查口的朝向应便于检修，暗装立管 应在检查口处设检查门。</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7.2.2.3、管径大于或等于 De110 的排水管，在立管穿越楼层处下方设阻火圈，具体做法详见 国家行业标准 CJJ/T29-98 第 4.1.14 条第 1 项。</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7.2.2.5、污水均采用重力自流排水,汇集到总排水管路。</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7.2.2.6、管道穿过墙壁或楼板，设置金属或塑料套管。</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二</w:t>
      </w:r>
      <w:r>
        <w:rPr>
          <w:rStyle w:val="13"/>
          <w:rFonts w:hint="eastAsia" w:ascii="等线" w:hAnsi="等线" w:eastAsia="等线" w:cs="等线"/>
          <w:color w:val="auto"/>
          <w:shd w:val="clear" w:color="auto" w:fill="FFFFFF"/>
        </w:rPr>
        <w:t>. </w:t>
      </w:r>
      <w:r>
        <w:rPr>
          <w:rStyle w:val="13"/>
          <w:rFonts w:hint="eastAsia" w:ascii="宋体" w:hAnsi="宋体" w:eastAsia="宋体" w:cs="宋体"/>
          <w:color w:val="auto"/>
          <w:shd w:val="clear" w:color="auto" w:fill="FFFFFF"/>
        </w:rPr>
        <w:t>实验室暖通要求：</w:t>
      </w:r>
    </w:p>
    <w:p>
      <w:pPr>
        <w:pStyle w:val="9"/>
        <w:widowControl/>
        <w:spacing w:beforeAutospacing="0" w:afterAutospacing="0" w:line="480" w:lineRule="atLeast"/>
        <w:ind w:firstLine="420"/>
        <w:jc w:val="both"/>
        <w:rPr>
          <w:rFonts w:ascii="宋体" w:hAnsi="宋体" w:eastAsia="宋体" w:cs="宋体"/>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4</w:t>
      </w:r>
      <w:r>
        <w:rPr>
          <w:rStyle w:val="13"/>
          <w:rFonts w:hint="eastAsia" w:ascii="宋体" w:hAnsi="宋体" w:eastAsia="宋体" w:cs="宋体"/>
          <w:color w:val="auto"/>
          <w:shd w:val="clear" w:color="auto" w:fill="FFFFFF"/>
        </w:rPr>
        <w:t>】</w:t>
      </w:r>
      <w:r>
        <w:rPr>
          <w:rFonts w:hint="eastAsia" w:ascii="宋体" w:hAnsi="宋体" w:eastAsia="宋体" w:cs="宋体"/>
          <w:color w:val="auto"/>
        </w:rPr>
        <w:t>1</w:t>
      </w:r>
      <w:r>
        <w:rPr>
          <w:rFonts w:hint="eastAsia"/>
          <w:color w:val="auto"/>
        </w:rPr>
        <w:t>、镀锌风管</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1.1、所有风管采用镀锌风管制作，镀锌板材厚度严格按规范要求确定，镀锌层厚度不得小于100g/m2，镀锌层不得有脱落、划痕等现象，施工中无法避免破坏镀锌层的所有位置（如钻孔，拉铆，咬口处）则必须涂胶密封；</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1.2、镀锌钢板采用优质镀锌钢板，并由甲方查验符合要求后方可施工；</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1.3、风管制作时必须确保咬口、咬边、拼缝等必须满足规范要求，若在不应有拼缝的区域出现有拼缝现象，则必须更换全部有问题的风管;风管的制作、安装必须满足咬口翻遍处理要平滑；</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1.4、主送、排风管必须设置风管风量检测孔，风量检测孔必须采用成品检测孔，安装完成后必须确保不漏风、不积尘、不结露；</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1.5、法兰、回排风口、送风口、排风风机箱等安装应符合规范要求。送、回、排风管保温采用≥25mm橡塑保温</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1.6、洁净室房间内的回、排风口选用铝合金喷塑框架，附带G3初效过滤器和手动调节阀门，格栅便于打开进行清洁和更换初效过滤布。</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1.7、所有风口采用铝合金喷塑，颜色与壁板相同或与建筑装修相协调，质量符合国家相关规范及标准图集制作要求。</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1.8、风口百叶采用铝合金固定百叶，方向冲下。特别要求，器具清洗间回、排风口均采用304不锈钢，以利于防水防潮、耐酸碱腐蚀需要；安装在外墙上的新风、排风口选用304不锈钢材质。一般区回风用单层百叶风口，铰链式，加尼龙滤网过滤。洁净区回风用固定回风墙下回风口，回风口加尼龙（无纺布）滤网过滤。</w:t>
      </w:r>
    </w:p>
    <w:p>
      <w:pPr>
        <w:pStyle w:val="9"/>
        <w:widowControl/>
        <w:spacing w:beforeAutospacing="0" w:afterAutospacing="0" w:line="480" w:lineRule="atLeast"/>
        <w:ind w:firstLine="420"/>
        <w:jc w:val="both"/>
        <w:rPr>
          <w:rFonts w:ascii="宋体" w:hAnsi="宋体" w:eastAsia="宋体" w:cs="宋体"/>
          <w:bCs/>
          <w:color w:val="auto"/>
        </w:rPr>
      </w:pPr>
      <w:r>
        <w:rPr>
          <w:rFonts w:hint="eastAsia" w:ascii="宋体" w:hAnsi="宋体" w:eastAsia="宋体" w:cs="宋体"/>
          <w:bCs/>
          <w:color w:val="auto"/>
        </w:rPr>
        <w:t>1.9、技术夹层对外通风用可开式防雨百叶风口，铝合金喷塑带不锈钢防虫钢丝网及自关叶阀。新排风口均设置消声百叶，尽量减少声源对周围环境的影响</w:t>
      </w:r>
    </w:p>
    <w:p>
      <w:pPr>
        <w:pStyle w:val="9"/>
        <w:widowControl/>
        <w:spacing w:beforeAutospacing="0" w:afterAutospacing="0" w:line="480" w:lineRule="atLeast"/>
        <w:rPr>
          <w:rFonts w:ascii="宋体" w:hAnsi="宋体" w:eastAsia="宋体" w:cs="宋体"/>
          <w:color w:val="auto"/>
        </w:rPr>
      </w:pPr>
      <w:r>
        <w:rPr>
          <w:rFonts w:hint="eastAsia" w:ascii="宋体" w:hAnsi="宋体" w:eastAsia="宋体" w:cs="宋体"/>
          <w:color w:val="auto"/>
          <w:shd w:val="clear" w:color="auto" w:fill="FFFFFF"/>
        </w:rPr>
        <w:t>三、实验室设备技术要求：</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5</w:t>
      </w:r>
      <w:r>
        <w:rPr>
          <w:rStyle w:val="13"/>
          <w:rFonts w:hint="eastAsia" w:ascii="宋体" w:hAnsi="宋体" w:eastAsia="宋体" w:cs="宋体"/>
          <w:color w:val="auto"/>
          <w:shd w:val="clear" w:color="auto" w:fill="FFFFFF"/>
        </w:rPr>
        <w:t>】</w:t>
      </w:r>
      <w:r>
        <w:rPr>
          <w:rFonts w:hint="eastAsia" w:ascii="宋体" w:hAnsi="宋体" w:eastAsia="宋体" w:cs="宋体"/>
          <w:color w:val="auto"/>
          <w:shd w:val="clear" w:color="auto" w:fill="FFFFFF"/>
          <w:lang w:bidi="ar"/>
        </w:rPr>
        <w:t>1、实验台面，要求耐化学腐蚀性能优越，采用不低于12.7mm厚度的优质耐腐蚀实芯理化板。边缘背边加工带止水槽，打磨，呈弧型。台面应保持水平，拼接台面应保持在一个平面内。台面与柜体之间应连接稳固，台面不能脱落或跷起。</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1.1</w:t>
      </w:r>
      <w:r>
        <w:rPr>
          <w:rFonts w:hint="eastAsia" w:ascii="宋体" w:hAnsi="宋体" w:eastAsia="宋体" w:cs="宋体"/>
          <w:color w:val="auto"/>
          <w:shd w:val="clear" w:color="auto" w:fill="FFFFFF"/>
          <w:lang w:bidi="ar"/>
        </w:rPr>
        <w:t>、依据</w:t>
      </w:r>
      <w:r>
        <w:rPr>
          <w:rFonts w:ascii="Times New Roman" w:hAnsi="Times New Roman" w:eastAsia="宋体"/>
          <w:color w:val="auto"/>
          <w:shd w:val="clear" w:color="auto" w:fill="FFFFFF"/>
          <w:lang w:bidi="ar"/>
        </w:rPr>
        <w:t>GB24820-2009</w:t>
      </w:r>
      <w:r>
        <w:rPr>
          <w:rFonts w:hint="eastAsia" w:ascii="宋体" w:hAnsi="宋体" w:eastAsia="宋体" w:cs="宋体"/>
          <w:color w:val="auto"/>
          <w:shd w:val="clear" w:color="auto" w:fill="FFFFFF"/>
          <w:lang w:bidi="ar"/>
        </w:rPr>
        <w:t>实验室家具通用技术条件标准，耐磨测试，检测结果为≤</w:t>
      </w:r>
      <w:r>
        <w:rPr>
          <w:rFonts w:ascii="Times New Roman" w:hAnsi="Times New Roman" w:eastAsia="宋体"/>
          <w:color w:val="auto"/>
          <w:shd w:val="clear" w:color="auto" w:fill="FFFFFF"/>
          <w:lang w:bidi="ar"/>
        </w:rPr>
        <w:t>3</w:t>
      </w:r>
      <w:r>
        <w:rPr>
          <w:rFonts w:hint="eastAsia" w:ascii="宋体" w:hAnsi="宋体" w:eastAsia="宋体" w:cs="宋体"/>
          <w:color w:val="auto"/>
          <w:shd w:val="clear" w:color="auto" w:fill="FFFFFF"/>
          <w:lang w:bidi="ar"/>
        </w:rPr>
        <w:t>2，无露底现象。</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1.2</w:t>
      </w:r>
      <w:r>
        <w:rPr>
          <w:rFonts w:hint="eastAsia" w:ascii="宋体" w:hAnsi="宋体" w:eastAsia="宋体" w:cs="宋体"/>
          <w:color w:val="auto"/>
          <w:shd w:val="clear" w:color="auto" w:fill="FFFFFF"/>
          <w:lang w:bidi="ar"/>
        </w:rPr>
        <w:t>、依据</w:t>
      </w:r>
      <w:r>
        <w:rPr>
          <w:rFonts w:ascii="Times New Roman" w:hAnsi="Times New Roman" w:eastAsia="宋体"/>
          <w:color w:val="auto"/>
          <w:shd w:val="clear" w:color="auto" w:fill="FFFFFF"/>
          <w:lang w:bidi="ar"/>
        </w:rPr>
        <w:t>GB24820-2009</w:t>
      </w:r>
      <w:r>
        <w:rPr>
          <w:rFonts w:hint="eastAsia" w:ascii="宋体" w:hAnsi="宋体" w:eastAsia="宋体" w:cs="宋体"/>
          <w:color w:val="auto"/>
          <w:shd w:val="clear" w:color="auto" w:fill="FFFFFF"/>
          <w:lang w:bidi="ar"/>
        </w:rPr>
        <w:t>实验室家具通用技术条件标准，耐划痕测试，检测结果为无整圈连续划痕。</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1.3</w:t>
      </w:r>
      <w:r>
        <w:rPr>
          <w:rFonts w:hint="eastAsia" w:ascii="宋体" w:hAnsi="宋体" w:eastAsia="宋体" w:cs="宋体"/>
          <w:color w:val="auto"/>
          <w:shd w:val="clear" w:color="auto" w:fill="FFFFFF"/>
          <w:lang w:bidi="ar"/>
        </w:rPr>
        <w:t>、依据</w:t>
      </w:r>
      <w:r>
        <w:rPr>
          <w:rFonts w:ascii="Times New Roman" w:hAnsi="Times New Roman" w:eastAsia="宋体"/>
          <w:color w:val="auto"/>
          <w:shd w:val="clear" w:color="auto" w:fill="FFFFFF"/>
          <w:lang w:bidi="ar"/>
        </w:rPr>
        <w:t>GB24820-2009</w:t>
      </w:r>
      <w:r>
        <w:rPr>
          <w:rFonts w:hint="eastAsia" w:ascii="宋体" w:hAnsi="宋体" w:eastAsia="宋体" w:cs="宋体"/>
          <w:color w:val="auto"/>
          <w:shd w:val="clear" w:color="auto" w:fill="FFFFFF"/>
          <w:lang w:bidi="ar"/>
        </w:rPr>
        <w:t>实验室家具通用技术条件标准，抗老化测试，检测结果为无开裂现象。</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1.4</w:t>
      </w:r>
      <w:r>
        <w:rPr>
          <w:rFonts w:hint="eastAsia" w:ascii="宋体" w:hAnsi="宋体" w:eastAsia="宋体" w:cs="宋体"/>
          <w:color w:val="auto"/>
          <w:shd w:val="clear" w:color="auto" w:fill="FFFFFF"/>
          <w:lang w:bidi="ar"/>
        </w:rPr>
        <w:t>、依据</w:t>
      </w:r>
      <w:r>
        <w:rPr>
          <w:rFonts w:ascii="Times New Roman" w:hAnsi="Times New Roman" w:eastAsia="宋体"/>
          <w:color w:val="auto"/>
          <w:shd w:val="clear" w:color="auto" w:fill="FFFFFF"/>
          <w:lang w:bidi="ar"/>
        </w:rPr>
        <w:t>GB24820-2009</w:t>
      </w:r>
      <w:r>
        <w:rPr>
          <w:rFonts w:hint="eastAsia" w:ascii="宋体" w:hAnsi="宋体" w:eastAsia="宋体" w:cs="宋体"/>
          <w:color w:val="auto"/>
          <w:shd w:val="clear" w:color="auto" w:fill="FFFFFF"/>
          <w:lang w:bidi="ar"/>
        </w:rPr>
        <w:t>实验室家具通用技术条件标准，耐龟裂性测试，检测结果为不低于</w:t>
      </w:r>
      <w:r>
        <w:rPr>
          <w:rFonts w:ascii="Times New Roman" w:hAnsi="Times New Roman" w:eastAsia="宋体"/>
          <w:color w:val="auto"/>
          <w:shd w:val="clear" w:color="auto" w:fill="FFFFFF"/>
          <w:lang w:bidi="ar"/>
        </w:rPr>
        <w:t>1</w:t>
      </w:r>
      <w:r>
        <w:rPr>
          <w:rFonts w:hint="eastAsia" w:ascii="宋体" w:hAnsi="宋体" w:eastAsia="宋体" w:cs="宋体"/>
          <w:color w:val="auto"/>
          <w:shd w:val="clear" w:color="auto" w:fill="FFFFFF"/>
          <w:lang w:bidi="ar"/>
        </w:rPr>
        <w:t>级。</w:t>
      </w:r>
    </w:p>
    <w:p>
      <w:pPr>
        <w:pStyle w:val="9"/>
        <w:widowControl/>
        <w:spacing w:beforeAutospacing="0" w:afterAutospacing="0" w:line="480" w:lineRule="atLeast"/>
        <w:ind w:left="196" w:firstLine="420"/>
        <w:jc w:val="both"/>
        <w:rPr>
          <w:rFonts w:ascii="宋体" w:hAnsi="宋体" w:eastAsia="宋体" w:cs="宋体"/>
          <w:color w:val="auto"/>
        </w:rPr>
      </w:pPr>
      <w:r>
        <w:rPr>
          <w:rFonts w:hint="eastAsia" w:ascii="宋体" w:hAnsi="宋体" w:eastAsia="宋体" w:cs="宋体"/>
          <w:bCs/>
          <w:color w:val="auto"/>
        </w:rPr>
        <w:t>2、实验室专用三口水嘴：</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6</w:t>
      </w:r>
      <w:r>
        <w:rPr>
          <w:rStyle w:val="13"/>
          <w:rFonts w:hint="eastAsia" w:ascii="宋体" w:hAnsi="宋体" w:eastAsia="宋体" w:cs="宋体"/>
          <w:color w:val="auto"/>
          <w:shd w:val="clear" w:color="auto" w:fill="FFFFFF"/>
        </w:rPr>
        <w:t>】</w:t>
      </w:r>
      <w:r>
        <w:rPr>
          <w:rFonts w:ascii="宋体" w:hAnsi="宋体" w:eastAsia="宋体" w:cs="宋体"/>
          <w:bCs/>
          <w:color w:val="auto"/>
        </w:rPr>
        <w:t>2.1</w:t>
      </w:r>
      <w:r>
        <w:rPr>
          <w:rFonts w:hint="eastAsia" w:ascii="宋体" w:hAnsi="宋体" w:eastAsia="宋体" w:cs="宋体"/>
          <w:bCs/>
          <w:color w:val="auto"/>
        </w:rPr>
        <w:t>、主体材质为加厚</w:t>
      </w:r>
      <w:r>
        <w:rPr>
          <w:rFonts w:ascii="宋体" w:hAnsi="宋体" w:eastAsia="宋体" w:cs="宋体"/>
          <w:bCs/>
          <w:color w:val="auto"/>
        </w:rPr>
        <w:t>H63</w:t>
      </w:r>
      <w:r>
        <w:rPr>
          <w:rFonts w:hint="eastAsia" w:ascii="宋体" w:hAnsi="宋体" w:eastAsia="宋体" w:cs="宋体"/>
          <w:bCs/>
          <w:color w:val="auto"/>
        </w:rPr>
        <w:t>铜管，符合</w:t>
      </w:r>
      <w:r>
        <w:rPr>
          <w:rFonts w:ascii="宋体" w:hAnsi="宋体" w:eastAsia="宋体" w:cs="宋体"/>
          <w:bCs/>
          <w:color w:val="auto"/>
        </w:rPr>
        <w:t>YS/T910-2013</w:t>
      </w:r>
      <w:r>
        <w:rPr>
          <w:rFonts w:hint="eastAsia" w:ascii="宋体" w:hAnsi="宋体" w:eastAsia="宋体" w:cs="宋体"/>
          <w:bCs/>
          <w:color w:val="auto"/>
        </w:rPr>
        <w:t>标准，需提供国家认可的第三方检测机构出具的主材铜含量检测报告，铜含量≥</w:t>
      </w:r>
      <w:r>
        <w:rPr>
          <w:rFonts w:ascii="宋体" w:hAnsi="宋体" w:eastAsia="宋体" w:cs="宋体"/>
          <w:bCs/>
          <w:color w:val="auto"/>
        </w:rPr>
        <w:t>62.3%</w:t>
      </w:r>
      <w:r>
        <w:rPr>
          <w:rFonts w:hint="eastAsia" w:ascii="宋体" w:hAnsi="宋体" w:eastAsia="宋体" w:cs="宋体"/>
          <w:bCs/>
          <w:color w:val="auto"/>
        </w:rPr>
        <w:t>。直管管径≥</w:t>
      </w:r>
      <w:r>
        <w:rPr>
          <w:rFonts w:ascii="宋体" w:hAnsi="宋体" w:eastAsia="宋体" w:cs="宋体"/>
          <w:bCs/>
          <w:color w:val="auto"/>
        </w:rPr>
        <w:t>26mm</w:t>
      </w:r>
      <w:r>
        <w:rPr>
          <w:rFonts w:hint="eastAsia" w:ascii="宋体" w:hAnsi="宋体" w:eastAsia="宋体" w:cs="宋体"/>
          <w:bCs/>
          <w:color w:val="auto"/>
        </w:rPr>
        <w:t>，整体高度≥</w:t>
      </w:r>
      <w:r>
        <w:rPr>
          <w:rFonts w:ascii="宋体" w:hAnsi="宋体" w:eastAsia="宋体" w:cs="宋体"/>
          <w:bCs/>
          <w:color w:val="auto"/>
        </w:rPr>
        <w:t>585mm</w:t>
      </w:r>
      <w:r>
        <w:rPr>
          <w:rFonts w:hint="eastAsia" w:ascii="宋体" w:hAnsi="宋体" w:eastAsia="宋体" w:cs="宋体"/>
          <w:bCs/>
          <w:color w:val="auto"/>
        </w:rPr>
        <w:t>，重量≥</w:t>
      </w:r>
      <w:r>
        <w:rPr>
          <w:rFonts w:ascii="宋体" w:hAnsi="宋体" w:eastAsia="宋体" w:cs="宋体"/>
          <w:bCs/>
          <w:color w:val="auto"/>
        </w:rPr>
        <w:t>1740g,</w:t>
      </w:r>
      <w:r>
        <w:rPr>
          <w:rFonts w:hint="eastAsia" w:ascii="宋体" w:hAnsi="宋体" w:eastAsia="宋体" w:cs="宋体"/>
          <w:bCs/>
          <w:color w:val="auto"/>
        </w:rPr>
        <w:t>臂管管径≥</w:t>
      </w:r>
      <w:r>
        <w:rPr>
          <w:rFonts w:ascii="宋体" w:hAnsi="宋体" w:eastAsia="宋体" w:cs="宋体"/>
          <w:bCs/>
          <w:color w:val="auto"/>
        </w:rPr>
        <w:t>22mm</w:t>
      </w:r>
      <w:r>
        <w:rPr>
          <w:rFonts w:hint="eastAsia" w:ascii="宋体" w:hAnsi="宋体" w:eastAsia="宋体" w:cs="宋体"/>
          <w:bCs/>
          <w:color w:val="auto"/>
        </w:rPr>
        <w:t>，鹅颈管径≥</w:t>
      </w:r>
      <w:r>
        <w:rPr>
          <w:rFonts w:ascii="宋体" w:hAnsi="宋体" w:eastAsia="宋体" w:cs="宋体"/>
          <w:bCs/>
          <w:color w:val="auto"/>
        </w:rPr>
        <w:t>19mm</w:t>
      </w:r>
      <w:r>
        <w:rPr>
          <w:rFonts w:hint="eastAsia" w:ascii="宋体" w:hAnsi="宋体" w:eastAsia="宋体" w:cs="宋体"/>
          <w:bCs/>
          <w:color w:val="auto"/>
        </w:rPr>
        <w:t>，可</w:t>
      </w:r>
      <w:r>
        <w:rPr>
          <w:rFonts w:ascii="宋体" w:hAnsi="宋体" w:eastAsia="宋体" w:cs="宋体"/>
          <w:bCs/>
          <w:color w:val="auto"/>
        </w:rPr>
        <w:t>360</w:t>
      </w:r>
      <w:r>
        <w:rPr>
          <w:rFonts w:hint="eastAsia" w:ascii="宋体" w:hAnsi="宋体" w:eastAsia="宋体" w:cs="宋体"/>
          <w:bCs/>
          <w:color w:val="auto"/>
        </w:rPr>
        <w:t>°旋转，鹅颈出水嘴距离台面≥</w:t>
      </w:r>
      <w:r>
        <w:rPr>
          <w:rFonts w:ascii="宋体" w:hAnsi="宋体" w:eastAsia="宋体" w:cs="宋体"/>
          <w:bCs/>
          <w:color w:val="auto"/>
        </w:rPr>
        <w:t>450mm</w:t>
      </w:r>
      <w:r>
        <w:rPr>
          <w:rFonts w:hint="eastAsia" w:ascii="宋体" w:hAnsi="宋体" w:eastAsia="宋体" w:cs="宋体"/>
          <w:bCs/>
          <w:color w:val="auto"/>
        </w:rPr>
        <w:t>，距离鹅颈主管≥</w:t>
      </w:r>
      <w:r>
        <w:rPr>
          <w:rFonts w:ascii="宋体" w:hAnsi="宋体" w:eastAsia="宋体" w:cs="宋体"/>
          <w:bCs/>
          <w:color w:val="auto"/>
        </w:rPr>
        <w:t>160mm</w:t>
      </w:r>
      <w:r>
        <w:rPr>
          <w:rFonts w:hint="eastAsia" w:ascii="宋体" w:hAnsi="宋体" w:eastAsia="宋体" w:cs="宋体"/>
          <w:bCs/>
          <w:color w:val="auto"/>
        </w:rPr>
        <w:t>，双柄间距≥</w:t>
      </w:r>
      <w:r>
        <w:rPr>
          <w:rFonts w:ascii="宋体" w:hAnsi="宋体" w:eastAsia="宋体" w:cs="宋体"/>
          <w:bCs/>
          <w:color w:val="auto"/>
        </w:rPr>
        <w:t>245mm</w:t>
      </w:r>
      <w:r>
        <w:rPr>
          <w:rFonts w:hint="eastAsia" w:ascii="宋体" w:hAnsi="宋体" w:eastAsia="宋体" w:cs="宋体"/>
          <w:bCs/>
          <w:color w:val="auto"/>
        </w:rPr>
        <w:t>，双柄出水嘴距离台面≥</w:t>
      </w:r>
      <w:r>
        <w:rPr>
          <w:rFonts w:ascii="宋体" w:hAnsi="宋体" w:eastAsia="宋体" w:cs="宋体"/>
          <w:bCs/>
          <w:color w:val="auto"/>
        </w:rPr>
        <w:t>113mm</w:t>
      </w:r>
      <w:r>
        <w:rPr>
          <w:rFonts w:hint="eastAsia" w:ascii="宋体" w:hAnsi="宋体" w:eastAsia="宋体" w:cs="宋体"/>
          <w:bCs/>
          <w:color w:val="auto"/>
        </w:rPr>
        <w:t>，进水接管长度≥</w:t>
      </w:r>
      <w:r>
        <w:rPr>
          <w:rFonts w:ascii="宋体" w:hAnsi="宋体" w:eastAsia="宋体" w:cs="宋体"/>
          <w:bCs/>
          <w:color w:val="auto"/>
        </w:rPr>
        <w:t>60mm</w:t>
      </w:r>
      <w:r>
        <w:rPr>
          <w:rFonts w:hint="eastAsia" w:ascii="宋体" w:hAnsi="宋体" w:eastAsia="宋体" w:cs="宋体"/>
          <w:bCs/>
          <w:color w:val="auto"/>
        </w:rPr>
        <w:t>，壁厚≥</w:t>
      </w:r>
      <w:r>
        <w:rPr>
          <w:rFonts w:ascii="宋体" w:hAnsi="宋体" w:eastAsia="宋体" w:cs="宋体"/>
          <w:bCs/>
          <w:color w:val="auto"/>
        </w:rPr>
        <w:t>2.5mm</w:t>
      </w:r>
      <w:r>
        <w:rPr>
          <w:rFonts w:hint="eastAsia" w:ascii="宋体" w:hAnsi="宋体" w:eastAsia="宋体" w:cs="宋体"/>
          <w:bCs/>
          <w:color w:val="auto"/>
        </w:rPr>
        <w:t>，固定底座直径≥</w:t>
      </w:r>
      <w:r>
        <w:rPr>
          <w:rFonts w:ascii="宋体" w:hAnsi="宋体" w:eastAsia="宋体" w:cs="宋体"/>
          <w:bCs/>
          <w:color w:val="auto"/>
        </w:rPr>
        <w:t>55mm</w:t>
      </w:r>
      <w:r>
        <w:rPr>
          <w:rFonts w:hint="eastAsia" w:ascii="宋体" w:hAnsi="宋体" w:eastAsia="宋体" w:cs="宋体"/>
          <w:bCs/>
          <w:color w:val="auto"/>
        </w:rPr>
        <w:t>，底座锁母与台面中间添加齿形止退垫，使连接后不易松动稳定性强，与台面安装牢固。</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rPr>
        <w:t>【评标项38</w:t>
      </w:r>
      <w:r>
        <w:rPr>
          <w:rStyle w:val="13"/>
          <w:rFonts w:hint="eastAsia" w:ascii="宋体" w:hAnsi="宋体" w:eastAsia="宋体" w:cs="宋体"/>
          <w:color w:val="auto"/>
          <w:shd w:val="clear" w:color="auto" w:fill="FFFFFF"/>
          <w:lang w:val="en-US" w:eastAsia="zh-CN"/>
        </w:rPr>
        <w:t>7</w:t>
      </w:r>
      <w:r>
        <w:rPr>
          <w:rStyle w:val="13"/>
          <w:rFonts w:hint="eastAsia" w:ascii="宋体" w:hAnsi="宋体" w:eastAsia="宋体" w:cs="宋体"/>
          <w:color w:val="auto"/>
          <w:shd w:val="clear" w:color="auto" w:fill="FFFFFF"/>
        </w:rPr>
        <w:t>】</w:t>
      </w:r>
      <w:r>
        <w:rPr>
          <w:rFonts w:ascii="宋体" w:hAnsi="宋体" w:eastAsia="宋体" w:cs="宋体"/>
          <w:bCs/>
          <w:color w:val="auto"/>
        </w:rPr>
        <w:t>2.2</w:t>
      </w:r>
      <w:r>
        <w:rPr>
          <w:rFonts w:hint="eastAsia" w:ascii="宋体" w:hAnsi="宋体" w:eastAsia="宋体" w:cs="宋体"/>
          <w:bCs/>
          <w:color w:val="auto"/>
        </w:rPr>
        <w:t>、符合</w:t>
      </w:r>
      <w:r>
        <w:rPr>
          <w:rFonts w:ascii="宋体" w:hAnsi="宋体" w:eastAsia="宋体" w:cs="宋体"/>
          <w:bCs/>
          <w:color w:val="auto"/>
        </w:rPr>
        <w:t>GB/T 9286-1998</w:t>
      </w:r>
      <w:r>
        <w:rPr>
          <w:rFonts w:hint="eastAsia" w:ascii="宋体" w:hAnsi="宋体" w:eastAsia="宋体" w:cs="宋体"/>
          <w:bCs/>
          <w:color w:val="auto"/>
        </w:rPr>
        <w:t>标准，表面涂层附着力应达到</w:t>
      </w:r>
      <w:r>
        <w:rPr>
          <w:rFonts w:ascii="宋体" w:hAnsi="宋体" w:eastAsia="宋体" w:cs="宋体"/>
          <w:bCs/>
          <w:color w:val="auto"/>
        </w:rPr>
        <w:t>1</w:t>
      </w:r>
      <w:r>
        <w:rPr>
          <w:rFonts w:hint="eastAsia" w:ascii="宋体" w:hAnsi="宋体" w:eastAsia="宋体" w:cs="宋体"/>
          <w:bCs/>
          <w:color w:val="auto"/>
        </w:rPr>
        <w:t>级要求；符合</w:t>
      </w:r>
      <w:r>
        <w:rPr>
          <w:rFonts w:ascii="宋体" w:hAnsi="宋体" w:eastAsia="宋体" w:cs="宋体"/>
          <w:bCs/>
          <w:color w:val="auto"/>
        </w:rPr>
        <w:t>GB/T 10125-2012</w:t>
      </w:r>
      <w:r>
        <w:rPr>
          <w:rFonts w:hint="eastAsia" w:ascii="宋体" w:hAnsi="宋体" w:eastAsia="宋体" w:cs="宋体"/>
          <w:bCs/>
          <w:color w:val="auto"/>
        </w:rPr>
        <w:t>标准进行</w:t>
      </w:r>
      <w:r>
        <w:rPr>
          <w:rFonts w:ascii="宋体" w:hAnsi="宋体" w:eastAsia="宋体" w:cs="宋体"/>
          <w:bCs/>
          <w:color w:val="auto"/>
        </w:rPr>
        <w:t>24 h</w:t>
      </w:r>
      <w:r>
        <w:rPr>
          <w:rFonts w:hint="eastAsia" w:ascii="宋体" w:hAnsi="宋体" w:eastAsia="宋体" w:cs="宋体"/>
          <w:bCs/>
          <w:color w:val="auto"/>
        </w:rPr>
        <w:t>盐雾试验后，达到</w:t>
      </w:r>
      <w:r>
        <w:rPr>
          <w:rFonts w:ascii="宋体" w:hAnsi="宋体" w:eastAsia="宋体" w:cs="宋体"/>
          <w:bCs/>
          <w:color w:val="auto"/>
        </w:rPr>
        <w:t>GB/T 6461-2002</w:t>
      </w:r>
      <w:r>
        <w:rPr>
          <w:rFonts w:hint="eastAsia" w:ascii="宋体" w:hAnsi="宋体" w:eastAsia="宋体" w:cs="宋体"/>
          <w:bCs/>
          <w:color w:val="auto"/>
        </w:rPr>
        <w:t>标准中外观评级</w:t>
      </w:r>
      <w:r>
        <w:rPr>
          <w:rFonts w:ascii="宋体" w:hAnsi="宋体" w:eastAsia="宋体" w:cs="宋体"/>
          <w:bCs/>
          <w:color w:val="auto"/>
        </w:rPr>
        <w:t>RA</w:t>
      </w:r>
      <w:r>
        <w:rPr>
          <w:rFonts w:hint="eastAsia" w:ascii="宋体" w:hAnsi="宋体" w:eastAsia="宋体" w:cs="宋体"/>
          <w:bCs/>
          <w:color w:val="auto"/>
        </w:rPr>
        <w:t>为</w:t>
      </w:r>
      <w:r>
        <w:rPr>
          <w:rFonts w:ascii="宋体" w:hAnsi="宋体" w:eastAsia="宋体" w:cs="宋体"/>
          <w:bCs/>
          <w:color w:val="auto"/>
        </w:rPr>
        <w:t>10</w:t>
      </w:r>
      <w:r>
        <w:rPr>
          <w:rFonts w:hint="eastAsia" w:ascii="宋体" w:hAnsi="宋体" w:eastAsia="宋体" w:cs="宋体"/>
          <w:bCs/>
          <w:color w:val="auto"/>
        </w:rPr>
        <w:t>级要求，表面无明显变色，无明显腐蚀现象；符合</w:t>
      </w:r>
      <w:r>
        <w:rPr>
          <w:rFonts w:ascii="宋体" w:hAnsi="宋体" w:eastAsia="宋体" w:cs="宋体"/>
          <w:bCs/>
          <w:color w:val="auto"/>
        </w:rPr>
        <w:t>GB/T 20123-2006</w:t>
      </w:r>
      <w:r>
        <w:rPr>
          <w:rFonts w:hint="eastAsia" w:ascii="宋体" w:hAnsi="宋体" w:eastAsia="宋体" w:cs="宋体"/>
          <w:bCs/>
          <w:color w:val="auto"/>
        </w:rPr>
        <w:t>标准，</w:t>
      </w:r>
      <w:r>
        <w:rPr>
          <w:rFonts w:ascii="宋体" w:hAnsi="宋体" w:eastAsia="宋体" w:cs="宋体"/>
          <w:bCs/>
          <w:color w:val="auto"/>
        </w:rPr>
        <w:t>C</w:t>
      </w:r>
      <w:r>
        <w:rPr>
          <w:rFonts w:hint="eastAsia" w:ascii="宋体" w:hAnsi="宋体" w:eastAsia="宋体" w:cs="宋体"/>
          <w:bCs/>
          <w:color w:val="auto"/>
        </w:rPr>
        <w:t>（碳）含量≤</w:t>
      </w:r>
      <w:r>
        <w:rPr>
          <w:rFonts w:ascii="宋体" w:hAnsi="宋体" w:eastAsia="宋体" w:cs="宋体"/>
          <w:bCs/>
          <w:color w:val="auto"/>
        </w:rPr>
        <w:t>0.002%</w:t>
      </w:r>
      <w:r>
        <w:rPr>
          <w:rFonts w:hint="eastAsia" w:ascii="宋体" w:hAnsi="宋体" w:eastAsia="宋体" w:cs="宋体"/>
          <w:bCs/>
          <w:color w:val="auto"/>
        </w:rPr>
        <w:t>；符合</w:t>
      </w:r>
      <w:r>
        <w:rPr>
          <w:rFonts w:ascii="宋体" w:hAnsi="宋体" w:eastAsia="宋体" w:cs="宋体"/>
          <w:bCs/>
          <w:color w:val="auto"/>
        </w:rPr>
        <w:t>GB/T228.1-2010</w:t>
      </w:r>
      <w:r>
        <w:rPr>
          <w:rFonts w:hint="eastAsia" w:ascii="宋体" w:hAnsi="宋体" w:eastAsia="宋体" w:cs="宋体"/>
          <w:bCs/>
          <w:color w:val="auto"/>
        </w:rPr>
        <w:t>标准，抗拉强度≥</w:t>
      </w:r>
      <w:r>
        <w:rPr>
          <w:rFonts w:ascii="宋体" w:hAnsi="宋体" w:eastAsia="宋体" w:cs="宋体"/>
          <w:bCs/>
          <w:color w:val="auto"/>
        </w:rPr>
        <w:t>531MPa</w:t>
      </w:r>
      <w:r>
        <w:rPr>
          <w:rFonts w:hint="eastAsia" w:ascii="宋体" w:hAnsi="宋体" w:eastAsia="宋体" w:cs="宋体"/>
          <w:bCs/>
          <w:color w:val="auto"/>
        </w:rPr>
        <w:t>；符合</w:t>
      </w:r>
      <w:r>
        <w:rPr>
          <w:rFonts w:ascii="宋体" w:hAnsi="宋体" w:eastAsia="宋体" w:cs="宋体"/>
          <w:bCs/>
          <w:color w:val="auto"/>
        </w:rPr>
        <w:t>GB/T 231.1-2018</w:t>
      </w:r>
      <w:r>
        <w:rPr>
          <w:rFonts w:hint="eastAsia" w:ascii="宋体" w:hAnsi="宋体" w:eastAsia="宋体" w:cs="宋体"/>
          <w:bCs/>
          <w:color w:val="auto"/>
        </w:rPr>
        <w:t>标准，布氏硬度≥</w:t>
      </w:r>
      <w:r>
        <w:rPr>
          <w:rFonts w:ascii="宋体" w:hAnsi="宋体" w:eastAsia="宋体" w:cs="宋体"/>
          <w:bCs/>
          <w:color w:val="auto"/>
        </w:rPr>
        <w:t>128HBW</w:t>
      </w:r>
      <w:r>
        <w:rPr>
          <w:rFonts w:hint="eastAsia" w:ascii="宋体" w:hAnsi="宋体" w:eastAsia="宋体" w:cs="宋体"/>
          <w:bCs/>
          <w:color w:val="auto"/>
        </w:rPr>
        <w:t>。</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▲2.3</w:t>
      </w:r>
      <w:r>
        <w:rPr>
          <w:rFonts w:hint="eastAsia" w:ascii="宋体" w:hAnsi="宋体" w:eastAsia="宋体" w:cs="宋体"/>
          <w:bCs/>
          <w:color w:val="auto"/>
        </w:rPr>
        <w:t>油漆附着力试验：按照ASTM D3359-02，方法</w:t>
      </w:r>
      <w:r>
        <w:rPr>
          <w:rFonts w:ascii="宋体" w:hAnsi="宋体" w:eastAsia="宋体" w:cs="宋体"/>
          <w:bCs/>
          <w:color w:val="auto"/>
        </w:rPr>
        <w:t>B</w:t>
      </w:r>
      <w:r>
        <w:rPr>
          <w:rFonts w:hint="eastAsia" w:ascii="宋体" w:hAnsi="宋体" w:eastAsia="宋体" w:cs="宋体"/>
          <w:bCs/>
          <w:color w:val="auto"/>
        </w:rPr>
        <w:t>，交叉切口胶带测试。用刀片划</w:t>
      </w:r>
      <w:r>
        <w:rPr>
          <w:rFonts w:ascii="宋体" w:hAnsi="宋体" w:eastAsia="宋体" w:cs="宋体"/>
          <w:bCs/>
          <w:color w:val="auto"/>
        </w:rPr>
        <w:t>2</w:t>
      </w:r>
      <w:r>
        <w:rPr>
          <w:rFonts w:hint="eastAsia" w:ascii="宋体" w:hAnsi="宋体" w:eastAsia="宋体" w:cs="宋体"/>
          <w:bCs/>
          <w:color w:val="auto"/>
        </w:rPr>
        <w:t>组间隔</w:t>
      </w:r>
      <w:r>
        <w:rPr>
          <w:rFonts w:ascii="宋体" w:hAnsi="宋体" w:eastAsia="宋体" w:cs="宋体"/>
          <w:bCs/>
          <w:color w:val="auto"/>
        </w:rPr>
        <w:t>2mm</w:t>
      </w:r>
      <w:r>
        <w:rPr>
          <w:rFonts w:hint="eastAsia" w:ascii="宋体" w:hAnsi="宋体" w:eastAsia="宋体" w:cs="宋体"/>
          <w:bCs/>
          <w:color w:val="auto"/>
        </w:rPr>
        <w:t>的平行线，各</w:t>
      </w:r>
      <w:r>
        <w:rPr>
          <w:rFonts w:ascii="宋体" w:hAnsi="宋体" w:eastAsia="宋体" w:cs="宋体"/>
          <w:bCs/>
          <w:color w:val="auto"/>
        </w:rPr>
        <w:t>6</w:t>
      </w:r>
      <w:r>
        <w:rPr>
          <w:rFonts w:hint="eastAsia" w:ascii="宋体" w:hAnsi="宋体" w:eastAsia="宋体" w:cs="宋体"/>
          <w:bCs/>
          <w:color w:val="auto"/>
        </w:rPr>
        <w:t>条，两组相互垂直，从而形成</w:t>
      </w:r>
      <w:r>
        <w:rPr>
          <w:rFonts w:ascii="宋体" w:hAnsi="宋体" w:eastAsia="宋体" w:cs="宋体"/>
          <w:bCs/>
          <w:color w:val="auto"/>
        </w:rPr>
        <w:t>25</w:t>
      </w:r>
      <w:r>
        <w:rPr>
          <w:rFonts w:hint="eastAsia" w:ascii="宋体" w:hAnsi="宋体" w:eastAsia="宋体" w:cs="宋体"/>
          <w:bCs/>
          <w:color w:val="auto"/>
        </w:rPr>
        <w:t>个方格。切口划破涂层，但不切至基材。切割完成后用软刷在网格表面上轻刷，再覆盖一层胶带，用橡皮用力摩擦胶带，确保胶带与涂层接触良好。拿住胶带一端，并尽可能以接近</w:t>
      </w:r>
      <w:r>
        <w:rPr>
          <w:rFonts w:ascii="宋体" w:hAnsi="宋体" w:eastAsia="宋体" w:cs="宋体"/>
          <w:bCs/>
          <w:color w:val="auto"/>
        </w:rPr>
        <w:t>180</w:t>
      </w:r>
      <w:r>
        <w:rPr>
          <w:rFonts w:hint="eastAsia" w:ascii="宋体" w:hAnsi="宋体" w:eastAsia="宋体" w:cs="宋体"/>
          <w:bCs/>
          <w:color w:val="auto"/>
        </w:rPr>
        <w:t>度角，快速地撕离胶带。性能要求：等级</w:t>
      </w:r>
      <w:r>
        <w:rPr>
          <w:rFonts w:ascii="宋体" w:hAnsi="宋体" w:eastAsia="宋体" w:cs="宋体"/>
          <w:bCs/>
          <w:color w:val="auto"/>
        </w:rPr>
        <w:t>4B</w:t>
      </w:r>
      <w:r>
        <w:rPr>
          <w:rFonts w:hint="eastAsia" w:ascii="宋体" w:hAnsi="宋体" w:eastAsia="宋体" w:cs="宋体"/>
          <w:bCs/>
          <w:color w:val="auto"/>
        </w:rPr>
        <w:t>或以上（</w:t>
      </w:r>
      <w:r>
        <w:rPr>
          <w:rFonts w:ascii="宋体" w:hAnsi="宋体" w:eastAsia="宋体" w:cs="宋体"/>
          <w:bCs/>
          <w:color w:val="auto"/>
        </w:rPr>
        <w:t>95%</w:t>
      </w:r>
      <w:r>
        <w:rPr>
          <w:rFonts w:hint="eastAsia" w:ascii="宋体" w:hAnsi="宋体" w:eastAsia="宋体" w:cs="宋体"/>
          <w:bCs/>
          <w:color w:val="auto"/>
        </w:rPr>
        <w:t>或以上的网格区域涂层应完整）。（提供第三方检测报告复印件佐证材料）</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【评标项38</w:t>
      </w:r>
      <w:r>
        <w:rPr>
          <w:rStyle w:val="13"/>
          <w:rFonts w:hint="eastAsia" w:ascii="宋体" w:hAnsi="宋体" w:eastAsia="宋体" w:cs="宋体"/>
          <w:color w:val="auto"/>
          <w:shd w:val="clear" w:color="auto" w:fill="FFFFFF"/>
          <w:lang w:val="en-US" w:eastAsia="zh-CN" w:bidi="ar"/>
        </w:rPr>
        <w:t>8</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3</w:t>
      </w:r>
      <w:r>
        <w:rPr>
          <w:rFonts w:hint="eastAsia" w:ascii="宋体" w:hAnsi="宋体" w:eastAsia="宋体" w:cs="宋体"/>
          <w:bCs/>
          <w:color w:val="auto"/>
        </w:rPr>
        <w:t>、实验室专用</w:t>
      </w:r>
      <w:r>
        <w:rPr>
          <w:rFonts w:ascii="宋体" w:hAnsi="宋体" w:eastAsia="宋体" w:cs="宋体"/>
          <w:bCs/>
          <w:color w:val="auto"/>
        </w:rPr>
        <w:t>pp</w:t>
      </w:r>
      <w:r>
        <w:rPr>
          <w:rFonts w:hint="eastAsia" w:ascii="宋体" w:hAnsi="宋体" w:eastAsia="宋体" w:cs="宋体"/>
          <w:bCs/>
          <w:color w:val="auto"/>
        </w:rPr>
        <w:t>水盆</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3.</w:t>
      </w:r>
      <w:r>
        <w:rPr>
          <w:rFonts w:hint="eastAsia" w:ascii="宋体" w:hAnsi="宋体" w:eastAsia="宋体" w:cs="宋体"/>
          <w:bCs/>
          <w:color w:val="auto"/>
        </w:rPr>
        <w:t>1、实验室专用水槽选用</w:t>
      </w:r>
      <w:r>
        <w:rPr>
          <w:rFonts w:ascii="宋体" w:hAnsi="宋体" w:eastAsia="宋体" w:cs="宋体"/>
          <w:bCs/>
          <w:color w:val="auto"/>
        </w:rPr>
        <w:t>≥7.5mm</w:t>
      </w:r>
      <w:r>
        <w:rPr>
          <w:rFonts w:hint="eastAsia" w:ascii="宋体" w:hAnsi="宋体" w:eastAsia="宋体" w:cs="宋体"/>
          <w:bCs/>
          <w:color w:val="auto"/>
        </w:rPr>
        <w:t>厚优质全新高密度聚丙烯原包料，选用高品质</w:t>
      </w:r>
      <w:r>
        <w:rPr>
          <w:rFonts w:ascii="宋体" w:hAnsi="宋体" w:eastAsia="宋体" w:cs="宋体"/>
          <w:bCs/>
          <w:color w:val="auto"/>
        </w:rPr>
        <w:t>PP</w:t>
      </w:r>
      <w:r>
        <w:rPr>
          <w:rFonts w:hint="eastAsia" w:ascii="宋体" w:hAnsi="宋体" w:eastAsia="宋体" w:cs="宋体"/>
          <w:bCs/>
          <w:color w:val="auto"/>
        </w:rPr>
        <w:t>，符合</w:t>
      </w:r>
      <w:r>
        <w:rPr>
          <w:rFonts w:ascii="宋体" w:hAnsi="宋体" w:eastAsia="宋体" w:cs="宋体"/>
          <w:bCs/>
          <w:color w:val="auto"/>
        </w:rPr>
        <w:t>GB/T 6040-2002</w:t>
      </w:r>
      <w:r>
        <w:rPr>
          <w:rFonts w:hint="eastAsia" w:ascii="宋体" w:hAnsi="宋体" w:eastAsia="宋体" w:cs="宋体"/>
          <w:bCs/>
          <w:color w:val="auto"/>
        </w:rPr>
        <w:t>标准，需提供国家认可的第三方原材料检测报告。</w:t>
      </w:r>
    </w:p>
    <w:p>
      <w:pPr>
        <w:pStyle w:val="9"/>
        <w:widowControl/>
        <w:spacing w:beforeAutospacing="0" w:after="150" w:afterAutospacing="0" w:line="480" w:lineRule="atLeast"/>
        <w:ind w:firstLine="420"/>
        <w:rPr>
          <w:rFonts w:ascii="宋体" w:hAnsi="宋体" w:eastAsia="宋体" w:cs="宋体"/>
          <w:bCs/>
          <w:color w:val="auto"/>
        </w:rPr>
      </w:pPr>
      <w:r>
        <w:rPr>
          <w:rFonts w:hint="eastAsia" w:ascii="宋体" w:hAnsi="宋体" w:eastAsia="宋体" w:cs="宋体"/>
          <w:bCs/>
          <w:color w:val="auto"/>
        </w:rPr>
        <w:t>高压一体注塑成型，耐强酸强碱及有机溶液，化学稳定性良好，不易被化学试剂侵蚀；热力稳定性好，在不受外强力作用下，处于零下35°~零上</w:t>
      </w:r>
      <w:r>
        <w:rPr>
          <w:rFonts w:ascii="宋体" w:hAnsi="宋体" w:eastAsia="宋体" w:cs="宋体"/>
          <w:bCs/>
          <w:color w:val="auto"/>
        </w:rPr>
        <w:t>150°</w:t>
      </w:r>
      <w:r>
        <w:rPr>
          <w:rFonts w:hint="eastAsia" w:ascii="宋体" w:hAnsi="宋体" w:eastAsia="宋体" w:cs="宋体"/>
          <w:bCs/>
          <w:color w:val="auto"/>
        </w:rPr>
        <w:t>均不变形。</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3.</w:t>
      </w:r>
      <w:r>
        <w:rPr>
          <w:rFonts w:hint="eastAsia" w:ascii="宋体" w:hAnsi="宋体" w:eastAsia="宋体" w:cs="宋体"/>
          <w:bCs/>
          <w:color w:val="auto"/>
        </w:rPr>
        <w:t>2、水槽主体圆角设计，整体平整度控制在</w:t>
      </w:r>
      <w:r>
        <w:rPr>
          <w:rFonts w:ascii="宋体" w:hAnsi="宋体" w:eastAsia="宋体" w:cs="宋体"/>
          <w:bCs/>
          <w:color w:val="auto"/>
        </w:rPr>
        <w:t>≤1.5mm</w:t>
      </w:r>
      <w:r>
        <w:rPr>
          <w:rFonts w:hint="eastAsia" w:ascii="宋体" w:hAnsi="宋体" w:eastAsia="宋体" w:cs="宋体"/>
          <w:bCs/>
          <w:color w:val="auto"/>
        </w:rPr>
        <w:t>，有效提升槽内使用空间，低吸水率不藏污垢易于清洁。</w:t>
      </w:r>
      <w:r>
        <w:rPr>
          <w:rFonts w:ascii="宋体" w:hAnsi="宋体" w:eastAsia="宋体" w:cs="宋体"/>
          <w:bCs/>
          <w:color w:val="auto"/>
        </w:rPr>
        <w:t>≥310mm</w:t>
      </w:r>
      <w:r>
        <w:rPr>
          <w:rFonts w:hint="eastAsia" w:ascii="宋体" w:hAnsi="宋体" w:eastAsia="宋体" w:cs="宋体"/>
          <w:bCs/>
          <w:color w:val="auto"/>
        </w:rPr>
        <w:t>加深槽不易溅水，</w:t>
      </w:r>
      <w:r>
        <w:rPr>
          <w:rFonts w:ascii="宋体" w:hAnsi="宋体" w:eastAsia="宋体" w:cs="宋体"/>
          <w:bCs/>
          <w:color w:val="auto"/>
        </w:rPr>
        <w:t>90°</w:t>
      </w:r>
      <w:r>
        <w:rPr>
          <w:rFonts w:hint="eastAsia" w:ascii="宋体" w:hAnsi="宋体" w:eastAsia="宋体" w:cs="宋体"/>
          <w:bCs/>
          <w:color w:val="auto"/>
        </w:rPr>
        <w:t>垂直加深槽体，容尽不同尺寸量筒试剂管及玻璃器皿，且落入其中不易破碎，防滑防刮伤以延长使用寿命。</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3.3</w:t>
      </w:r>
      <w:r>
        <w:rPr>
          <w:rFonts w:hint="eastAsia" w:ascii="宋体" w:hAnsi="宋体" w:eastAsia="宋体" w:cs="宋体"/>
          <w:bCs/>
          <w:color w:val="auto"/>
        </w:rPr>
        <w:t>、符合GB/T 11547-2008塑料 耐液体化学试剂性能的测定标准，在常温浸泡</w:t>
      </w:r>
      <w:r>
        <w:rPr>
          <w:rFonts w:ascii="宋体" w:hAnsi="宋体" w:eastAsia="宋体" w:cs="宋体"/>
          <w:bCs/>
          <w:color w:val="auto"/>
        </w:rPr>
        <w:t>24h</w:t>
      </w:r>
      <w:r>
        <w:rPr>
          <w:rFonts w:hint="eastAsia" w:ascii="宋体" w:hAnsi="宋体" w:eastAsia="宋体" w:cs="宋体"/>
          <w:bCs/>
          <w:color w:val="auto"/>
        </w:rPr>
        <w:t>后表面无变化</w:t>
      </w:r>
      <w:r>
        <w:rPr>
          <w:rFonts w:ascii="宋体" w:hAnsi="宋体" w:eastAsia="宋体" w:cs="宋体"/>
          <w:bCs/>
          <w:color w:val="auto"/>
        </w:rPr>
        <w:t>,20</w:t>
      </w:r>
      <w:r>
        <w:rPr>
          <w:rFonts w:hint="eastAsia" w:ascii="宋体" w:hAnsi="宋体" w:eastAsia="宋体" w:cs="宋体"/>
          <w:bCs/>
          <w:color w:val="auto"/>
        </w:rPr>
        <w:t>种化学试剂，需提供国家认可的第三方检测报告。如硫酸溶液</w:t>
      </w:r>
      <w:r>
        <w:rPr>
          <w:rFonts w:ascii="宋体" w:hAnsi="宋体" w:eastAsia="宋体" w:cs="宋体"/>
          <w:bCs/>
          <w:color w:val="auto"/>
        </w:rPr>
        <w:t>40%</w:t>
      </w:r>
      <w:r>
        <w:rPr>
          <w:rFonts w:hint="eastAsia" w:ascii="宋体" w:hAnsi="宋体" w:eastAsia="宋体" w:cs="宋体"/>
          <w:bCs/>
          <w:color w:val="auto"/>
        </w:rPr>
        <w:t>，氢氧化钠</w:t>
      </w:r>
      <w:r>
        <w:rPr>
          <w:rFonts w:ascii="宋体" w:hAnsi="宋体" w:eastAsia="宋体" w:cs="宋体"/>
          <w:bCs/>
          <w:color w:val="auto"/>
        </w:rPr>
        <w:t>40%</w:t>
      </w:r>
      <w:r>
        <w:rPr>
          <w:rFonts w:hint="eastAsia" w:ascii="宋体" w:hAnsi="宋体" w:eastAsia="宋体" w:cs="宋体"/>
          <w:bCs/>
          <w:color w:val="auto"/>
        </w:rPr>
        <w:t>，乙醚，甲苯，碘酒</w:t>
      </w:r>
      <w:r>
        <w:rPr>
          <w:rFonts w:ascii="宋体" w:hAnsi="宋体" w:eastAsia="宋体" w:cs="宋体"/>
          <w:bCs/>
          <w:color w:val="auto"/>
        </w:rPr>
        <w:t>2%,</w:t>
      </w:r>
      <w:r>
        <w:rPr>
          <w:rFonts w:hint="eastAsia" w:ascii="宋体" w:hAnsi="宋体" w:eastAsia="宋体" w:cs="宋体"/>
          <w:bCs/>
          <w:color w:val="auto"/>
        </w:rPr>
        <w:t>硝酸银溶液</w:t>
      </w:r>
      <w:r>
        <w:rPr>
          <w:rFonts w:ascii="宋体" w:hAnsi="宋体" w:eastAsia="宋体" w:cs="宋体"/>
          <w:bCs/>
          <w:color w:val="auto"/>
        </w:rPr>
        <w:t>1%</w:t>
      </w:r>
      <w:r>
        <w:rPr>
          <w:rFonts w:hint="eastAsia" w:ascii="宋体" w:hAnsi="宋体" w:eastAsia="宋体" w:cs="宋体"/>
          <w:bCs/>
          <w:color w:val="auto"/>
        </w:rPr>
        <w:t>，硝酸溶液</w:t>
      </w:r>
      <w:r>
        <w:rPr>
          <w:rFonts w:ascii="宋体" w:hAnsi="宋体" w:eastAsia="宋体" w:cs="宋体"/>
          <w:bCs/>
          <w:color w:val="auto"/>
        </w:rPr>
        <w:t>40%</w:t>
      </w:r>
      <w:r>
        <w:rPr>
          <w:rFonts w:hint="eastAsia" w:ascii="宋体" w:hAnsi="宋体" w:eastAsia="宋体" w:cs="宋体"/>
          <w:bCs/>
          <w:color w:val="auto"/>
        </w:rPr>
        <w:t>，王水，氢氧化钾</w:t>
      </w:r>
      <w:r>
        <w:rPr>
          <w:rFonts w:ascii="宋体" w:hAnsi="宋体" w:eastAsia="宋体" w:cs="宋体"/>
          <w:bCs/>
          <w:color w:val="auto"/>
        </w:rPr>
        <w:t>40%</w:t>
      </w:r>
      <w:r>
        <w:rPr>
          <w:rFonts w:hint="eastAsia" w:ascii="宋体" w:hAnsi="宋体" w:eastAsia="宋体" w:cs="宋体"/>
          <w:bCs/>
          <w:color w:val="auto"/>
        </w:rPr>
        <w:t>，丙酮，高锰酸钾</w:t>
      </w:r>
      <w:r>
        <w:rPr>
          <w:rFonts w:ascii="宋体" w:hAnsi="宋体" w:eastAsia="宋体" w:cs="宋体"/>
          <w:bCs/>
          <w:color w:val="auto"/>
        </w:rPr>
        <w:t>1 %</w:t>
      </w:r>
      <w:r>
        <w:rPr>
          <w:rFonts w:hint="eastAsia" w:ascii="宋体" w:hAnsi="宋体" w:eastAsia="宋体" w:cs="宋体"/>
          <w:bCs/>
          <w:color w:val="auto"/>
        </w:rPr>
        <w:t>，红药水</w:t>
      </w:r>
      <w:r>
        <w:rPr>
          <w:rFonts w:ascii="宋体" w:hAnsi="宋体" w:eastAsia="宋体" w:cs="宋体"/>
          <w:bCs/>
          <w:color w:val="auto"/>
        </w:rPr>
        <w:t>2%</w:t>
      </w:r>
      <w:r>
        <w:rPr>
          <w:rFonts w:hint="eastAsia" w:ascii="宋体" w:hAnsi="宋体" w:eastAsia="宋体" w:cs="宋体"/>
          <w:bCs/>
          <w:color w:val="auto"/>
        </w:rPr>
        <w:t>，硫酸铜</w:t>
      </w:r>
      <w:r>
        <w:rPr>
          <w:rFonts w:ascii="宋体" w:hAnsi="宋体" w:eastAsia="宋体" w:cs="宋体"/>
          <w:bCs/>
          <w:color w:val="auto"/>
        </w:rPr>
        <w:t>10%</w:t>
      </w:r>
      <w:r>
        <w:rPr>
          <w:rFonts w:hint="eastAsia" w:ascii="宋体" w:hAnsi="宋体" w:eastAsia="宋体" w:cs="宋体"/>
          <w:bCs/>
          <w:color w:val="auto"/>
        </w:rPr>
        <w:t>，硫化钠</w:t>
      </w:r>
      <w:r>
        <w:rPr>
          <w:rFonts w:ascii="宋体" w:hAnsi="宋体" w:eastAsia="宋体" w:cs="宋体"/>
          <w:bCs/>
          <w:color w:val="auto"/>
        </w:rPr>
        <w:t>10%</w:t>
      </w:r>
      <w:r>
        <w:rPr>
          <w:rFonts w:hint="eastAsia" w:ascii="宋体" w:hAnsi="宋体" w:eastAsia="宋体" w:cs="宋体"/>
          <w:bCs/>
          <w:color w:val="auto"/>
        </w:rPr>
        <w:t>、乙醇</w:t>
      </w:r>
      <w:r>
        <w:rPr>
          <w:rFonts w:ascii="宋体" w:hAnsi="宋体" w:eastAsia="宋体" w:cs="宋体"/>
          <w:bCs/>
          <w:color w:val="auto"/>
        </w:rPr>
        <w:t>99%</w:t>
      </w:r>
      <w:r>
        <w:rPr>
          <w:rFonts w:hint="eastAsia" w:ascii="宋体" w:hAnsi="宋体" w:eastAsia="宋体" w:cs="宋体"/>
          <w:bCs/>
          <w:color w:val="auto"/>
        </w:rPr>
        <w:t>，盐酸溶液</w:t>
      </w:r>
      <w:r>
        <w:rPr>
          <w:rFonts w:ascii="宋体" w:hAnsi="宋体" w:eastAsia="宋体" w:cs="宋体"/>
          <w:bCs/>
          <w:color w:val="auto"/>
        </w:rPr>
        <w:t>37%</w:t>
      </w:r>
      <w:r>
        <w:rPr>
          <w:rFonts w:hint="eastAsia" w:ascii="宋体" w:hAnsi="宋体" w:eastAsia="宋体" w:cs="宋体"/>
          <w:bCs/>
          <w:color w:val="auto"/>
        </w:rPr>
        <w:t>，四氯化碳，氯仿，双氧水</w:t>
      </w:r>
      <w:r>
        <w:rPr>
          <w:rFonts w:ascii="宋体" w:hAnsi="宋体" w:eastAsia="宋体" w:cs="宋体"/>
          <w:bCs/>
          <w:color w:val="auto"/>
        </w:rPr>
        <w:t>30%</w:t>
      </w:r>
      <w:r>
        <w:rPr>
          <w:rFonts w:hint="eastAsia" w:ascii="宋体" w:hAnsi="宋体" w:eastAsia="宋体" w:cs="宋体"/>
          <w:bCs/>
          <w:color w:val="auto"/>
        </w:rPr>
        <w:t>，甲醛</w:t>
      </w:r>
      <w:r>
        <w:rPr>
          <w:rFonts w:ascii="宋体" w:hAnsi="宋体" w:eastAsia="宋体" w:cs="宋体"/>
          <w:bCs/>
          <w:color w:val="auto"/>
        </w:rPr>
        <w:t>37%</w:t>
      </w:r>
      <w:r>
        <w:rPr>
          <w:rFonts w:hint="eastAsia" w:ascii="宋体" w:hAnsi="宋体" w:eastAsia="宋体" w:cs="宋体"/>
          <w:bCs/>
          <w:color w:val="auto"/>
        </w:rPr>
        <w:t>。</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【评标项38</w:t>
      </w:r>
      <w:r>
        <w:rPr>
          <w:rStyle w:val="13"/>
          <w:rFonts w:hint="eastAsia" w:ascii="宋体" w:hAnsi="宋体" w:eastAsia="宋体" w:cs="宋体"/>
          <w:color w:val="auto"/>
          <w:shd w:val="clear" w:color="auto" w:fill="FFFFFF"/>
          <w:lang w:val="en-US" w:eastAsia="zh-CN" w:bidi="ar"/>
        </w:rPr>
        <w:t>9</w:t>
      </w:r>
      <w:r>
        <w:rPr>
          <w:rStyle w:val="13"/>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4</w:t>
      </w:r>
      <w:r>
        <w:rPr>
          <w:rFonts w:hint="eastAsia" w:ascii="宋体" w:hAnsi="宋体" w:eastAsia="宋体" w:cs="宋体"/>
          <w:color w:val="auto"/>
          <w:shd w:val="clear" w:color="auto" w:fill="FFFFFF"/>
          <w:lang w:bidi="ar"/>
        </w:rPr>
        <w:t>、实验台设备工艺及安装要求：</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4.1</w:t>
      </w:r>
      <w:r>
        <w:rPr>
          <w:rFonts w:hint="eastAsia" w:ascii="宋体" w:hAnsi="宋体" w:eastAsia="宋体" w:cs="宋体"/>
          <w:bCs/>
          <w:color w:val="auto"/>
        </w:rPr>
        <w:t>、安装要求</w:t>
      </w:r>
    </w:p>
    <w:p>
      <w:pPr>
        <w:pStyle w:val="9"/>
        <w:widowControl/>
        <w:spacing w:beforeAutospacing="0" w:after="150" w:afterAutospacing="0" w:line="480" w:lineRule="atLeast"/>
        <w:ind w:firstLine="420"/>
        <w:rPr>
          <w:rFonts w:ascii="宋体" w:hAnsi="宋体" w:eastAsia="宋体" w:cs="宋体"/>
          <w:bCs/>
          <w:color w:val="auto"/>
        </w:rPr>
      </w:pPr>
      <w:r>
        <w:rPr>
          <w:rFonts w:hint="eastAsia" w:ascii="宋体" w:hAnsi="宋体" w:eastAsia="宋体" w:cs="宋体"/>
          <w:bCs/>
          <w:color w:val="auto"/>
        </w:rPr>
        <w:t>外形尺寸：长、宽、高误差点≤</w:t>
      </w:r>
      <w:r>
        <w:rPr>
          <w:rFonts w:ascii="宋体" w:hAnsi="宋体" w:eastAsia="宋体" w:cs="宋体"/>
          <w:bCs/>
          <w:color w:val="auto"/>
        </w:rPr>
        <w:t>3mm</w:t>
      </w:r>
      <w:r>
        <w:rPr>
          <w:rFonts w:hint="eastAsia" w:ascii="宋体" w:hAnsi="宋体" w:eastAsia="宋体" w:cs="宋体"/>
          <w:bCs/>
          <w:color w:val="auto"/>
        </w:rPr>
        <w:t>；邻边垂直度：台面对角线、框架对角线</w:t>
      </w:r>
      <w:r>
        <w:rPr>
          <w:rFonts w:ascii="宋体" w:hAnsi="宋体" w:eastAsia="宋体" w:cs="宋体"/>
          <w:bCs/>
          <w:color w:val="auto"/>
        </w:rPr>
        <w:t>1000mm</w:t>
      </w:r>
      <w:r>
        <w:rPr>
          <w:rFonts w:hint="eastAsia" w:ascii="宋体" w:hAnsi="宋体" w:eastAsia="宋体" w:cs="宋体"/>
          <w:bCs/>
          <w:color w:val="auto"/>
        </w:rPr>
        <w:t>≤</w:t>
      </w:r>
      <w:r>
        <w:rPr>
          <w:rFonts w:ascii="宋体" w:hAnsi="宋体" w:eastAsia="宋体" w:cs="宋体"/>
          <w:bCs/>
          <w:color w:val="auto"/>
        </w:rPr>
        <w:t>3mm</w:t>
      </w:r>
      <w:r>
        <w:rPr>
          <w:rFonts w:hint="eastAsia" w:ascii="宋体" w:hAnsi="宋体" w:eastAsia="宋体" w:cs="宋体"/>
          <w:bCs/>
          <w:color w:val="auto"/>
        </w:rPr>
        <w:t>；</w:t>
      </w:r>
      <w:r>
        <w:rPr>
          <w:rFonts w:ascii="宋体" w:hAnsi="宋体" w:eastAsia="宋体" w:cs="宋体"/>
          <w:bCs/>
          <w:color w:val="auto"/>
        </w:rPr>
        <w:t>2000mm</w:t>
      </w:r>
      <w:r>
        <w:rPr>
          <w:rFonts w:hint="eastAsia" w:ascii="宋体" w:hAnsi="宋体" w:eastAsia="宋体" w:cs="宋体"/>
          <w:bCs/>
          <w:color w:val="auto"/>
        </w:rPr>
        <w:t>≤</w:t>
      </w:r>
      <w:r>
        <w:rPr>
          <w:rFonts w:ascii="宋体" w:hAnsi="宋体" w:eastAsia="宋体" w:cs="宋体"/>
          <w:bCs/>
          <w:color w:val="auto"/>
        </w:rPr>
        <w:t>4mm</w:t>
      </w:r>
      <w:r>
        <w:rPr>
          <w:rFonts w:hint="eastAsia" w:ascii="宋体" w:hAnsi="宋体" w:eastAsia="宋体" w:cs="宋体"/>
          <w:bCs/>
          <w:color w:val="auto"/>
        </w:rPr>
        <w:t>； </w:t>
      </w:r>
      <w:r>
        <w:rPr>
          <w:rFonts w:ascii="宋体" w:hAnsi="宋体" w:eastAsia="宋体" w:cs="宋体"/>
          <w:bCs/>
          <w:color w:val="auto"/>
        </w:rPr>
        <w:t>3000mm</w:t>
      </w:r>
      <w:r>
        <w:rPr>
          <w:rFonts w:hint="eastAsia" w:ascii="宋体" w:hAnsi="宋体" w:eastAsia="宋体" w:cs="宋体"/>
          <w:bCs/>
          <w:color w:val="auto"/>
        </w:rPr>
        <w:t>≤</w:t>
      </w:r>
      <w:r>
        <w:rPr>
          <w:rFonts w:ascii="宋体" w:hAnsi="宋体" w:eastAsia="宋体" w:cs="宋体"/>
          <w:bCs/>
          <w:color w:val="auto"/>
        </w:rPr>
        <w:t>5mm</w:t>
      </w:r>
      <w:r>
        <w:rPr>
          <w:rFonts w:hint="eastAsia" w:ascii="宋体" w:hAnsi="宋体" w:eastAsia="宋体" w:cs="宋体"/>
          <w:bCs/>
          <w:color w:val="auto"/>
        </w:rPr>
        <w:t>。</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4.2</w:t>
      </w:r>
      <w:r>
        <w:rPr>
          <w:rFonts w:hint="eastAsia" w:ascii="宋体" w:hAnsi="宋体" w:eastAsia="宋体" w:cs="宋体"/>
          <w:bCs/>
          <w:color w:val="auto"/>
        </w:rPr>
        <w:t>、工艺要求：</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4.2.1</w:t>
      </w:r>
      <w:r>
        <w:rPr>
          <w:rFonts w:hint="eastAsia" w:ascii="宋体" w:hAnsi="宋体" w:eastAsia="宋体" w:cs="宋体"/>
          <w:bCs/>
          <w:color w:val="auto"/>
        </w:rPr>
        <w:t>、钢部件表面必须经纯环氧树脂塑粉高温固化处理，平整光滑，不允许有喷涂层脱落、鼓泡、凹陷、压痕以及表面划伤、麻点、裂痕、崩角和刃口等</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4.2.2</w:t>
      </w:r>
      <w:r>
        <w:rPr>
          <w:rFonts w:hint="eastAsia" w:ascii="宋体" w:hAnsi="宋体" w:eastAsia="宋体" w:cs="宋体"/>
          <w:bCs/>
          <w:color w:val="auto"/>
        </w:rPr>
        <w:t>、钻孔位置最低要求由模具定位。切割、钻孔和倒角应去毛刺。</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4.2.3</w:t>
      </w:r>
      <w:r>
        <w:rPr>
          <w:rFonts w:hint="eastAsia" w:ascii="宋体" w:hAnsi="宋体" w:eastAsia="宋体" w:cs="宋体"/>
          <w:bCs/>
          <w:color w:val="auto"/>
        </w:rPr>
        <w:t>、各种配件安装应严密、平整、端正、牢固、结合处应无崩茬或松动。金属件应做除锈和防腐处理。</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4.2.4</w:t>
      </w:r>
      <w:r>
        <w:rPr>
          <w:rFonts w:hint="eastAsia" w:ascii="宋体" w:hAnsi="宋体" w:eastAsia="宋体" w:cs="宋体"/>
          <w:bCs/>
          <w:color w:val="auto"/>
        </w:rPr>
        <w:t>、柜体接缝处要求≤</w:t>
      </w:r>
      <w:r>
        <w:rPr>
          <w:rFonts w:ascii="宋体" w:hAnsi="宋体" w:eastAsia="宋体" w:cs="宋体"/>
          <w:bCs/>
          <w:color w:val="auto"/>
        </w:rPr>
        <w:t>5mm</w:t>
      </w:r>
      <w:r>
        <w:rPr>
          <w:rFonts w:hint="eastAsia" w:ascii="宋体" w:hAnsi="宋体" w:eastAsia="宋体" w:cs="宋体"/>
          <w:bCs/>
          <w:color w:val="auto"/>
        </w:rPr>
        <w:t>；门板与门板间缝≤</w:t>
      </w:r>
      <w:r>
        <w:rPr>
          <w:rFonts w:ascii="宋体" w:hAnsi="宋体" w:eastAsia="宋体" w:cs="宋体"/>
          <w:bCs/>
          <w:color w:val="auto"/>
        </w:rPr>
        <w:t>3mm</w:t>
      </w:r>
      <w:r>
        <w:rPr>
          <w:rFonts w:hint="eastAsia" w:ascii="宋体" w:hAnsi="宋体" w:eastAsia="宋体" w:cs="宋体"/>
          <w:bCs/>
          <w:color w:val="auto"/>
        </w:rPr>
        <w:t>；整体尺寸误差≤</w:t>
      </w:r>
      <w:r>
        <w:rPr>
          <w:rFonts w:ascii="宋体" w:hAnsi="宋体" w:eastAsia="宋体" w:cs="宋体"/>
          <w:bCs/>
          <w:color w:val="auto"/>
        </w:rPr>
        <w:t>10mm</w:t>
      </w:r>
      <w:r>
        <w:rPr>
          <w:rFonts w:hint="eastAsia" w:ascii="宋体" w:hAnsi="宋体" w:eastAsia="宋体" w:cs="宋体"/>
          <w:bCs/>
          <w:color w:val="auto"/>
        </w:rPr>
        <w:t>，要求水平、稳固。 所有水、电、气路要求安全、适用，并隐藏式安装。</w:t>
      </w:r>
    </w:p>
    <w:p>
      <w:pPr>
        <w:pStyle w:val="9"/>
        <w:widowControl/>
        <w:spacing w:beforeAutospacing="0" w:after="150" w:afterAutospacing="0" w:line="480" w:lineRule="atLeast"/>
        <w:ind w:firstLine="420"/>
        <w:rPr>
          <w:rFonts w:ascii="宋体" w:hAnsi="宋体" w:eastAsia="宋体" w:cs="宋体"/>
          <w:bCs/>
          <w:color w:val="auto"/>
        </w:rPr>
      </w:pPr>
      <w:r>
        <w:rPr>
          <w:rFonts w:ascii="宋体" w:hAnsi="宋体" w:eastAsia="宋体" w:cs="宋体"/>
          <w:bCs/>
          <w:color w:val="auto"/>
        </w:rPr>
        <w:t>4.3</w:t>
      </w:r>
      <w:r>
        <w:rPr>
          <w:rFonts w:hint="eastAsia" w:ascii="宋体" w:hAnsi="宋体" w:eastAsia="宋体" w:cs="宋体"/>
          <w:bCs/>
          <w:color w:val="auto"/>
        </w:rPr>
        <w:t>实验台稳定性要求提供以下测试：</w:t>
      </w:r>
    </w:p>
    <w:p>
      <w:pPr>
        <w:pStyle w:val="9"/>
        <w:widowControl/>
        <w:spacing w:beforeAutospacing="0" w:after="150" w:afterAutospacing="0" w:line="480" w:lineRule="atLeast"/>
        <w:ind w:firstLine="420"/>
        <w:rPr>
          <w:rFonts w:ascii="宋体" w:hAnsi="宋体" w:eastAsia="宋体" w:cs="宋体"/>
          <w:bCs/>
          <w:color w:val="auto"/>
        </w:rPr>
      </w:pPr>
      <w:r>
        <w:rPr>
          <w:rFonts w:hint="eastAsia" w:ascii="宋体" w:hAnsi="宋体" w:eastAsia="宋体" w:cs="宋体"/>
          <w:bCs/>
          <w:color w:val="auto"/>
        </w:rPr>
        <w:t>▲ </w:t>
      </w:r>
      <w:r>
        <w:rPr>
          <w:rFonts w:ascii="宋体" w:hAnsi="宋体" w:eastAsia="宋体" w:cs="宋体"/>
          <w:bCs/>
          <w:color w:val="auto"/>
        </w:rPr>
        <w:t>4.3.1</w:t>
      </w:r>
      <w:r>
        <w:rPr>
          <w:rFonts w:hint="eastAsia" w:ascii="宋体" w:hAnsi="宋体" w:eastAsia="宋体" w:cs="宋体"/>
          <w:bCs/>
          <w:color w:val="auto"/>
        </w:rPr>
        <w:t>、提供实验台按照</w:t>
      </w:r>
      <w:r>
        <w:rPr>
          <w:rFonts w:ascii="宋体" w:hAnsi="宋体" w:eastAsia="宋体" w:cs="宋体"/>
          <w:bCs/>
          <w:color w:val="auto"/>
        </w:rPr>
        <w:t>GB/T  10357.1-2013</w:t>
      </w:r>
      <w:r>
        <w:rPr>
          <w:rFonts w:hint="eastAsia" w:ascii="宋体" w:hAnsi="宋体" w:eastAsia="宋体" w:cs="宋体"/>
          <w:bCs/>
          <w:color w:val="auto"/>
        </w:rPr>
        <w:t>家具力学性能试验</w:t>
      </w:r>
      <w:r>
        <w:rPr>
          <w:rFonts w:ascii="宋体" w:hAnsi="宋体" w:eastAsia="宋体" w:cs="宋体"/>
          <w:bCs/>
          <w:color w:val="auto"/>
        </w:rPr>
        <w:t>-</w:t>
      </w:r>
      <w:r>
        <w:rPr>
          <w:rFonts w:hint="eastAsia" w:ascii="宋体" w:hAnsi="宋体" w:eastAsia="宋体" w:cs="宋体"/>
          <w:bCs/>
          <w:color w:val="auto"/>
        </w:rPr>
        <w:t>桌类强度及耐久性进行测试的检测报告</w:t>
      </w:r>
      <w:r>
        <w:rPr>
          <w:rFonts w:ascii="宋体" w:hAnsi="宋体" w:eastAsia="宋体" w:cs="宋体"/>
          <w:bCs/>
          <w:color w:val="auto"/>
        </w:rPr>
        <w:t>,</w:t>
      </w:r>
      <w:r>
        <w:rPr>
          <w:rFonts w:hint="eastAsia" w:ascii="宋体" w:hAnsi="宋体" w:eastAsia="宋体" w:cs="宋体"/>
          <w:bCs/>
          <w:color w:val="auto"/>
        </w:rPr>
        <w:t>要求所有适合检测的检测项目检验结果符合国标要求。（提供第三方检测报告复印件佐证材料）</w:t>
      </w:r>
    </w:p>
    <w:p>
      <w:pPr>
        <w:pStyle w:val="9"/>
        <w:widowControl/>
        <w:spacing w:beforeAutospacing="0" w:after="150" w:afterAutospacing="0" w:line="480" w:lineRule="atLeast"/>
        <w:ind w:firstLine="420"/>
        <w:rPr>
          <w:rFonts w:ascii="宋体" w:hAnsi="宋体" w:eastAsia="宋体" w:cs="宋体"/>
          <w:bCs/>
          <w:color w:val="auto"/>
        </w:rPr>
      </w:pPr>
      <w:r>
        <w:rPr>
          <w:rFonts w:hint="eastAsia" w:ascii="宋体" w:hAnsi="宋体" w:eastAsia="宋体" w:cs="宋体"/>
          <w:bCs/>
          <w:color w:val="auto"/>
        </w:rPr>
        <w:t>▲</w:t>
      </w:r>
      <w:r>
        <w:rPr>
          <w:rFonts w:ascii="宋体" w:hAnsi="宋体" w:eastAsia="宋体" w:cs="宋体"/>
          <w:bCs/>
          <w:color w:val="auto"/>
        </w:rPr>
        <w:t>4.3.2</w:t>
      </w:r>
      <w:r>
        <w:rPr>
          <w:rFonts w:hint="eastAsia" w:ascii="宋体" w:hAnsi="宋体" w:eastAsia="宋体" w:cs="宋体"/>
          <w:bCs/>
          <w:color w:val="auto"/>
        </w:rPr>
        <w:t>、提供实验台按照</w:t>
      </w:r>
      <w:r>
        <w:rPr>
          <w:rFonts w:ascii="宋体" w:hAnsi="宋体" w:eastAsia="宋体" w:cs="宋体"/>
          <w:bCs/>
          <w:color w:val="auto"/>
        </w:rPr>
        <w:t>GB/T 10357.7-2013 </w:t>
      </w:r>
      <w:r>
        <w:rPr>
          <w:rFonts w:hint="eastAsia" w:ascii="宋体" w:hAnsi="宋体" w:eastAsia="宋体" w:cs="宋体"/>
          <w:bCs/>
          <w:color w:val="auto"/>
        </w:rPr>
        <w:t>家具力学性能试验</w:t>
      </w:r>
      <w:r>
        <w:rPr>
          <w:rFonts w:ascii="宋体" w:hAnsi="宋体" w:eastAsia="宋体" w:cs="宋体"/>
          <w:bCs/>
          <w:color w:val="auto"/>
        </w:rPr>
        <w:t>-</w:t>
      </w:r>
      <w:r>
        <w:rPr>
          <w:rFonts w:hint="eastAsia" w:ascii="宋体" w:hAnsi="宋体" w:eastAsia="宋体" w:cs="宋体"/>
          <w:bCs/>
          <w:color w:val="auto"/>
        </w:rPr>
        <w:t>桌类稳 定性进行测试的检测报告，要求所有适合检测的检测项目检验结果符合国标要求。（提供第三方检测报告复印件佐证材料）</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5</w:t>
      </w:r>
      <w:r>
        <w:rPr>
          <w:rFonts w:hint="eastAsia" w:ascii="宋体" w:hAnsi="宋体" w:eastAsia="宋体" w:cs="宋体"/>
          <w:color w:val="auto"/>
          <w:shd w:val="clear" w:color="auto" w:fill="FFFFFF"/>
          <w:lang w:bidi="ar"/>
        </w:rPr>
        <w:t>、通风柜</w:t>
      </w:r>
    </w:p>
    <w:p>
      <w:pPr>
        <w:pStyle w:val="9"/>
        <w:widowControl/>
        <w:spacing w:beforeAutospacing="0" w:after="15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5.1.2</w:t>
      </w:r>
      <w:r>
        <w:rPr>
          <w:rFonts w:hint="eastAsia" w:ascii="宋体" w:hAnsi="宋体" w:eastAsia="宋体" w:cs="宋体"/>
          <w:color w:val="auto"/>
          <w:shd w:val="clear" w:color="auto" w:fill="FFFFFF"/>
          <w:lang w:bidi="ar"/>
        </w:rPr>
        <w:t>、抗冲击性（恢复系数）：检测标准依据</w:t>
      </w:r>
      <w:r>
        <w:rPr>
          <w:rFonts w:ascii="Times New Roman" w:hAnsi="Times New Roman" w:eastAsia="宋体"/>
          <w:color w:val="auto"/>
          <w:shd w:val="clear" w:color="auto" w:fill="FFFFFF"/>
          <w:lang w:bidi="ar"/>
        </w:rPr>
        <w:t>GB/T4100-2015</w:t>
      </w:r>
      <w:r>
        <w:rPr>
          <w:rFonts w:hint="eastAsia" w:ascii="宋体" w:hAnsi="宋体" w:eastAsia="宋体" w:cs="宋体"/>
          <w:color w:val="auto"/>
          <w:shd w:val="clear" w:color="auto" w:fill="FFFFFF"/>
          <w:lang w:bidi="ar"/>
        </w:rPr>
        <w:t>，检测报告检测结果≥</w:t>
      </w:r>
      <w:r>
        <w:rPr>
          <w:rFonts w:ascii="Times New Roman" w:hAnsi="Times New Roman" w:eastAsia="宋体"/>
          <w:color w:val="auto"/>
          <w:shd w:val="clear" w:color="auto" w:fill="FFFFFF"/>
          <w:lang w:bidi="ar"/>
        </w:rPr>
        <w:t>0.88</w:t>
      </w:r>
      <w:r>
        <w:rPr>
          <w:rFonts w:hint="eastAsia" w:ascii="宋体" w:hAnsi="宋体" w:eastAsia="宋体" w:cs="宋体"/>
          <w:color w:val="auto"/>
          <w:shd w:val="clear" w:color="auto" w:fill="FFFFFF"/>
          <w:lang w:bidi="ar"/>
        </w:rPr>
        <w:t>；（提供</w:t>
      </w:r>
      <w:r>
        <w:rPr>
          <w:rFonts w:ascii="Times New Roman" w:hAnsi="Times New Roman" w:eastAsia="宋体"/>
          <w:color w:val="auto"/>
          <w:shd w:val="clear" w:color="auto" w:fill="FFFFFF"/>
          <w:lang w:bidi="ar"/>
        </w:rPr>
        <w:t>CMA</w:t>
      </w:r>
      <w:r>
        <w:rPr>
          <w:rFonts w:hint="eastAsia" w:ascii="宋体" w:hAnsi="宋体" w:eastAsia="宋体" w:cs="宋体"/>
          <w:color w:val="auto"/>
          <w:shd w:val="clear" w:color="auto" w:fill="FFFFFF"/>
          <w:lang w:bidi="ar"/>
        </w:rPr>
        <w:t>或</w:t>
      </w:r>
      <w:r>
        <w:rPr>
          <w:rFonts w:ascii="Times New Roman" w:hAnsi="Times New Roman" w:eastAsia="宋体"/>
          <w:color w:val="auto"/>
          <w:shd w:val="clear" w:color="auto" w:fill="FFFFFF"/>
          <w:lang w:bidi="ar"/>
        </w:rPr>
        <w:t>CNAS</w:t>
      </w:r>
      <w:r>
        <w:rPr>
          <w:rFonts w:hint="eastAsia" w:ascii="宋体" w:hAnsi="宋体" w:eastAsia="宋体" w:cs="宋体"/>
          <w:color w:val="auto"/>
          <w:shd w:val="clear" w:color="auto" w:fill="FFFFFF"/>
          <w:lang w:bidi="ar"/>
        </w:rPr>
        <w:t>认证认可的检测机构出具的测试报告复印件佐证材料）</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w:t>
      </w:r>
      <w:r>
        <w:rPr>
          <w:rStyle w:val="13"/>
          <w:rFonts w:hint="eastAsia" w:ascii="宋体" w:hAnsi="宋体" w:eastAsia="宋体" w:cs="宋体"/>
          <w:color w:val="auto"/>
          <w:shd w:val="clear" w:color="auto" w:fill="FFFFFF"/>
          <w:lang w:val="en-US" w:eastAsia="zh-CN" w:bidi="ar"/>
        </w:rPr>
        <w:t>90</w:t>
      </w:r>
      <w:r>
        <w:rPr>
          <w:rStyle w:val="13"/>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5.1.3</w:t>
      </w:r>
      <w:r>
        <w:rPr>
          <w:rFonts w:hint="eastAsia" w:ascii="宋体" w:hAnsi="宋体" w:eastAsia="宋体" w:cs="宋体"/>
          <w:color w:val="auto"/>
          <w:shd w:val="clear" w:color="auto" w:fill="FFFFFF"/>
          <w:lang w:bidi="ar"/>
        </w:rPr>
        <w:t>、压缩强度性能：需提供国家测试中心检测报告，检测标准依据</w:t>
      </w:r>
      <w:r>
        <w:rPr>
          <w:rFonts w:ascii="Times New Roman" w:hAnsi="Times New Roman" w:eastAsia="宋体"/>
          <w:color w:val="auto"/>
          <w:shd w:val="clear" w:color="auto" w:fill="FFFFFF"/>
          <w:lang w:bidi="ar"/>
        </w:rPr>
        <w:t>GB/T9966.1,</w:t>
      </w:r>
      <w:r>
        <w:rPr>
          <w:rFonts w:hint="eastAsia" w:ascii="宋体" w:hAnsi="宋体" w:eastAsia="宋体" w:cs="宋体"/>
          <w:color w:val="auto"/>
          <w:shd w:val="clear" w:color="auto" w:fill="FFFFFF"/>
          <w:lang w:bidi="ar"/>
        </w:rPr>
        <w:t>检测结果≥</w:t>
      </w:r>
      <w:r>
        <w:rPr>
          <w:rFonts w:ascii="Times New Roman" w:hAnsi="Times New Roman" w:eastAsia="宋体"/>
          <w:color w:val="auto"/>
          <w:shd w:val="clear" w:color="auto" w:fill="FFFFFF"/>
          <w:lang w:bidi="ar"/>
        </w:rPr>
        <w:t>489Mpa</w:t>
      </w:r>
      <w:r>
        <w:rPr>
          <w:rFonts w:hint="eastAsia" w:ascii="宋体" w:hAnsi="宋体" w:eastAsia="宋体" w:cs="宋体"/>
          <w:color w:val="auto"/>
          <w:shd w:val="clear" w:color="auto" w:fill="FFFFFF"/>
          <w:lang w:bidi="ar"/>
        </w:rPr>
        <w:t>；（提供</w:t>
      </w:r>
      <w:r>
        <w:rPr>
          <w:rFonts w:ascii="Times New Roman" w:hAnsi="Times New Roman" w:eastAsia="宋体"/>
          <w:color w:val="auto"/>
          <w:shd w:val="clear" w:color="auto" w:fill="FFFFFF"/>
          <w:lang w:bidi="ar"/>
        </w:rPr>
        <w:t>CMA</w:t>
      </w:r>
      <w:r>
        <w:rPr>
          <w:rFonts w:hint="eastAsia" w:ascii="宋体" w:hAnsi="宋体" w:eastAsia="宋体" w:cs="宋体"/>
          <w:color w:val="auto"/>
          <w:shd w:val="clear" w:color="auto" w:fill="FFFFFF"/>
          <w:lang w:bidi="ar"/>
        </w:rPr>
        <w:t>或</w:t>
      </w:r>
      <w:r>
        <w:rPr>
          <w:rFonts w:ascii="Times New Roman" w:hAnsi="Times New Roman" w:eastAsia="宋体"/>
          <w:color w:val="auto"/>
          <w:shd w:val="clear" w:color="auto" w:fill="FFFFFF"/>
          <w:lang w:bidi="ar"/>
        </w:rPr>
        <w:t>CNAS</w:t>
      </w:r>
      <w:r>
        <w:rPr>
          <w:rFonts w:hint="eastAsia" w:ascii="宋体" w:hAnsi="宋体" w:eastAsia="宋体" w:cs="宋体"/>
          <w:color w:val="auto"/>
          <w:shd w:val="clear" w:color="auto" w:fill="FFFFFF"/>
          <w:lang w:bidi="ar"/>
        </w:rPr>
        <w:t>认证认可的检测机构出具的测试报告复印件佐证材料）</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w:t>
      </w:r>
      <w:r>
        <w:rPr>
          <w:rStyle w:val="13"/>
          <w:rFonts w:hint="eastAsia" w:ascii="宋体" w:hAnsi="宋体" w:eastAsia="宋体" w:cs="宋体"/>
          <w:color w:val="auto"/>
          <w:shd w:val="clear" w:color="auto" w:fill="FFFFFF"/>
          <w:lang w:val="en-US" w:eastAsia="zh-CN" w:bidi="ar"/>
        </w:rPr>
        <w:t>91</w:t>
      </w:r>
      <w:r>
        <w:rPr>
          <w:rStyle w:val="13"/>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5.1.4</w:t>
      </w:r>
      <w:r>
        <w:rPr>
          <w:rFonts w:hint="eastAsia" w:ascii="宋体" w:hAnsi="宋体" w:eastAsia="宋体" w:cs="宋体"/>
          <w:color w:val="auto"/>
          <w:shd w:val="clear" w:color="auto" w:fill="FFFFFF"/>
          <w:lang w:bidi="ar"/>
        </w:rPr>
        <w:t>、物理承载性能：须通过国家认可认证机构按照</w:t>
      </w:r>
      <w:r>
        <w:rPr>
          <w:rFonts w:ascii="Times New Roman" w:hAnsi="Times New Roman" w:eastAsia="宋体"/>
          <w:color w:val="auto"/>
          <w:shd w:val="clear" w:color="auto" w:fill="FFFFFF"/>
          <w:lang w:bidi="ar"/>
        </w:rPr>
        <w:t>JG/T346-2011</w:t>
      </w:r>
      <w:r>
        <w:rPr>
          <w:rFonts w:hint="eastAsia" w:ascii="宋体" w:hAnsi="宋体" w:eastAsia="宋体" w:cs="宋体"/>
          <w:color w:val="auto"/>
          <w:shd w:val="clear" w:color="auto" w:fill="FFFFFF"/>
          <w:lang w:bidi="ar"/>
        </w:rPr>
        <w:t>标准检测</w:t>
      </w:r>
      <w:r>
        <w:rPr>
          <w:rFonts w:ascii="Times New Roman" w:hAnsi="Times New Roman" w:eastAsia="宋体"/>
          <w:color w:val="auto"/>
          <w:shd w:val="clear" w:color="auto" w:fill="FFFFFF"/>
          <w:lang w:bidi="ar"/>
        </w:rPr>
        <w:t>,</w:t>
      </w:r>
      <w:r>
        <w:rPr>
          <w:rFonts w:hint="eastAsia" w:ascii="宋体" w:hAnsi="宋体" w:eastAsia="宋体" w:cs="宋体"/>
          <w:color w:val="auto"/>
          <w:shd w:val="clear" w:color="auto" w:fill="FFFFFF"/>
          <w:lang w:bidi="ar"/>
        </w:rPr>
        <w:t>检测结果为≥</w:t>
      </w:r>
      <w:r>
        <w:rPr>
          <w:rFonts w:ascii="Times New Roman" w:hAnsi="Times New Roman" w:eastAsia="宋体"/>
          <w:color w:val="auto"/>
          <w:shd w:val="clear" w:color="auto" w:fill="FFFFFF"/>
          <w:lang w:bidi="ar"/>
        </w:rPr>
        <w:t>5.14*10</w:t>
      </w:r>
      <w:r>
        <w:rPr>
          <w:rFonts w:hint="eastAsia" w:ascii="宋体" w:hAnsi="宋体" w:eastAsia="宋体" w:cs="宋体"/>
          <w:color w:val="auto"/>
          <w:shd w:val="clear" w:color="auto" w:fill="FFFFFF"/>
          <w:lang w:bidi="ar"/>
        </w:rPr>
        <w:t>³</w:t>
      </w:r>
      <w:r>
        <w:rPr>
          <w:rFonts w:ascii="Times New Roman" w:hAnsi="Times New Roman" w:eastAsia="宋体"/>
          <w:color w:val="auto"/>
          <w:shd w:val="clear" w:color="auto" w:fill="FFFFFF"/>
          <w:lang w:bidi="ar"/>
        </w:rPr>
        <w:t>N</w:t>
      </w:r>
      <w:r>
        <w:rPr>
          <w:rFonts w:hint="eastAsia" w:ascii="宋体" w:hAnsi="宋体" w:eastAsia="宋体" w:cs="宋体"/>
          <w:color w:val="auto"/>
          <w:shd w:val="clear" w:color="auto" w:fill="FFFFFF"/>
          <w:lang w:bidi="ar"/>
        </w:rPr>
        <w:t>；（提供</w:t>
      </w:r>
      <w:r>
        <w:rPr>
          <w:rFonts w:ascii="Times New Roman" w:hAnsi="Times New Roman" w:eastAsia="宋体"/>
          <w:color w:val="auto"/>
          <w:shd w:val="clear" w:color="auto" w:fill="FFFFFF"/>
          <w:lang w:bidi="ar"/>
        </w:rPr>
        <w:t>CMA</w:t>
      </w:r>
      <w:r>
        <w:rPr>
          <w:rFonts w:hint="eastAsia" w:ascii="宋体" w:hAnsi="宋体" w:eastAsia="宋体" w:cs="宋体"/>
          <w:color w:val="auto"/>
          <w:shd w:val="clear" w:color="auto" w:fill="FFFFFF"/>
          <w:lang w:bidi="ar"/>
        </w:rPr>
        <w:t>或</w:t>
      </w:r>
      <w:r>
        <w:rPr>
          <w:rFonts w:ascii="Times New Roman" w:hAnsi="Times New Roman" w:eastAsia="宋体"/>
          <w:color w:val="auto"/>
          <w:shd w:val="clear" w:color="auto" w:fill="FFFFFF"/>
          <w:lang w:bidi="ar"/>
        </w:rPr>
        <w:t>CNAS</w:t>
      </w:r>
      <w:r>
        <w:rPr>
          <w:rFonts w:hint="eastAsia" w:ascii="宋体" w:hAnsi="宋体" w:eastAsia="宋体" w:cs="宋体"/>
          <w:color w:val="auto"/>
          <w:shd w:val="clear" w:color="auto" w:fill="FFFFFF"/>
          <w:lang w:bidi="ar"/>
        </w:rPr>
        <w:t>认证认可的检测机构出具的测试报告复印件佐证材料）</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w:t>
      </w:r>
      <w:r>
        <w:rPr>
          <w:rStyle w:val="13"/>
          <w:rFonts w:hint="eastAsia" w:ascii="宋体" w:hAnsi="宋体" w:eastAsia="宋体" w:cs="宋体"/>
          <w:color w:val="auto"/>
          <w:shd w:val="clear" w:color="auto" w:fill="FFFFFF"/>
          <w:lang w:val="en-US" w:eastAsia="zh-CN" w:bidi="ar"/>
        </w:rPr>
        <w:t>92</w:t>
      </w:r>
      <w:r>
        <w:rPr>
          <w:rStyle w:val="13"/>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5.1.5</w:t>
      </w:r>
      <w:r>
        <w:rPr>
          <w:rFonts w:hint="eastAsia" w:ascii="宋体" w:hAnsi="宋体" w:eastAsia="宋体" w:cs="宋体"/>
          <w:color w:val="auto"/>
          <w:shd w:val="clear" w:color="auto" w:fill="FFFFFF"/>
          <w:lang w:bidi="ar"/>
        </w:rPr>
        <w:t>、抗菌率参照</w:t>
      </w:r>
      <w:r>
        <w:rPr>
          <w:rFonts w:ascii="Times New Roman" w:hAnsi="Times New Roman" w:eastAsia="宋体"/>
          <w:color w:val="auto"/>
          <w:shd w:val="clear" w:color="auto" w:fill="FFFFFF"/>
          <w:lang w:bidi="ar"/>
        </w:rPr>
        <w:t>JISZ2801-2010</w:t>
      </w:r>
      <w:r>
        <w:rPr>
          <w:rFonts w:hint="eastAsia" w:ascii="宋体" w:hAnsi="宋体" w:eastAsia="宋体" w:cs="宋体"/>
          <w:color w:val="auto"/>
          <w:shd w:val="clear" w:color="auto" w:fill="FFFFFF"/>
          <w:lang w:bidi="ar"/>
        </w:rPr>
        <w:t>标准检测，检测内容需包含大肠杆菌、金黄色葡萄球菌、肺炎克雷伯氏菌、大肠埃希氏菌等菌种，检测结果均≥</w:t>
      </w:r>
      <w:r>
        <w:rPr>
          <w:rFonts w:ascii="Times New Roman" w:hAnsi="Times New Roman" w:eastAsia="宋体"/>
          <w:color w:val="auto"/>
          <w:shd w:val="clear" w:color="auto" w:fill="FFFFFF"/>
          <w:lang w:bidi="ar"/>
        </w:rPr>
        <w:t>99.9%</w:t>
      </w:r>
      <w:r>
        <w:rPr>
          <w:rFonts w:hint="eastAsia" w:ascii="宋体" w:hAnsi="宋体" w:eastAsia="宋体" w:cs="宋体"/>
          <w:color w:val="auto"/>
          <w:shd w:val="clear" w:color="auto" w:fill="FFFFFF"/>
          <w:lang w:bidi="ar"/>
        </w:rPr>
        <w:t>；</w:t>
      </w:r>
    </w:p>
    <w:p>
      <w:pPr>
        <w:pStyle w:val="9"/>
        <w:widowControl/>
        <w:spacing w:beforeAutospacing="0" w:after="15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3</w:t>
      </w:r>
      <w:r>
        <w:rPr>
          <w:rStyle w:val="13"/>
          <w:rFonts w:hint="eastAsia" w:ascii="宋体" w:hAnsi="宋体" w:eastAsia="宋体" w:cs="宋体"/>
          <w:color w:val="auto"/>
          <w:shd w:val="clear" w:color="auto" w:fill="FFFFFF"/>
          <w:lang w:bidi="ar"/>
        </w:rPr>
        <w:t>】</w:t>
      </w:r>
      <w:r>
        <w:rPr>
          <w:rFonts w:ascii="Times New Roman" w:hAnsi="Times New Roman" w:eastAsia="宋体"/>
          <w:color w:val="auto"/>
          <w:shd w:val="clear" w:color="auto" w:fill="FFFFFF"/>
          <w:lang w:bidi="ar"/>
        </w:rPr>
        <w:t>5.1.6</w:t>
      </w:r>
      <w:r>
        <w:rPr>
          <w:rFonts w:hint="eastAsia" w:ascii="宋体" w:hAnsi="宋体" w:eastAsia="宋体" w:cs="宋体"/>
          <w:color w:val="auto"/>
          <w:shd w:val="clear" w:color="auto" w:fill="FFFFFF"/>
          <w:lang w:bidi="ar"/>
        </w:rPr>
        <w:t>、负离子诱生量：陶瓷台面空气负离子诱生量符合</w:t>
      </w:r>
      <w:r>
        <w:rPr>
          <w:rFonts w:ascii="Times New Roman" w:hAnsi="Times New Roman" w:eastAsia="宋体"/>
          <w:color w:val="auto"/>
          <w:shd w:val="clear" w:color="auto" w:fill="FFFFFF"/>
          <w:lang w:bidi="ar"/>
        </w:rPr>
        <w:t>T/CBMCA004-2018&lt;</w:t>
      </w:r>
      <w:r>
        <w:rPr>
          <w:rFonts w:hint="eastAsia" w:ascii="宋体" w:hAnsi="宋体" w:eastAsia="宋体" w:cs="宋体"/>
          <w:color w:val="auto"/>
          <w:shd w:val="clear" w:color="auto" w:fill="FFFFFF"/>
          <w:lang w:bidi="ar"/>
        </w:rPr>
        <w:t>负离子陶瓷砖</w:t>
      </w:r>
      <w:r>
        <w:rPr>
          <w:rFonts w:ascii="Times New Roman" w:hAnsi="Times New Roman" w:eastAsia="宋体"/>
          <w:color w:val="auto"/>
          <w:shd w:val="clear" w:color="auto" w:fill="FFFFFF"/>
          <w:lang w:bidi="ar"/>
        </w:rPr>
        <w:t>&gt;</w:t>
      </w:r>
      <w:r>
        <w:rPr>
          <w:rFonts w:hint="eastAsia" w:ascii="宋体" w:hAnsi="宋体" w:eastAsia="宋体" w:cs="宋体"/>
          <w:color w:val="auto"/>
          <w:shd w:val="clear" w:color="auto" w:fill="FFFFFF"/>
          <w:lang w:bidi="ar"/>
        </w:rPr>
        <w:t>要求，要求负离子发生量≥</w:t>
      </w:r>
      <w:r>
        <w:rPr>
          <w:rFonts w:ascii="Times New Roman" w:hAnsi="Times New Roman" w:eastAsia="宋体"/>
          <w:color w:val="auto"/>
          <w:shd w:val="clear" w:color="auto" w:fill="FFFFFF"/>
          <w:lang w:bidi="ar"/>
        </w:rPr>
        <w:t>1859</w:t>
      </w:r>
      <w:r>
        <w:rPr>
          <w:rFonts w:hint="eastAsia" w:ascii="宋体" w:hAnsi="宋体" w:eastAsia="宋体" w:cs="宋体"/>
          <w:color w:val="auto"/>
          <w:shd w:val="clear" w:color="auto" w:fill="FFFFFF"/>
          <w:lang w:bidi="ar"/>
        </w:rPr>
        <w:t>个</w:t>
      </w:r>
      <w:r>
        <w:rPr>
          <w:rFonts w:ascii="Times New Roman" w:hAnsi="Times New Roman" w:eastAsia="宋体"/>
          <w:color w:val="auto"/>
          <w:shd w:val="clear" w:color="auto" w:fill="FFFFFF"/>
          <w:lang w:bidi="ar"/>
        </w:rPr>
        <w:t>/cm3</w:t>
      </w:r>
      <w:r>
        <w:rPr>
          <w:rFonts w:hint="eastAsia" w:ascii="宋体" w:hAnsi="宋体" w:eastAsia="宋体" w:cs="宋体"/>
          <w:color w:val="auto"/>
          <w:shd w:val="clear" w:color="auto" w:fill="FFFFFF"/>
          <w:lang w:bidi="ar"/>
        </w:rPr>
        <w:t>。</w:t>
      </w:r>
    </w:p>
    <w:p>
      <w:pPr>
        <w:pStyle w:val="9"/>
        <w:widowControl/>
        <w:spacing w:beforeAutospacing="0" w:after="150" w:afterAutospacing="0" w:line="480" w:lineRule="atLeast"/>
        <w:ind w:firstLine="420"/>
        <w:rPr>
          <w:rFonts w:ascii="宋体" w:hAnsi="宋体" w:eastAsia="宋体" w:cs="宋体"/>
          <w:color w:val="auto"/>
        </w:rPr>
      </w:pPr>
      <w:r>
        <w:rPr>
          <w:rFonts w:ascii="Times New Roman" w:hAnsi="Times New Roman" w:eastAsia="宋体"/>
          <w:color w:val="auto"/>
          <w:shd w:val="clear" w:color="auto" w:fill="FFFFFF"/>
          <w:lang w:bidi="ar"/>
        </w:rPr>
        <w:t>6</w:t>
      </w:r>
      <w:r>
        <w:rPr>
          <w:rFonts w:hint="eastAsia" w:ascii="宋体" w:hAnsi="宋体" w:eastAsia="宋体" w:cs="宋体"/>
          <w:color w:val="auto"/>
          <w:shd w:val="clear" w:color="auto" w:fill="FFFFFF"/>
          <w:lang w:bidi="ar"/>
        </w:rPr>
        <w:t>、空调设备：</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4</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6.1</w:t>
      </w:r>
      <w:r>
        <w:rPr>
          <w:rFonts w:hint="eastAsia" w:ascii="宋体" w:hAnsi="宋体" w:eastAsia="宋体" w:cs="宋体"/>
          <w:bCs/>
          <w:color w:val="auto"/>
        </w:rPr>
        <w:t>、变频多联式空调机组具有八重回油技术、冷媒压力实时监测技术、除霜不停机技术、冷媒冷却技术、室外机抗老化耐腐蚀技术、室内机面板抗老化设计、多电子膨胀阀控制技术、双重轮换技术。</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5</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6.2</w:t>
      </w:r>
      <w:r>
        <w:rPr>
          <w:rFonts w:hint="eastAsia" w:ascii="宋体" w:hAnsi="宋体" w:eastAsia="宋体" w:cs="宋体"/>
          <w:bCs/>
          <w:color w:val="auto"/>
        </w:rPr>
        <w:t>、变频多联空调机组室外机具有卓越的制冷能力，应具备高环温制冷能力零衰减、长配管制冷能力低衰减的性能认证证书；</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6</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6.3</w:t>
      </w:r>
      <w:r>
        <w:rPr>
          <w:rFonts w:hint="eastAsia" w:ascii="宋体" w:hAnsi="宋体" w:eastAsia="宋体" w:cs="宋体"/>
          <w:bCs/>
          <w:color w:val="auto"/>
        </w:rPr>
        <w:t>、多联机组具有智能化冷媒分配功能、自动除尘、名义制冷工况宽电压启动和 运行、名义制热工况宽电压启动和运行；</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7</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6.4</w:t>
      </w:r>
      <w:r>
        <w:rPr>
          <w:rFonts w:hint="eastAsia" w:ascii="宋体" w:hAnsi="宋体" w:eastAsia="宋体" w:cs="宋体"/>
          <w:bCs/>
          <w:color w:val="auto"/>
        </w:rPr>
        <w:t>、所投多联机系统需保证冬季制热时能够满足零下</w:t>
      </w:r>
      <w:r>
        <w:rPr>
          <w:rFonts w:ascii="宋体" w:hAnsi="宋体" w:eastAsia="宋体" w:cs="宋体"/>
          <w:bCs/>
          <w:color w:val="auto"/>
        </w:rPr>
        <w:t>-30</w:t>
      </w:r>
      <w:r>
        <w:rPr>
          <w:rFonts w:hint="eastAsia" w:ascii="宋体" w:hAnsi="宋体" w:eastAsia="宋体" w:cs="宋体"/>
          <w:bCs/>
          <w:color w:val="auto"/>
        </w:rPr>
        <w:t>℃正常使用，投标厂家设备应满足在</w:t>
      </w:r>
      <w:r>
        <w:rPr>
          <w:rFonts w:ascii="宋体" w:hAnsi="宋体" w:eastAsia="宋体" w:cs="宋体"/>
          <w:bCs/>
          <w:color w:val="auto"/>
        </w:rPr>
        <w:t>-15</w:t>
      </w:r>
      <w:r>
        <w:rPr>
          <w:rFonts w:hint="eastAsia" w:ascii="宋体" w:hAnsi="宋体" w:eastAsia="宋体" w:cs="宋体"/>
          <w:bCs/>
          <w:color w:val="auto"/>
        </w:rPr>
        <w:t>℃制热不衰减的要求。（提供第三方检测报告）</w:t>
      </w:r>
    </w:p>
    <w:p>
      <w:pPr>
        <w:pStyle w:val="9"/>
        <w:widowControl/>
        <w:spacing w:beforeAutospacing="0" w:after="150" w:afterAutospacing="0" w:line="480" w:lineRule="atLeast"/>
        <w:ind w:firstLine="420"/>
        <w:rPr>
          <w:rFonts w:ascii="宋体" w:hAnsi="宋体" w:eastAsia="宋体" w:cs="宋体"/>
          <w:bCs/>
          <w:color w:val="auto"/>
        </w:rPr>
      </w:pPr>
      <w:r>
        <w:rPr>
          <w:rStyle w:val="13"/>
          <w:rFonts w:hint="eastAsia" w:ascii="宋体" w:hAnsi="宋体" w:eastAsia="宋体" w:cs="宋体"/>
          <w:color w:val="auto"/>
          <w:shd w:val="clear" w:color="auto" w:fill="FFFFFF"/>
          <w:lang w:bidi="ar"/>
        </w:rPr>
        <w:t>【评标项39</w:t>
      </w:r>
      <w:r>
        <w:rPr>
          <w:rStyle w:val="13"/>
          <w:rFonts w:hint="eastAsia" w:ascii="宋体" w:hAnsi="宋体" w:eastAsia="宋体" w:cs="宋体"/>
          <w:color w:val="auto"/>
          <w:shd w:val="clear" w:color="auto" w:fill="FFFFFF"/>
          <w:lang w:val="en-US" w:eastAsia="zh-CN" w:bidi="ar"/>
        </w:rPr>
        <w:t>8</w:t>
      </w:r>
      <w:r>
        <w:rPr>
          <w:rStyle w:val="13"/>
          <w:rFonts w:hint="eastAsia" w:ascii="宋体" w:hAnsi="宋体" w:eastAsia="宋体" w:cs="宋体"/>
          <w:color w:val="auto"/>
          <w:shd w:val="clear" w:color="auto" w:fill="FFFFFF"/>
          <w:lang w:bidi="ar"/>
        </w:rPr>
        <w:t>】</w:t>
      </w:r>
      <w:r>
        <w:rPr>
          <w:rFonts w:ascii="宋体" w:hAnsi="宋体" w:eastAsia="宋体" w:cs="宋体"/>
          <w:bCs/>
          <w:color w:val="auto"/>
        </w:rPr>
        <w:t>6.5</w:t>
      </w:r>
      <w:r>
        <w:rPr>
          <w:rFonts w:hint="eastAsia" w:ascii="宋体" w:hAnsi="宋体" w:eastAsia="宋体" w:cs="宋体"/>
          <w:bCs/>
          <w:color w:val="auto"/>
        </w:rPr>
        <w:t>、所投全直流变频多联空调具备压缩机、风机、变频器、传感器及模块间运转后备功能。</w:t>
      </w:r>
    </w:p>
    <w:p>
      <w:pPr>
        <w:pStyle w:val="9"/>
        <w:widowControl/>
        <w:spacing w:beforeAutospacing="0" w:after="150" w:afterAutospacing="0" w:line="480" w:lineRule="atLeast"/>
        <w:ind w:firstLine="420"/>
        <w:rPr>
          <w:rFonts w:ascii="宋体" w:hAnsi="宋体" w:eastAsia="宋体" w:cs="宋体"/>
          <w:bCs/>
          <w:color w:val="auto"/>
        </w:rPr>
      </w:pPr>
      <w:r>
        <w:rPr>
          <w:rFonts w:hint="eastAsia" w:ascii="宋体" w:hAnsi="宋体" w:eastAsia="宋体" w:cs="宋体"/>
          <w:bCs/>
          <w:color w:val="auto"/>
        </w:rPr>
        <w:t>▲</w:t>
      </w:r>
      <w:r>
        <w:rPr>
          <w:rFonts w:ascii="宋体" w:hAnsi="宋体" w:eastAsia="宋体" w:cs="宋体"/>
          <w:bCs/>
          <w:color w:val="auto"/>
        </w:rPr>
        <w:t>7.</w:t>
      </w:r>
      <w:r>
        <w:rPr>
          <w:rFonts w:hint="eastAsia" w:ascii="宋体" w:hAnsi="宋体" w:eastAsia="宋体" w:cs="宋体"/>
          <w:bCs/>
          <w:color w:val="auto"/>
        </w:rPr>
        <w:t>所投多联机产品净化型室内机部分，要综合考虑对 </w:t>
      </w:r>
      <w:r>
        <w:rPr>
          <w:rFonts w:ascii="宋体" w:hAnsi="宋体" w:eastAsia="宋体" w:cs="宋体"/>
          <w:bCs/>
          <w:color w:val="auto"/>
        </w:rPr>
        <w:t>PM2.5 </w:t>
      </w:r>
      <w:r>
        <w:rPr>
          <w:rFonts w:hint="eastAsia" w:ascii="宋体" w:hAnsi="宋体" w:eastAsia="宋体" w:cs="宋体"/>
          <w:bCs/>
          <w:color w:val="auto"/>
        </w:rPr>
        <w:t>、甲醛及微生物的净化效率，其中 </w:t>
      </w:r>
      <w:r>
        <w:rPr>
          <w:rFonts w:ascii="宋体" w:hAnsi="宋体" w:eastAsia="宋体" w:cs="宋体"/>
          <w:bCs/>
          <w:color w:val="auto"/>
        </w:rPr>
        <w:t>PM2.5</w:t>
      </w:r>
      <w:r>
        <w:rPr>
          <w:rFonts w:hint="eastAsia" w:ascii="宋体" w:hAnsi="宋体" w:eastAsia="宋体" w:cs="宋体"/>
          <w:bCs/>
          <w:color w:val="auto"/>
        </w:rPr>
        <w:t>净化效率≥</w:t>
      </w:r>
      <w:r>
        <w:rPr>
          <w:rFonts w:ascii="宋体" w:hAnsi="宋体" w:eastAsia="宋体" w:cs="宋体"/>
          <w:bCs/>
          <w:color w:val="auto"/>
        </w:rPr>
        <w:t>97%</w:t>
      </w:r>
      <w:r>
        <w:rPr>
          <w:rFonts w:hint="eastAsia" w:ascii="宋体" w:hAnsi="宋体" w:eastAsia="宋体" w:cs="宋体"/>
          <w:bCs/>
          <w:color w:val="auto"/>
        </w:rPr>
        <w:t>（</w:t>
      </w:r>
      <w:r>
        <w:rPr>
          <w:rFonts w:ascii="宋体" w:hAnsi="宋体" w:eastAsia="宋体" w:cs="宋体"/>
          <w:bCs/>
          <w:color w:val="auto"/>
        </w:rPr>
        <w:t>60min</w:t>
      </w:r>
      <w:r>
        <w:rPr>
          <w:rFonts w:hint="eastAsia" w:ascii="宋体" w:hAnsi="宋体" w:eastAsia="宋体" w:cs="宋体"/>
          <w:bCs/>
          <w:color w:val="auto"/>
        </w:rPr>
        <w:t>），甲醛净化效率≥</w:t>
      </w:r>
      <w:r>
        <w:rPr>
          <w:rFonts w:ascii="宋体" w:hAnsi="宋体" w:eastAsia="宋体" w:cs="宋体"/>
          <w:bCs/>
          <w:color w:val="auto"/>
        </w:rPr>
        <w:t>90%</w:t>
      </w:r>
      <w:r>
        <w:rPr>
          <w:rFonts w:hint="eastAsia" w:ascii="宋体" w:hAnsi="宋体" w:eastAsia="宋体" w:cs="宋体"/>
          <w:bCs/>
          <w:color w:val="auto"/>
        </w:rPr>
        <w:t>（</w:t>
      </w:r>
      <w:r>
        <w:rPr>
          <w:rFonts w:ascii="宋体" w:hAnsi="宋体" w:eastAsia="宋体" w:cs="宋体"/>
          <w:bCs/>
          <w:color w:val="auto"/>
        </w:rPr>
        <w:t>60min</w:t>
      </w:r>
      <w:r>
        <w:rPr>
          <w:rFonts w:hint="eastAsia" w:ascii="宋体" w:hAnsi="宋体" w:eastAsia="宋体" w:cs="宋体"/>
          <w:bCs/>
          <w:color w:val="auto"/>
        </w:rPr>
        <w:t>），生物的净化效率≥</w:t>
      </w:r>
      <w:r>
        <w:rPr>
          <w:rFonts w:ascii="宋体" w:hAnsi="宋体" w:eastAsia="宋体" w:cs="宋体"/>
          <w:bCs/>
          <w:color w:val="auto"/>
        </w:rPr>
        <w:t>99%</w:t>
      </w:r>
      <w:r>
        <w:rPr>
          <w:rFonts w:hint="eastAsia" w:ascii="宋体" w:hAnsi="宋体" w:eastAsia="宋体" w:cs="宋体"/>
          <w:bCs/>
          <w:color w:val="auto"/>
        </w:rPr>
        <w:t>（</w:t>
      </w:r>
      <w:r>
        <w:rPr>
          <w:rFonts w:ascii="宋体" w:hAnsi="宋体" w:eastAsia="宋体" w:cs="宋体"/>
          <w:bCs/>
          <w:color w:val="auto"/>
        </w:rPr>
        <w:t>120min</w:t>
      </w:r>
      <w:r>
        <w:rPr>
          <w:rFonts w:hint="eastAsia" w:ascii="宋体" w:hAnsi="宋体" w:eastAsia="宋体" w:cs="宋体"/>
          <w:bCs/>
          <w:color w:val="auto"/>
        </w:rPr>
        <w:t>），需同时满足要求。（以上效率的达成需在</w:t>
      </w:r>
      <w:r>
        <w:rPr>
          <w:rFonts w:ascii="宋体" w:hAnsi="宋体" w:eastAsia="宋体" w:cs="宋体"/>
          <w:bCs/>
          <w:color w:val="auto"/>
        </w:rPr>
        <w:t>30m</w:t>
      </w:r>
      <w:r>
        <w:rPr>
          <w:rFonts w:hint="eastAsia" w:ascii="宋体" w:hAnsi="宋体" w:eastAsia="宋体" w:cs="宋体"/>
          <w:bCs/>
          <w:color w:val="auto"/>
        </w:rPr>
        <w:t>³实验舱环境下，提供所投多联机品牌同系列产品第三方出具的检测报告）</w:t>
      </w:r>
    </w:p>
    <w:p>
      <w:pPr>
        <w:rPr>
          <w:color w:val="auto"/>
          <w:shd w:val="clear" w:color="auto" w:fill="FFFFFF"/>
        </w:rPr>
      </w:pP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三、商务要求（以“★”标示的内容为不允许负偏离的实质性要求）</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采购包1：</w:t>
      </w:r>
    </w:p>
    <w:tbl>
      <w:tblPr>
        <w:tblStyle w:val="11"/>
        <w:tblW w:w="8546"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854"/>
        <w:gridCol w:w="855"/>
        <w:gridCol w:w="1282"/>
        <w:gridCol w:w="555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序号</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参数性质</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类型</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b/>
                <w:bCs/>
                <w:color w:val="auto"/>
                <w:sz w:val="24"/>
              </w:rPr>
            </w:pPr>
            <w:r>
              <w:rPr>
                <w:rFonts w:hint="eastAsia" w:ascii="宋体" w:hAnsi="宋体" w:eastAsia="宋体" w:cs="宋体"/>
                <w:b/>
                <w:bCs/>
                <w:color w:val="auto"/>
                <w:kern w:val="0"/>
                <w:sz w:val="24"/>
                <w:lang w:bidi="ar"/>
              </w:rPr>
              <w:t>要求</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1</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交货时间</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自合同签订之日起180日（具体时间以合同约定时间为准）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2</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交货地点</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采购人指定地点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3</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交货条件</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验收合格交付使用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4</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是否邀请投标人验收</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不邀请投标人验收</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5</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履约验收方式</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1、期次1，说明：按招标文件要求和合同约定的技术参数执行，按要求供货并安装完毕，验收合格，交付使用。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6</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合同支付方式</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1、合同签订后，中标人向采购人提供中标金额30%的发票，经采购人财务审核无误，并待财政专项经费到位后，向中标人支付合同金额40%的预付款，达到付款条件起15日内，支付合同总金额的40.00%</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2、仪器设备（不含实验室配套设施）到货经采购人查验后，中标人向采购人提供中标金额40%的发票，经采购人财务审核无误，并待财政专项经费到位后，达到付款条件起15日内，支付合同总金额的40.00%</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3、实验室配套设施安装和仪器设备调试完成后，中标人向采购人提供中标金额20%的发票，经采购人财务审核无误，并待财政专项经费到位后，达到付款条件起15日内，支付合同总金额的20.00%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85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7</w:t>
            </w:r>
          </w:p>
        </w:tc>
        <w:tc>
          <w:tcPr>
            <w:tcW w:w="8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w:t>
            </w:r>
          </w:p>
        </w:tc>
        <w:tc>
          <w:tcPr>
            <w:tcW w:w="128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履约保证金</w:t>
            </w:r>
          </w:p>
        </w:tc>
        <w:tc>
          <w:tcPr>
            <w:tcW w:w="5555"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wordWrap w:val="0"/>
              <w:spacing w:line="480" w:lineRule="atLeast"/>
              <w:jc w:val="left"/>
              <w:rPr>
                <w:rFonts w:ascii="宋体" w:hAnsi="宋体" w:eastAsia="宋体" w:cs="宋体"/>
                <w:color w:val="auto"/>
                <w:sz w:val="24"/>
              </w:rPr>
            </w:pPr>
            <w:r>
              <w:rPr>
                <w:rFonts w:hint="eastAsia" w:ascii="宋体" w:hAnsi="宋体" w:eastAsia="宋体" w:cs="宋体"/>
                <w:color w:val="auto"/>
                <w:kern w:val="0"/>
                <w:sz w:val="24"/>
                <w:lang w:bidi="ar"/>
              </w:rPr>
              <w:t>缴纳, 本采购包履约保证金为合同金额的3.0%</w:t>
            </w:r>
          </w:p>
          <w:p>
            <w:pPr>
              <w:pStyle w:val="9"/>
              <w:widowControl/>
              <w:wordWrap w:val="0"/>
              <w:spacing w:beforeAutospacing="0" w:afterAutospacing="0" w:line="480" w:lineRule="atLeast"/>
              <w:rPr>
                <w:rFonts w:ascii="宋体" w:hAnsi="宋体" w:eastAsia="宋体" w:cs="宋体"/>
                <w:color w:val="auto"/>
              </w:rPr>
            </w:pPr>
            <w:r>
              <w:rPr>
                <w:rFonts w:hint="eastAsia" w:ascii="宋体" w:hAnsi="宋体" w:eastAsia="宋体" w:cs="宋体"/>
                <w:color w:val="auto"/>
              </w:rPr>
              <w:t>说明：中标人应在签订政府采购合同后15个工作日内向采购人缴纳合同总金额的3%作为履约保证金，通过银行转账缴纳履约保证金,在中标人完全履约结束后且无违约的前提下无息退还。若合同履行过程中，中标人不按合同约定履约的，采购人对中标人已缴纳的履约保证金作“不予退还”处理。</w:t>
            </w:r>
          </w:p>
        </w:tc>
      </w:tr>
    </w:tbl>
    <w:p>
      <w:pPr>
        <w:pStyle w:val="9"/>
        <w:widowControl/>
        <w:shd w:val="clear" w:color="auto" w:fill="FFFFFF"/>
        <w:spacing w:beforeAutospacing="0" w:afterAutospacing="0" w:line="480" w:lineRule="atLeast"/>
        <w:rPr>
          <w:rFonts w:ascii="宋体" w:hAnsi="宋体" w:eastAsia="宋体" w:cs="宋体"/>
          <w:color w:val="auto"/>
          <w:shd w:val="clear" w:color="auto" w:fill="FFFFFF"/>
        </w:rPr>
      </w:pPr>
      <w:r>
        <w:rPr>
          <w:rFonts w:hint="eastAsia" w:ascii="宋体" w:hAnsi="宋体" w:eastAsia="宋体" w:cs="宋体"/>
          <w:color w:val="auto"/>
          <w:shd w:val="clear" w:color="auto" w:fill="FFFFFF"/>
        </w:rPr>
        <w:t>其他商务要求：</w:t>
      </w:r>
      <w:r>
        <w:rPr>
          <w:rFonts w:hint="eastAsia" w:ascii="宋体" w:hAnsi="宋体" w:eastAsia="宋体" w:cs="宋体"/>
          <w:color w:val="auto"/>
        </w:rPr>
        <w:t>要求中标后、签订合同前对产品再一次进行测试或演示。</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（一）报价要求</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1、投标人根据采购内容报价，投标人所报投标总价不得超过本项目总价的最高限价，超出将导致投标无效。</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总报价为投标人所报总报价为完成本项目所有内容（含参与招标、投标响应全至本项目结算完结）所有可能发生的费用，包括但不限于产品（含主要设备、配件、辅材）制造、实验室装修、运输装卸费、保险费、安装费、调试费、行政规费与税费、产品检验检测、各设备的安装调试及辅材的费用、操作人员培训费、管理费、验收费、质保期技术支持及运行维护费用、招标代理服务费等与本项目相关的一切费用。中标人应充分考虑可能出现的其他风险，且该项风险费应在报价中应予包含。投标人应自行核算项目正常、安全运行所必需的费用，并在本次投标响应文件的报价中自行考虑。响应文件中标明的价格在合同执行过程中是固定不变的，不得以任何理由予以变更。以可变动价格提交的报价将被认为是非实质响应而被拒绝。</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3、本次项目为整体招标，采购人不接受有选择性的投标方案和报价。报价内容必须包含招标文件所要求的招标要求及技术要求。</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4、投标人需自行勘查现场条件，考虑各方面因素综合报价，中标后投标人因未勘查现场或勘察后未考虑到的因素，所产生的额外费用，采购人不另行支付。</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5、投标人所报总报价中漏报、少报的费用，视为此项费用已隐含在投标报价中，成交后不得再向采购人收取任何费用。</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6、投标人须按序号进行分项报价。本项目将根据中标方实际供货量，按中标综合单价进行结算。成交后采购人将根据中标人成交单价×验收后的实际供货量进行结算。投标人投标总价不得超过项目预算总价或最高控制总价，否则投标报价无效。</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（二）质量保证及要求</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1、中标人保证按自身的承诺，向采购人提供符合标准及要求的产品。提供的材料、产品为全新的、原厂生产的、成熟的、完整的和安全可靠的，产品是用一流工艺和最佳材料制造而成的，技术性能最先进的、符合国家质量检测标准或具有中国 有关部门合格证明且技术经济性能符合本次采购要求的。</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2、中标人应对由于施工工艺或材料的缺陷而发生的任何不足或故障负责。</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3、执行的标准及要求：按招标文件的规定；国家和地方相关标准的规定；土建、给排水、供配电、照明等专业提供的图纸和技术资料；生产厂家提供的产品标准、产品说明书、合格证书及技术资料等。</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4、工程质量应当达到合同、招标文件约定的质量标准，质量标准的评定以国家或行业的质量检验评定标准为依据。因中标人原因工程质量达不到约定的质量标准，中标人承担违约责任。</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5、双方对工程质量有争议，由双方同意的工程质量检测机构鉴定，所需费用及因此造成的损失，由责任方承担。双方均有责任，由双方根据其责任分别承担。</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（三）运输、安装及验收</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1、由中标人负责将货物按签订合同的具体数量、具体地点运送到最终目的地，中标人负责派技术人员到现场进行安装、调试，并负责调试至验收合格交付采购人使用。中标人应在货物运抵现场两个工作日前。</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货物包装均应有良好的防湿、防锈、防潮、防雨、防腐及防碰撞的措施，货物包装应足以承受整个过程中的运输、转运、储存等，充分考虑到运输途中的各种情况（如暴露于恶劣气候等）和当地的气候特点，以及露天存放的需要。货物包装必须与运输方式相适应，包装方式的确定及包装费用均由中标人负责；由于不适当的包装而造成货物在运输过程中有任何损坏由中标人负责。</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3、现场安装：厂家工程技术人员在用户提出安装要求后，在24小时内到达现场进行设备安装，所需工具器材，交通食宿厂家自理。</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4、检验调试：厂家工程技术人员现场安装的同时，对设备进行检验调试，使设备各项技术指标达到要求。设备调试期间所须的标准溶液和辅助试剂由中标人免费提供。中标人负责组织专业技术人员进行货物调试时，采购人应提供必须的基本条件和专人配合，保证各项安装工作顺利进行。</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lang w:val="en-US" w:eastAsia="zh-CN"/>
        </w:rPr>
        <w:t>5</w:t>
      </w:r>
      <w:r>
        <w:rPr>
          <w:rFonts w:hint="eastAsia" w:ascii="宋体" w:hAnsi="宋体" w:eastAsia="宋体" w:cs="宋体"/>
          <w:color w:val="auto"/>
          <w:shd w:val="clear" w:color="auto" w:fill="FFFFFF"/>
        </w:rPr>
        <w:t>、验收</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lang w:val="en-US" w:eastAsia="zh-CN"/>
        </w:rPr>
        <w:t>5</w:t>
      </w:r>
      <w:r>
        <w:rPr>
          <w:rFonts w:hint="eastAsia" w:ascii="宋体" w:hAnsi="宋体" w:eastAsia="宋体" w:cs="宋体"/>
          <w:color w:val="auto"/>
          <w:shd w:val="clear" w:color="auto" w:fill="FFFFFF"/>
        </w:rPr>
        <w:t>.1 中标人所提供并完成安装调试的货物，要达到采购人对货物的</w:t>
      </w:r>
      <w:r>
        <w:rPr>
          <w:rFonts w:hint="eastAsia" w:ascii="宋体" w:hAnsi="宋体" w:eastAsia="宋体" w:cs="宋体"/>
          <w:color w:val="auto"/>
          <w:shd w:val="clear" w:color="auto" w:fill="FFFFFF"/>
          <w:lang w:val="en-US" w:eastAsia="zh-CN"/>
        </w:rPr>
        <w:t>配置及</w:t>
      </w:r>
      <w:r>
        <w:rPr>
          <w:rFonts w:hint="eastAsia" w:ascii="宋体" w:hAnsi="宋体" w:eastAsia="宋体" w:cs="宋体"/>
          <w:color w:val="auto"/>
          <w:shd w:val="clear" w:color="auto" w:fill="FFFFFF"/>
        </w:rPr>
        <w:t>使用要求</w:t>
      </w:r>
      <w:r>
        <w:rPr>
          <w:rFonts w:hint="eastAsia" w:ascii="宋体" w:hAnsi="宋体" w:eastAsia="宋体" w:cs="宋体"/>
          <w:color w:val="auto"/>
          <w:shd w:val="clear" w:color="auto" w:fill="FFFFFF"/>
          <w:lang w:eastAsia="zh-CN"/>
        </w:rPr>
        <w:t>。</w:t>
      </w:r>
      <w:r>
        <w:rPr>
          <w:rFonts w:hint="eastAsia" w:ascii="宋体" w:hAnsi="宋体" w:eastAsia="宋体" w:cs="宋体"/>
          <w:color w:val="auto"/>
          <w:shd w:val="clear" w:color="auto" w:fill="FFFFFF"/>
        </w:rPr>
        <w:t>具体要求以采购人根据法律法规及本项目</w:t>
      </w:r>
      <w:r>
        <w:rPr>
          <w:rFonts w:hint="eastAsia" w:ascii="宋体" w:hAnsi="宋体" w:eastAsia="宋体" w:cs="宋体"/>
          <w:color w:val="auto"/>
          <w:shd w:val="clear" w:color="auto" w:fill="FFFFFF"/>
          <w:lang w:val="en-US" w:eastAsia="zh-CN"/>
        </w:rPr>
        <w:t>招标</w:t>
      </w:r>
      <w:r>
        <w:rPr>
          <w:rFonts w:hint="eastAsia" w:ascii="宋体" w:hAnsi="宋体" w:eastAsia="宋体" w:cs="宋体"/>
          <w:color w:val="auto"/>
          <w:shd w:val="clear" w:color="auto" w:fill="FFFFFF"/>
        </w:rPr>
        <w:t>文件等规定或约定判断为准。</w:t>
      </w:r>
      <w:bookmarkStart w:id="4" w:name="_GoBack"/>
      <w:bookmarkEnd w:id="4"/>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lang w:val="en-US" w:eastAsia="zh-CN"/>
        </w:rPr>
        <w:t>5</w:t>
      </w:r>
      <w:r>
        <w:rPr>
          <w:rFonts w:hint="eastAsia" w:ascii="宋体" w:hAnsi="宋体" w:eastAsia="宋体" w:cs="宋体"/>
          <w:color w:val="auto"/>
          <w:shd w:val="clear" w:color="auto" w:fill="FFFFFF"/>
        </w:rPr>
        <w:t>.2施工期间，若采购人提出主要施工材料在进场前应出具产品合格文件、检测报告，中标人应及时提供并经采购人审核后方可使用于施工，其性能及技术指标应达到施工图中提供的相关参数及要求。若检测不合格发现提供虚假材料，将取消成交资格没收履约保证金，并追究其相关责任。</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lang w:val="en-US" w:eastAsia="zh-CN"/>
        </w:rPr>
        <w:t>5</w:t>
      </w:r>
      <w:r>
        <w:rPr>
          <w:rFonts w:hint="eastAsia" w:ascii="宋体" w:hAnsi="宋体" w:eastAsia="宋体" w:cs="宋体"/>
          <w:color w:val="auto"/>
          <w:shd w:val="clear" w:color="auto" w:fill="FFFFFF"/>
        </w:rPr>
        <w:t>.3采购人有权委托国内有资质的单位对设备性能、精度进行复核，验收过程中所发生的一切费用均由中标人承担。</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（四）资料文档</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1、技术资料：中标人应向采购人提供不少于以下列明的中文(或英文)技术资料，在设备交货时同时提供；并提供货物相关的证明文件或资料，其费用应包括在报价内。成交后应提供的技术资料如下：</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1)出厂明细表(装箱单)；</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2)出厂检验报告、合格证书；</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3)使用手册(中文)；保养维修手册；</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4)使用说明书；</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5)提供原产地制造商的产品证明；</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6)合同中要求的其它文件资料。</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（五）培训和咨询</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1、投标人须针对本项目对项目配备人员提供专项技术培训服务。</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2、中标人应派技术工程师在采购人指定地点对最终用户人员进行技术培训。使操作维护、使用技术人员达到能独立、熟练操作的程度，提供免费的应用技术培训，其培训内容指的是仪器设备的基本原理、安装、调试、操作使用和日常保养维修知识等，受训人员经过培训后，应能熟练掌握和使用所培训的技术内容，能够独立承担和完成工作；不收取任何费用。</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3、仪器厂家每年要免费上门进行回访，回访期间免费对仪器进行维护及对使用人员进行培训等。</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4、自整体项目验收合格之日起二年，投标人需派专人（不少于二人）驻点保障项目运行维护。</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（六）售后服务</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1、本项目要求自整体个项目验收合格之日起质量保修期至少为两年（设备的质量保修期按相应厂家或国家质量保证期限规定执行），保修期内中标人必须保证对整个项目非人为破坏而损坏的保修保养，并按照本项目特点提供终身良好的售后服务，所需费用包含在成交总价中。</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2、在质量保修期内由于施工质量原因造成的任何损伤和损坏，中标人须负责修理或更换。</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3、在质量保修期结束前，须由中标人的工程师和采购人代表进行一次全面检查，任何缺陷必须由中标人负责修理或更换。在修复之后，中标人应将缺陷原因、修理内容、完成修理及恢复正常的时间和日期等报告采购人。</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4、在质量保修期内由于产品本身质量原因造成的任何损伤和损坏，中标人须负责免费修理或更换。</w:t>
      </w:r>
    </w:p>
    <w:p>
      <w:pPr>
        <w:pStyle w:val="9"/>
        <w:widowControl/>
        <w:spacing w:beforeAutospacing="0" w:afterAutospacing="0" w:line="480" w:lineRule="atLeast"/>
        <w:ind w:firstLine="482"/>
        <w:rPr>
          <w:rFonts w:ascii="宋体" w:hAnsi="宋体" w:eastAsia="宋体" w:cs="宋体"/>
          <w:color w:val="auto"/>
        </w:rPr>
      </w:pPr>
      <w:r>
        <w:rPr>
          <w:rStyle w:val="13"/>
          <w:rFonts w:hint="eastAsia" w:ascii="宋体" w:hAnsi="宋体" w:eastAsia="宋体" w:cs="宋体"/>
          <w:color w:val="auto"/>
          <w:shd w:val="clear" w:color="auto" w:fill="FFFFFF"/>
        </w:rPr>
        <w:t>5、</w:t>
      </w:r>
      <w:r>
        <w:rPr>
          <w:rFonts w:hint="eastAsia" w:ascii="宋体" w:hAnsi="宋体" w:eastAsia="宋体" w:cs="宋体"/>
          <w:color w:val="auto"/>
          <w:shd w:val="clear" w:color="auto" w:fill="FFFFFF"/>
        </w:rPr>
        <w:t>维修响应时间：</w:t>
      </w:r>
      <w:r>
        <w:rPr>
          <w:rStyle w:val="13"/>
          <w:rFonts w:hint="eastAsia" w:ascii="宋体" w:hAnsi="宋体" w:eastAsia="宋体" w:cs="宋体"/>
          <w:color w:val="auto"/>
          <w:shd w:val="clear" w:color="auto" w:fill="FFFFFF"/>
        </w:rPr>
        <w:t>质量保修期内保养包括定期对整个项目作定期检查、护养和清洁，并提供详细的保养程序表和保养工作内容给采购人。</w:t>
      </w:r>
      <w:r>
        <w:rPr>
          <w:rFonts w:hint="eastAsia" w:ascii="宋体" w:hAnsi="宋体" w:eastAsia="宋体" w:cs="宋体"/>
          <w:color w:val="auto"/>
          <w:shd w:val="clear" w:color="auto" w:fill="FFFFFF"/>
        </w:rPr>
        <w:t>在保修期内设备有质量问题，中标人要在接到故障通知后1小时内电话响应，如不能解决问题将派人在4小时内赶到现场并在到达现场后24小时内现场排除故障，恢复正常运行；如不能解决问题，中标人须立即提供相同规格的设备作代用品且必须保证正常运行，如不能提供，所产生的费用及损失由中标人承担。</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6、如果厂家有同系列仪器软件升级，采购人享有免费升级的权力。</w:t>
      </w:r>
    </w:p>
    <w:p>
      <w:pPr>
        <w:pStyle w:val="9"/>
        <w:widowControl/>
        <w:spacing w:beforeAutospacing="0" w:afterAutospacing="0" w:line="480" w:lineRule="atLeast"/>
        <w:ind w:firstLine="420"/>
        <w:rPr>
          <w:rFonts w:ascii="宋体" w:hAnsi="宋体" w:eastAsia="宋体" w:cs="宋体"/>
          <w:color w:val="auto"/>
        </w:rPr>
      </w:pPr>
      <w:r>
        <w:rPr>
          <w:rStyle w:val="13"/>
          <w:rFonts w:hint="eastAsia" w:ascii="宋体" w:hAnsi="宋体" w:eastAsia="宋体" w:cs="宋体"/>
          <w:color w:val="auto"/>
          <w:shd w:val="clear" w:color="auto" w:fill="FFFFFF"/>
        </w:rPr>
        <w:t>（七）违约责任</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1、因中标人原因造成采购合同无法按时签订的，视为中标人违约，对采购人造成的损失的，中标人还需另行支付相应的赔偿。如超过30日仍无法签订采购合同的，采购人有权取消中标人的中标资格，另行组织招投标，所造成的损失由中标人承担；同时，被取消中标资格的中标人不得再行报名参加此项目。</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2、在签定采购合同之后，有下列情形之一的，将视为中标人违约，进一步提出追索和索赔：</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2.1中标人提供的产品不是原装正品或来源渠道不合法、不合规，不能享受原厂或原厂认可的售后维修机构售 后服务的；</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2.3中标人未能按合同规定履行其义务的；</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2.4在签定采购合同之后，中标人要求解除合同的；</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3、中标人未在合同约定的时间内完成安装的，每逾期一天支付违约金人民币2000元，由采购人从中标人的合同款给予直接扣除。（因采购人原因或不可抗力原因除外）</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4、本合同不得以任何名义和理由进行分包或转包。如有发现，视为中标人违约，采购人有权单方终止合同，对采购人造成损失的，需另行支付相应的赔偿。</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5、中标人履行义务不符合合同约定时，采购人有权扣减尾款。</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6、因中标人原因发生重大质量事故，除依约承担赔偿责任外，还将按有关质量管理办法规定执行。同时，采购人有权保留更换中标人的权利，并报相关行政主管部门处罚。</w:t>
      </w:r>
    </w:p>
    <w:p>
      <w:pPr>
        <w:pStyle w:val="9"/>
        <w:widowControl/>
        <w:spacing w:beforeAutospacing="0" w:afterAutospacing="0" w:line="480" w:lineRule="atLeast"/>
        <w:ind w:firstLine="480"/>
        <w:rPr>
          <w:rFonts w:ascii="宋体" w:hAnsi="宋体" w:eastAsia="宋体" w:cs="宋体"/>
          <w:color w:val="auto"/>
        </w:rPr>
      </w:pPr>
      <w:r>
        <w:rPr>
          <w:rFonts w:hint="eastAsia" w:ascii="宋体" w:hAnsi="宋体" w:eastAsia="宋体" w:cs="宋体"/>
          <w:color w:val="auto"/>
          <w:shd w:val="clear" w:color="auto" w:fill="FFFFFF"/>
        </w:rPr>
        <w:t>7、若发生死亡安全事故，除按国家有关安全管理规定及采购人有关安全管理办法执行外，并报相关行政主管部门处罚；发生重大安全事故或特大安全事故，除按国家有关安全管理规定及采购人有关安全管理办法执行外，采购人有权终止合同，给采购人造成的损失，还应承担赔偿责任。</w:t>
      </w:r>
    </w:p>
    <w:p>
      <w:pPr>
        <w:pStyle w:val="4"/>
        <w:widowControl/>
        <w:shd w:val="clear" w:color="auto" w:fill="FFFFFF"/>
        <w:spacing w:beforeAutospacing="0" w:afterAutospacing="0" w:line="480" w:lineRule="atLeast"/>
        <w:jc w:val="both"/>
        <w:rPr>
          <w:rFonts w:hint="default" w:cs="宋体"/>
          <w:color w:val="auto"/>
        </w:rPr>
      </w:pPr>
      <w:r>
        <w:rPr>
          <w:rFonts w:cs="宋体"/>
          <w:color w:val="auto"/>
          <w:shd w:val="clear" w:color="auto" w:fill="FFFFFF"/>
        </w:rPr>
        <w:t>四、其他事项</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1、除招标文件另有规定外，若出现有关法律、法规和规章有强制性规定但招标文件未列明的情形，则投标人应按照有关法律、法规和规章强制性规定执行。</w:t>
      </w:r>
    </w:p>
    <w:p>
      <w:pPr>
        <w:pStyle w:val="9"/>
        <w:widowControl/>
        <w:shd w:val="clear" w:color="auto" w:fill="FFFFFF"/>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2、其他：</w:t>
      </w:r>
    </w:p>
    <w:p>
      <w:pPr>
        <w:pStyle w:val="9"/>
        <w:widowControl/>
        <w:spacing w:beforeAutospacing="0" w:afterAutospacing="0" w:line="480" w:lineRule="atLeast"/>
        <w:ind w:firstLine="420"/>
        <w:jc w:val="both"/>
        <w:rPr>
          <w:rFonts w:ascii="宋体" w:hAnsi="宋体" w:eastAsia="宋体" w:cs="宋体"/>
          <w:color w:val="auto"/>
        </w:rPr>
      </w:pPr>
      <w:r>
        <w:rPr>
          <w:rFonts w:hint="eastAsia" w:ascii="宋体" w:hAnsi="宋体" w:eastAsia="宋体" w:cs="宋体"/>
          <w:color w:val="auto"/>
          <w:shd w:val="clear" w:color="auto" w:fill="FFFFFF"/>
        </w:rPr>
        <w:t>无</w:t>
      </w:r>
    </w:p>
    <w:p>
      <w:pPr>
        <w:pStyle w:val="9"/>
        <w:widowControl/>
        <w:spacing w:beforeAutospacing="0" w:afterAutospacing="0" w:line="480" w:lineRule="atLeast"/>
        <w:ind w:firstLine="420"/>
        <w:rPr>
          <w:rFonts w:ascii="宋体" w:hAnsi="宋体" w:eastAsia="宋体" w:cs="宋体"/>
          <w:color w:val="auto"/>
        </w:rPr>
      </w:pPr>
      <w:r>
        <w:rPr>
          <w:rFonts w:hint="eastAsia" w:ascii="宋体" w:hAnsi="宋体" w:eastAsia="宋体" w:cs="宋体"/>
          <w:color w:val="auto"/>
          <w:shd w:val="clear" w:color="auto" w:fill="FFFFFF"/>
        </w:rPr>
        <w:t> </w:t>
      </w:r>
    </w:p>
    <w:p>
      <w:pPr>
        <w:rPr>
          <w:rFonts w:ascii="宋体" w:hAnsi="宋体" w:eastAsia="宋体" w:cs="宋体"/>
          <w:color w:val="auto"/>
          <w:sz w:val="39"/>
          <w:szCs w:val="39"/>
          <w:shd w:val="clear" w:color="auto" w:fill="FFFFFF"/>
        </w:rPr>
      </w:pPr>
      <w:r>
        <w:rPr>
          <w:rFonts w:hint="eastAsia" w:ascii="宋体" w:hAnsi="宋体" w:eastAsia="宋体" w:cs="宋体"/>
          <w:color w:val="auto"/>
          <w:sz w:val="39"/>
          <w:szCs w:val="39"/>
          <w:shd w:val="clear" w:color="auto" w:fill="FFFFFF"/>
        </w:rPr>
        <w:br w:type="page"/>
      </w:r>
    </w:p>
    <w:p>
      <w:pPr>
        <w:pStyle w:val="3"/>
        <w:widowControl/>
        <w:shd w:val="clear" w:color="auto" w:fill="FFFFFF"/>
        <w:spacing w:beforeAutospacing="0" w:afterAutospacing="0" w:line="0" w:lineRule="atLeast"/>
        <w:jc w:val="center"/>
        <w:rPr>
          <w:rFonts w:hint="default" w:cs="宋体"/>
          <w:color w:val="auto"/>
          <w:sz w:val="39"/>
          <w:szCs w:val="39"/>
        </w:rPr>
      </w:pPr>
      <w:r>
        <w:rPr>
          <w:rFonts w:cs="宋体"/>
          <w:color w:val="auto"/>
          <w:sz w:val="39"/>
          <w:szCs w:val="39"/>
          <w:shd w:val="clear" w:color="auto" w:fill="FFFFFF"/>
        </w:rPr>
        <w:t>第六章 政府采购合同</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参考文本</w:t>
      </w:r>
    </w:p>
    <w:p>
      <w:pPr>
        <w:pStyle w:val="9"/>
        <w:widowControl/>
        <w:wordWrap w:val="0"/>
        <w:spacing w:beforeAutospacing="0" w:afterAutospacing="0" w:line="0" w:lineRule="atLeast"/>
        <w:jc w:val="right"/>
        <w:rPr>
          <w:rFonts w:ascii="宋体" w:hAnsi="宋体" w:eastAsia="宋体" w:cs="宋体"/>
          <w:b/>
          <w:bCs/>
          <w:color w:val="auto"/>
        </w:rPr>
      </w:pPr>
      <w:r>
        <w:rPr>
          <w:rFonts w:hint="eastAsia" w:ascii="宋体" w:hAnsi="宋体" w:eastAsia="宋体" w:cs="宋体"/>
          <w:b/>
          <w:bCs/>
          <w:color w:val="auto"/>
          <w:shd w:val="clear" w:color="auto" w:fill="FFFFFF"/>
        </w:rPr>
        <w:t>合同编号：</w:t>
      </w:r>
    </w:p>
    <w:p>
      <w:pPr>
        <w:pStyle w:val="3"/>
        <w:widowControl/>
        <w:wordWrap w:val="0"/>
        <w:spacing w:beforeAutospacing="0" w:afterAutospacing="0" w:line="0" w:lineRule="atLeast"/>
        <w:jc w:val="center"/>
        <w:rPr>
          <w:rFonts w:hint="default" w:cs="宋体"/>
          <w:color w:val="auto"/>
        </w:rPr>
      </w:pPr>
      <w:r>
        <w:rPr>
          <w:rFonts w:cs="宋体"/>
          <w:color w:val="auto"/>
          <w:shd w:val="clear" w:color="auto" w:fill="FFFFFF"/>
        </w:rPr>
        <w:t>福建省政府采购合同（货物类）</w:t>
      </w:r>
    </w:p>
    <w:p>
      <w:pPr>
        <w:pStyle w:val="5"/>
        <w:widowControl/>
        <w:wordWrap w:val="0"/>
        <w:spacing w:beforeAutospacing="0" w:afterAutospacing="0" w:line="0" w:lineRule="atLeast"/>
        <w:jc w:val="center"/>
        <w:rPr>
          <w:rFonts w:hint="default" w:cs="宋体"/>
          <w:color w:val="auto"/>
        </w:rPr>
      </w:pPr>
      <w:r>
        <w:rPr>
          <w:rFonts w:cs="宋体"/>
          <w:color w:val="auto"/>
          <w:shd w:val="clear" w:color="auto" w:fill="FFFFFF"/>
        </w:rPr>
        <w:t>编制说明</w:t>
      </w:r>
    </w:p>
    <w:p>
      <w:pPr>
        <w:widowControl/>
        <w:shd w:val="clear" w:color="auto" w:fill="FFFFFF"/>
        <w:wordWrap w:val="0"/>
        <w:spacing w:line="0" w:lineRule="atLeast"/>
        <w:rPr>
          <w:rFonts w:ascii="宋体" w:hAnsi="宋体" w:eastAsia="宋体" w:cs="宋体"/>
          <w:color w:val="auto"/>
          <w:sz w:val="24"/>
        </w:rPr>
      </w:pPr>
    </w:p>
    <w:p>
      <w:pPr>
        <w:pStyle w:val="5"/>
        <w:widowControl/>
        <w:wordWrap w:val="0"/>
        <w:spacing w:beforeAutospacing="0" w:afterAutospacing="0" w:line="0" w:lineRule="atLeast"/>
        <w:rPr>
          <w:rFonts w:hint="default" w:cs="宋体"/>
          <w:color w:val="auto"/>
        </w:rPr>
      </w:pPr>
      <w:r>
        <w:rPr>
          <w:rFonts w:cs="宋体"/>
          <w:color w:val="auto"/>
          <w:shd w:val="clear" w:color="auto" w:fill="FFFFFF"/>
        </w:rPr>
        <w:t>1.签订合同应遵守《中华人民共和国政府采购法》及其实施条例、《中华人民共和国民法典》等法律法规及其他有关规定。</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2.签订合同时，采购人与中标(成交)人应结合采购文件规定填列相应内容。采购文件已有约定的，双方均不得对约定进行变更或调整；采购文件未作规定的，双方可通过友好协商进行约定。</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3.政府有关主管部门对若干合同有规范文本的，可使用相应合同文本。</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4.本合同范本仅供参考，采购人应当根据采购项目的实际需求对合同条款进行修改、补充。</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甲方： 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住所地： 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联系人： 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联系电话：___________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传真：___________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电子邮箱：___________</w:t>
      </w:r>
    </w:p>
    <w:p>
      <w:pPr>
        <w:widowControl/>
        <w:spacing w:line="0" w:lineRule="atLeast"/>
        <w:jc w:val="left"/>
        <w:rPr>
          <w:color w:val="auto"/>
        </w:rPr>
      </w:pP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乙方： 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住所地： 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联系人：___________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联系电话：___________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传真：___________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电子邮箱：___________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根据项目编号为________ 的 ___________项目（以下简称：“本项目”）的采购结果，遵循平等、自愿、公平和诚实信用的原则，双方签署本合同，具体内容如下：</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一、合同组成部分</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1.1本合同条款及附件；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1.2采购文件及其附件、补充文件；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1.3乙方的响应文件及其附件、补充文件；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1.4其他文件或材料：</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二、合同标的</w:t>
      </w:r>
    </w:p>
    <w:p>
      <w:pPr>
        <w:widowControl/>
        <w:spacing w:line="0" w:lineRule="atLeast"/>
        <w:jc w:val="left"/>
        <w:rPr>
          <w:color w:val="auto"/>
        </w:rPr>
      </w:pPr>
    </w:p>
    <w:p>
      <w:pPr>
        <w:pStyle w:val="5"/>
        <w:widowControl/>
        <w:wordWrap w:val="0"/>
        <w:spacing w:beforeAutospacing="0" w:afterAutospacing="0" w:line="0" w:lineRule="atLeast"/>
        <w:rPr>
          <w:rFonts w:hint="default" w:cs="宋体"/>
          <w:color w:val="auto"/>
        </w:rPr>
      </w:pPr>
      <w:r>
        <w:rPr>
          <w:rFonts w:cs="宋体"/>
          <w:color w:val="auto"/>
          <w:shd w:val="clear" w:color="auto" w:fill="FFFFFF"/>
        </w:rPr>
        <w:t>三、合同金额</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3.1合同总价：人民币（大写）_________ 元（￥_________元）；</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3.2合同总价组成：___________；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3.3其他需说明事项：___________；</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四、合同标的交付</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4.1交付时间：___________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4.2交付地点：___________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4.3交付条件：___________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4.4供货要求：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乙方提供的产品必须是采购文件和响应文件中约定的产品，其技术指标、型号须符合相关要求。供货时，乙方须向甲方提供产品说明书、保修卡、质量保证书等相关资料和原配的附件。原装进口产品（设备）交货时须提供中文产品说明书、保修卡、质量保证书、装箱单、商检证明等资料。制造编号与包装箱编号应一致。</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(2)乙方提供的全部货物均应采用标准保护措施进行包装，除采购文件中的采购需求另有要求外，乙方所提供的货物包装应当参照财政部办公厅等联合印发的《关于印发&lt;商品包装政府采购需求标准（试行）&gt; &lt;快递包装政府采购需求标准（试行）&gt; 的通知》（财办库〔2020〕123号）要求，包装应适用于远距离运输、防潮、防震、防锈和防野蛮装卸等要求，确保货物安全无损运抵现场。由于包装、运输、安装、调试等不善所引起的货物损坏或损失均由乙方承担。</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乙方提供的采购标的应符合国家知识产权法律、法规的规定且非假冒伪劣品；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若乙方提供的采购标的不符合国家知识产权法律、法规的规定或被有关主管机关认定为假冒伪劣品，则乙方中标或成交资格将被取消；甲方还将按照有关法律、法规和规章的规定进行处理，具体如下：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(4)乙方完全遵守《中华人民共和国劳动合同法》有关规定和《中华人民共和国妇女权益保障法》中关于“劳动和社会保障权益”的有关要求。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（5）其他供货要求：</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五、质量标准及要求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5.1质量标准及要求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乙方应确保所有产品质量均需符合国家标准、地方标准、行业标准，以及有关技术规范和产品厂家的出厂标准，提供原厂质保书、合格证等有关文件资料，并保证产品是出厂原装合格产品。进口产品须是获得国家商检局颁布安全生产许可证的出厂原装合格产品。</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（2）其他质量要求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5.2节能环保产品要求</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5.3质量保证范围、质量保证期及售后服务</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（1）质量保证范围：___________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（2）本合同乙方所供应的货物质量保证期自验收合格之日起{_______月。</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（3）售后服务应按法律法规和采购文件约定执行，具体如下：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5.4商品安全责任</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商品安全责任应按照法律法规和采购文件的规定执行，具体如下：</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六、安装调试、验收及退、换货</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6.1安装调试、验收应按照采购文件、乙方响应文件的规定或约定进行，具体如下：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6.2本项目是否邀请其他投标人参与验收：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 不邀请。  邀请，具体如下：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6.3本项目是否邀请专家参与验收：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 不邀请。  邀请，具体如下：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6.4本项目是否邀请国家认可的质量检测机构参与验收：</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 不邀请。  邀请，具体如下：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6.5履约验收：___________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6.6退、换货：___________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6.7其他：</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七、资金支付方式、条件和时间</w:t>
      </w:r>
    </w:p>
    <w:p>
      <w:pPr>
        <w:widowControl/>
        <w:spacing w:line="0" w:lineRule="atLeast"/>
        <w:jc w:val="left"/>
        <w:rPr>
          <w:color w:val="auto"/>
        </w:rPr>
      </w:pPr>
    </w:p>
    <w:p>
      <w:pPr>
        <w:pStyle w:val="5"/>
        <w:widowControl/>
        <w:wordWrap w:val="0"/>
        <w:spacing w:beforeAutospacing="0" w:afterAutospacing="0" w:line="0" w:lineRule="atLeast"/>
        <w:rPr>
          <w:rFonts w:hint="default" w:cs="宋体"/>
          <w:color w:val="auto"/>
        </w:rPr>
      </w:pPr>
      <w:r>
        <w:rPr>
          <w:rFonts w:cs="宋体"/>
          <w:color w:val="auto"/>
          <w:shd w:val="clear" w:color="auto" w:fill="FFFFFF"/>
        </w:rPr>
        <w:t>八、履约保证金</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□有，□无。具体如下违约：（按照采购文件规定填写）。</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8.1乙方向甲方缴纳人民币 元（大写： ）作为本合同的履约保证金。</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8.2履约保证金缴纳形式：支票/汇票/电汇/保函等非现金形式。</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8.3履约保证金退还： （根据实际情况填写） 。</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九、合同期限</w:t>
      </w:r>
    </w:p>
    <w:p>
      <w:pPr>
        <w:widowControl/>
        <w:spacing w:line="0" w:lineRule="atLeast"/>
        <w:jc w:val="left"/>
        <w:rPr>
          <w:color w:val="auto"/>
        </w:rPr>
      </w:pP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十、违约责任</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10.1甲方违约责任</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（1）甲方无正当理由拒收乙方交付的合格产品的，甲方向乙方偿付拒收货款总值_____的违约金</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（2）甲方无故逾期验收和办理合同款项支付手续的,甲方应按逾期付款总额每日_______向乙方支付违约金。</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（3）其他违约情形</w:t>
      </w:r>
    </w:p>
    <w:p>
      <w:pPr>
        <w:widowControl/>
        <w:shd w:val="clear" w:color="auto" w:fill="FFFFFF"/>
        <w:wordWrap w:val="0"/>
        <w:spacing w:line="0" w:lineRule="atLeast"/>
        <w:rPr>
          <w:rFonts w:ascii="宋体" w:hAnsi="宋体" w:eastAsia="宋体" w:cs="宋体"/>
          <w:color w:val="auto"/>
          <w:sz w:val="24"/>
        </w:rPr>
      </w:pPr>
      <w:r>
        <w:rPr>
          <w:rFonts w:hint="eastAsia" w:ascii="宋体" w:hAnsi="宋体" w:eastAsia="宋体" w:cs="宋体"/>
          <w:color w:val="auto"/>
          <w:kern w:val="0"/>
          <w:sz w:val="24"/>
          <w:shd w:val="clear" w:color="auto" w:fill="FFFFFF"/>
          <w:lang w:bidi="ar"/>
        </w:rPr>
        <w:t>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10.2乙方违约责任</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（1）乙方逾期履行服务的，乙方应按逾期交付总额每日_______向甲方支付违约金，由甲方从待付货款中扣除。乙方无正当理由逾期超过约定日期_______仍不能交付的，视为“乙方不按合同约定履约”；</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（2）乙方所交付的产品不符合合同规定及《采购文件》规定标准的，甲方有权拒收，乙方愿意更换产品但逾期交货的，按乙方逾期交货处理。乙方拒绝更换产品的，视为“乙方不按合同约定履约”；</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（3）乙方不按合同约定履约的，甲方可以解除采购合同，并对乙方已缴纳的履约保证金作“不予退还”处理。同时，乙方还须按向甲方支付违约金：</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（4）其他违约情形</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十一、不可抗力事件处理</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十二、保密条款</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12.1对于在采购和合同履行过程中所获悉的属于保密的内容，甲、乙双方均负有保密义务。</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12.2其他</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十三、解决争议的方法</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13.1甲、乙双方协商解决。</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13.2若协商解决不成，双方明确按以下第__方式解决：</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 1、提交仲裁委员会仲裁，具体如下：</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 2、向人民法院提起诉讼，具体如下：</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十四、合同其他条款</w:t>
      </w:r>
    </w:p>
    <w:p>
      <w:pPr>
        <w:widowControl/>
        <w:spacing w:line="0" w:lineRule="atLeast"/>
        <w:jc w:val="left"/>
        <w:rPr>
          <w:color w:val="auto"/>
        </w:rPr>
      </w:pP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十五、其他约定</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15.1合同文件与本合同具有同等法律效力。</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15.3本合同未尽事宜，遵照《中华人民共和国民法典》有关条文执行。</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15.4本合同正本一式_______份，具有同等法律效力，甲方、乙方各执_______份；副本_______份，_______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15.5本合同已用于政府采购合同融资，为本项目提供合同融资的金融机构为：_______，甲乙双方应当按照融资合同的约定进行资金使用及款项支付。</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中标（成交）供应商应于采购合同签订之日起_______内，向发放政采贷的金融机构提交政府采购中标（成交）通知书和政府采购合同，贷款金额以政府采购合同金额为限。</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15.6其他</w:t>
      </w:r>
    </w:p>
    <w:p>
      <w:pPr>
        <w:pStyle w:val="5"/>
        <w:widowControl/>
        <w:wordWrap w:val="0"/>
        <w:spacing w:beforeAutospacing="0" w:afterAutospacing="0" w:line="0" w:lineRule="atLeast"/>
        <w:rPr>
          <w:rFonts w:hint="default" w:cs="宋体"/>
          <w:color w:val="auto"/>
        </w:rPr>
      </w:pPr>
      <w:r>
        <w:rPr>
          <w:rFonts w:cs="宋体"/>
          <w:color w:val="auto"/>
          <w:shd w:val="clear" w:color="auto" w:fill="FFFFFF"/>
        </w:rPr>
        <w:t>十六、合同附件</w:t>
      </w:r>
    </w:p>
    <w:p>
      <w:pPr>
        <w:widowControl/>
        <w:spacing w:line="0" w:lineRule="atLeast"/>
        <w:jc w:val="left"/>
        <w:rPr>
          <w:color w:val="auto"/>
        </w:rPr>
      </w:pP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甲方（采购人）：</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法定（授权）代表人：</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纳税人识别号：</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开户银行：</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账号：</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乙方（中标或成交人）：</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法定（授权）代表人：</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纳税人识别号：</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开户银行：</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账号：</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签订地点：__________</w:t>
      </w:r>
    </w:p>
    <w:p>
      <w:pPr>
        <w:pStyle w:val="9"/>
        <w:widowControl/>
        <w:wordWrap w:val="0"/>
        <w:spacing w:beforeAutospacing="0" w:afterAutospacing="0" w:line="0" w:lineRule="atLeast"/>
        <w:jc w:val="both"/>
        <w:rPr>
          <w:rFonts w:ascii="宋体" w:hAnsi="宋体" w:eastAsia="宋体" w:cs="宋体"/>
          <w:color w:val="auto"/>
        </w:rPr>
      </w:pPr>
      <w:r>
        <w:rPr>
          <w:rFonts w:hint="eastAsia" w:ascii="宋体" w:hAnsi="宋体" w:eastAsia="宋体" w:cs="宋体"/>
          <w:color w:val="auto"/>
          <w:shd w:val="clear" w:color="auto" w:fill="FFFFFF"/>
        </w:rPr>
        <w:t>签订日期：___年___月___日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3"/>
        <w:widowControl/>
        <w:shd w:val="clear" w:color="auto" w:fill="FFFFFF"/>
        <w:spacing w:beforeAutospacing="0" w:afterAutospacing="0" w:line="0" w:lineRule="atLeast"/>
        <w:jc w:val="center"/>
        <w:rPr>
          <w:rFonts w:hint="default" w:cs="宋体"/>
          <w:color w:val="auto"/>
          <w:sz w:val="39"/>
          <w:szCs w:val="39"/>
        </w:rPr>
      </w:pPr>
      <w:r>
        <w:rPr>
          <w:rFonts w:cs="宋体"/>
          <w:color w:val="auto"/>
          <w:sz w:val="39"/>
          <w:szCs w:val="39"/>
          <w:shd w:val="clear" w:color="auto" w:fill="FFFFFF"/>
        </w:rPr>
        <w:t>第七章 电子投标文件格式</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1、除招标文件另有规定外，本章中：</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1.1涉及投标人的“全称”：</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（1）不接受联合体投标的，指投标人的全称。</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（2）接受联合体投标且投标人为联合体的，指牵头方的全称并加注（联合体牵头方），即应表述为：“牵头方的全称（联合体牵头方）”。</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1.2涉及投标人“加盖单位公章”：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（1）不接受联合体投标的，指加盖投标人的单位公章。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（2）接受联合体投标且投标人为联合体的，指加盖联合体牵头方的单位公章。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1.3涉及“投标人代表签字”：</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（1）不接受联合体投标的，指由投标人的单位负责人或其授权的委托代理人签字，由委托代理人签字的，应提供“单位授权书”。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（2）接受联合体投标且投标人为联合体的，指由联合体牵头方的单位负责人或其授权的委托代理人签字，由委托代理人签字的，应提供“单位授权书”。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1.4“其他组织”指合伙企业、非企业专业服务机构、个体工商户、农村承包经营户等。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1.5“自然人”指具有完全民事行为能力、能够承担民事责任和义务的中国公民。</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2、除招标文件另有规定外，本章中“投标人的资格及资信证明文件”：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2.1投标人应按照招标文件第四章第1.3条第（2）款规定及本章规定进行编制，如有必要，可增加附页，附页作为资格及资信文件的组成部分。</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2.2接受联合体投标且投标人为联合体的，联合体中的各方均应按照本章第2.1条规定提交相应的全部资料。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3、投标人对电子投标文件的索引应编制页码。</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4、本章提供格式仅供参考，投标人应根据自身实际情况制作电子投标文件。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封面格式(资格及资信证明部分)</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福建省政府采购投标文件</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（资格及资信证明部分）</w:t>
      </w:r>
    </w:p>
    <w:p>
      <w:pPr>
        <w:widowControl/>
        <w:spacing w:line="0" w:lineRule="atLeast"/>
        <w:jc w:val="left"/>
        <w:rPr>
          <w:color w:val="auto"/>
        </w:rPr>
      </w:pPr>
      <w:r>
        <w:rPr>
          <w:rFonts w:ascii="宋体" w:hAnsi="宋体" w:eastAsia="宋体" w:cs="宋体"/>
          <w:color w:val="auto"/>
          <w:kern w:val="0"/>
          <w:sz w:val="24"/>
          <w:lang w:bidi="ar"/>
        </w:rPr>
        <w:br w:type="textWrapping"/>
      </w:r>
    </w:p>
    <w:p>
      <w:pPr>
        <w:pStyle w:val="3"/>
        <w:widowControl/>
        <w:spacing w:beforeAutospacing="0" w:afterAutospacing="0" w:line="0" w:lineRule="atLeast"/>
        <w:jc w:val="center"/>
        <w:rPr>
          <w:rFonts w:hint="default" w:cs="宋体"/>
          <w:color w:val="auto"/>
          <w:sz w:val="39"/>
          <w:szCs w:val="39"/>
        </w:rPr>
      </w:pPr>
      <w:r>
        <w:rPr>
          <w:rFonts w:cs="宋体"/>
          <w:color w:val="auto"/>
          <w:sz w:val="39"/>
          <w:szCs w:val="39"/>
        </w:rPr>
        <w:t>（填写正本或副本）</w:t>
      </w:r>
    </w:p>
    <w:p>
      <w:pPr>
        <w:widowControl/>
        <w:spacing w:line="0" w:lineRule="atLeast"/>
        <w:jc w:val="left"/>
        <w:rPr>
          <w:color w:val="auto"/>
        </w:rPr>
      </w:pP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p>
    <w:p>
      <w:pPr>
        <w:pStyle w:val="4"/>
        <w:widowControl/>
        <w:spacing w:beforeAutospacing="0" w:afterAutospacing="0" w:line="0" w:lineRule="atLeast"/>
        <w:jc w:val="center"/>
        <w:rPr>
          <w:rFonts w:hint="default" w:cs="宋体"/>
          <w:color w:val="auto"/>
        </w:rPr>
      </w:pPr>
      <w:r>
        <w:rPr>
          <w:rFonts w:cs="宋体"/>
          <w:color w:val="auto"/>
        </w:rPr>
        <w:t>（项目名称：（由投标人填写）</w:t>
      </w:r>
    </w:p>
    <w:p>
      <w:pPr>
        <w:pStyle w:val="4"/>
        <w:widowControl/>
        <w:spacing w:beforeAutospacing="0" w:afterAutospacing="0" w:line="0" w:lineRule="atLeast"/>
        <w:jc w:val="center"/>
        <w:rPr>
          <w:rFonts w:hint="default" w:cs="宋体"/>
          <w:color w:val="auto"/>
        </w:rPr>
      </w:pPr>
      <w:r>
        <w:rPr>
          <w:rFonts w:cs="宋体"/>
          <w:color w:val="auto"/>
        </w:rPr>
        <w:t>（备案编号：（由投标人填写）</w:t>
      </w:r>
    </w:p>
    <w:p>
      <w:pPr>
        <w:pStyle w:val="4"/>
        <w:widowControl/>
        <w:spacing w:beforeAutospacing="0" w:afterAutospacing="0" w:line="0" w:lineRule="atLeast"/>
        <w:jc w:val="center"/>
        <w:rPr>
          <w:rFonts w:hint="default" w:cs="宋体"/>
          <w:color w:val="auto"/>
        </w:rPr>
      </w:pPr>
      <w:r>
        <w:rPr>
          <w:rFonts w:cs="宋体"/>
          <w:color w:val="auto"/>
        </w:rPr>
        <w:t>（项目编号：（由投标人填写）</w:t>
      </w:r>
    </w:p>
    <w:p>
      <w:pPr>
        <w:pStyle w:val="4"/>
        <w:widowControl/>
        <w:spacing w:beforeAutospacing="0" w:afterAutospacing="0" w:line="0" w:lineRule="atLeast"/>
        <w:jc w:val="center"/>
        <w:rPr>
          <w:rFonts w:hint="default" w:cs="宋体"/>
          <w:color w:val="auto"/>
        </w:rPr>
      </w:pPr>
      <w:r>
        <w:rPr>
          <w:rFonts w:cs="宋体"/>
          <w:color w:val="auto"/>
        </w:rPr>
        <w:t>（所投采购包：（由投标人填写）</w:t>
      </w:r>
    </w:p>
    <w:p>
      <w:pPr>
        <w:widowControl/>
        <w:spacing w:line="0" w:lineRule="atLeast"/>
        <w:jc w:val="left"/>
        <w:rPr>
          <w:color w:val="auto"/>
        </w:rPr>
      </w:pPr>
    </w:p>
    <w:p>
      <w:pPr>
        <w:pStyle w:val="4"/>
        <w:widowControl/>
        <w:spacing w:beforeAutospacing="0" w:afterAutospacing="0" w:line="0" w:lineRule="atLeast"/>
        <w:jc w:val="center"/>
        <w:rPr>
          <w:rFonts w:hint="default" w:cs="宋体"/>
          <w:color w:val="auto"/>
        </w:rPr>
      </w:pPr>
      <w:r>
        <w:rPr>
          <w:rFonts w:cs="宋体"/>
          <w:color w:val="auto"/>
        </w:rPr>
        <w:t>投标人：（填写“全称”）</w:t>
      </w:r>
    </w:p>
    <w:p>
      <w:pPr>
        <w:pStyle w:val="4"/>
        <w:widowControl/>
        <w:spacing w:beforeAutospacing="0" w:afterAutospacing="0" w:line="0" w:lineRule="atLeast"/>
        <w:jc w:val="center"/>
        <w:rPr>
          <w:rFonts w:hint="default" w:cs="宋体"/>
          <w:color w:val="auto"/>
        </w:rPr>
      </w:pPr>
      <w:r>
        <w:rPr>
          <w:rFonts w:cs="宋体"/>
          <w:color w:val="auto"/>
        </w:rPr>
        <w:t>（由投标人填写）年（由投标人填写）月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索引</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一、投标函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二、投标人的资格及资信证明文件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三、投标保证金</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资格及资信证明部分中不得出现报价部分的全部或部分的投标报价信息（或组成资料），否则资格审查不合格。（联合体协议及分包意向协议中的比例规定，不适用本条款）</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一、投标函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兹收到贵单位关于</w:t>
      </w:r>
      <w:r>
        <w:rPr>
          <w:rFonts w:hint="eastAsia" w:ascii="宋体" w:hAnsi="宋体" w:eastAsia="宋体" w:cs="宋体"/>
          <w:color w:val="auto"/>
          <w:u w:val="single"/>
        </w:rPr>
        <w:t>（填写“项目名称”） </w:t>
      </w:r>
      <w:r>
        <w:rPr>
          <w:rFonts w:hint="eastAsia" w:ascii="宋体" w:hAnsi="宋体" w:eastAsia="宋体" w:cs="宋体"/>
          <w:color w:val="auto"/>
        </w:rPr>
        <w:t>项目</w:t>
      </w:r>
      <w:r>
        <w:rPr>
          <w:rFonts w:hint="eastAsia" w:ascii="宋体" w:hAnsi="宋体" w:eastAsia="宋体" w:cs="宋体"/>
          <w:color w:val="auto"/>
          <w:u w:val="single"/>
        </w:rPr>
        <w:t>（项目编号：　　　　　） </w:t>
      </w:r>
      <w:r>
        <w:rPr>
          <w:rFonts w:hint="eastAsia" w:ascii="宋体" w:hAnsi="宋体" w:eastAsia="宋体" w:cs="宋体"/>
          <w:color w:val="auto"/>
        </w:rPr>
        <w:t>的投标邀请，本投标人代表</w:t>
      </w:r>
      <w:r>
        <w:rPr>
          <w:rFonts w:hint="eastAsia" w:ascii="宋体" w:hAnsi="宋体" w:eastAsia="宋体" w:cs="宋体"/>
          <w:color w:val="auto"/>
          <w:u w:val="single"/>
        </w:rPr>
        <w:t>（填写“全名”） </w:t>
      </w:r>
      <w:r>
        <w:rPr>
          <w:rFonts w:hint="eastAsia" w:ascii="宋体" w:hAnsi="宋体" w:eastAsia="宋体" w:cs="宋体"/>
          <w:color w:val="auto"/>
        </w:rPr>
        <w:t>已获得我方正式授权并代表投标人（填写“全称”）参加投标，并提交电子投标文件。我方提交的全部电子投标文件由下述部分组成：</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（1）资格及资信证明部分</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①投标函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②投标人的资格及资信证明文件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③投标保证金</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（2）报价部分</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①开标一览表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②投标分项报价表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③招标文件规定的价格扣除证明材料（若有）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④招标文件规定的加分证明材料（若有）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（3）技术商务部分</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①标的说明一览表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②技术和服务要求响应表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③商务条件响应表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④投标人提交的其他资料（若有）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根据本函，本投标人代表宣布我方保证遵守招标文件的全部规定，同时：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1、确认：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1.1所投采购包的投标报价详见“开标一览表”及“投标分项报价表”。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1.2我方已详细审查全部招标文件[包括但不限于：有关附件（若有）、澄清或修改（若有）等]，并自行承担因对全部招标文件理解不正确或误解而产生的相应后果和责任。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2、承诺及声明：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2.1我方具备招标文件第一章载明的“投标人的资格要求”且符合招标文件第三章载明的“二、投标人”之规定，否则投标无效。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2.2我方提交的电子投标文件各组成部分的全部内容及资料是不可割离且真实、有效、准确、完整和不具有任何误导性的，否则产生不利后果由我方承担责任。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2.3我方提供的标的价格不高于同期市场价格，否则产生不利后果由我方承担责任。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2.4投标保证金：若出现招标文件第三章规定的不予退还情形，同意贵单位不予退还。</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2.5投标有效期：按照招标文件第三章规定执行，并在招标文件第二章载明的期限内保持有效。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2.6若中标，将按照招标文件、我方电子投标文件及政府采购合同履行责任和义务。</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2.7若贵单位要求，我方同意提供与本项目投标有关的一切资料、数据或文件，并完全理解贵单位不一定要接受最低的投标报价或收到的任何投标。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2.8我方承诺遵守《中华人民共和国劳动合同法》有关规定和《中华人民共和国妇女权益保障法 》中关于“劳动和社会保障权益”的有关要求。</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2.9我方承诺电子投标文件所提供的全部资料真实可靠，并接受评标委员会、采购人、采购代理机构、监管部门进一步审查其中任何资料真实性的要求。</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2.10除招标文件另有规定外，对于贵单位按照下述联络方式发出的任何信息或通知，均视为我方已收悉前述信息或通知的全部内容：</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通信地址：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邮编：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联系方法：（包括但不限于：联系人、联系电话、手机、传真、电子邮箱等）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投标人：（全称并加盖单位公章）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日期：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二、投标人的资格及资信证明文件</w:t>
      </w:r>
    </w:p>
    <w:p>
      <w:pPr>
        <w:pStyle w:val="5"/>
        <w:widowControl/>
        <w:spacing w:beforeAutospacing="0" w:afterAutospacing="0" w:line="0" w:lineRule="atLeast"/>
        <w:jc w:val="center"/>
        <w:rPr>
          <w:rFonts w:hint="default" w:cs="宋体"/>
          <w:color w:val="auto"/>
        </w:rPr>
      </w:pPr>
      <w:r>
        <w:rPr>
          <w:rFonts w:cs="宋体"/>
          <w:color w:val="auto"/>
        </w:rPr>
        <w:t>二-1单位授权书（若有）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我方的单位负责人</w:t>
      </w:r>
      <w:r>
        <w:rPr>
          <w:rFonts w:hint="eastAsia" w:ascii="宋体" w:hAnsi="宋体" w:eastAsia="宋体" w:cs="宋体"/>
          <w:color w:val="auto"/>
          <w:u w:val="single"/>
        </w:rPr>
        <w:t>（填写“单位负责人全名”）</w:t>
      </w:r>
      <w:r>
        <w:rPr>
          <w:rFonts w:hint="eastAsia" w:ascii="宋体" w:hAnsi="宋体" w:eastAsia="宋体" w:cs="宋体"/>
          <w:color w:val="auto"/>
        </w:rPr>
        <w:t>授权</w:t>
      </w:r>
      <w:r>
        <w:rPr>
          <w:rFonts w:hint="eastAsia" w:ascii="宋体" w:hAnsi="宋体" w:eastAsia="宋体" w:cs="宋体"/>
          <w:color w:val="auto"/>
          <w:u w:val="single"/>
        </w:rPr>
        <w:t>（填写“投标人代表全名”）</w:t>
      </w:r>
      <w:r>
        <w:rPr>
          <w:rFonts w:hint="eastAsia" w:ascii="宋体" w:hAnsi="宋体" w:eastAsia="宋体" w:cs="宋体"/>
          <w:color w:val="auto"/>
        </w:rPr>
        <w:t>为投标人代表，代表我方参加</w:t>
      </w:r>
      <w:r>
        <w:rPr>
          <w:rFonts w:hint="eastAsia" w:ascii="宋体" w:hAnsi="宋体" w:eastAsia="宋体" w:cs="宋体"/>
          <w:color w:val="auto"/>
          <w:u w:val="single"/>
        </w:rPr>
        <w:t>（填写“项目名称”）</w:t>
      </w:r>
      <w:r>
        <w:rPr>
          <w:rFonts w:hint="eastAsia" w:ascii="宋体" w:hAnsi="宋体" w:eastAsia="宋体" w:cs="宋体"/>
          <w:color w:val="auto"/>
        </w:rPr>
        <w:t>项目（项目编号：</w:t>
      </w:r>
      <w:r>
        <w:rPr>
          <w:rFonts w:hint="eastAsia" w:ascii="宋体" w:hAnsi="宋体" w:eastAsia="宋体" w:cs="宋体"/>
          <w:color w:val="auto"/>
          <w:u w:val="single"/>
        </w:rPr>
        <w:t>　　　　　</w:t>
      </w:r>
      <w:r>
        <w:rPr>
          <w:rFonts w:hint="eastAsia" w:ascii="宋体" w:hAnsi="宋体" w:eastAsia="宋体" w:cs="宋体"/>
          <w:color w:val="auto"/>
        </w:rPr>
        <w:t>）的投标，全权代表我方处理投标过程的一切事宜，包括但不限于：投标、参加开标、谈判、澄清、签约等。投标人代表在投标过程中所签署的一切文件和处理与之有关的一切事务，我方均予以认可并对此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投标人代表无转委权。特此授权。</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（以下无正文）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单位负责人：</w:t>
      </w:r>
      <w:r>
        <w:rPr>
          <w:rFonts w:hint="eastAsia" w:ascii="宋体" w:hAnsi="宋体" w:eastAsia="宋体" w:cs="宋体"/>
          <w:color w:val="auto"/>
          <w:u w:val="single"/>
        </w:rPr>
        <w:t>　　　　　</w:t>
      </w:r>
      <w:r>
        <w:rPr>
          <w:rFonts w:hint="eastAsia" w:ascii="宋体" w:hAnsi="宋体" w:eastAsia="宋体" w:cs="宋体"/>
          <w:color w:val="auto"/>
        </w:rPr>
        <w:t>身份证号：</w:t>
      </w:r>
      <w:r>
        <w:rPr>
          <w:rFonts w:hint="eastAsia" w:ascii="宋体" w:hAnsi="宋体" w:eastAsia="宋体" w:cs="宋体"/>
          <w:color w:val="auto"/>
          <w:u w:val="single"/>
        </w:rPr>
        <w:t>　　　　　</w:t>
      </w:r>
      <w:r>
        <w:rPr>
          <w:rFonts w:hint="eastAsia" w:ascii="宋体" w:hAnsi="宋体" w:eastAsia="宋体" w:cs="宋体"/>
          <w:color w:val="auto"/>
        </w:rPr>
        <w:t>手机：</w:t>
      </w:r>
      <w:r>
        <w:rPr>
          <w:rFonts w:hint="eastAsia" w:ascii="宋体" w:hAnsi="宋体" w:eastAsia="宋体" w:cs="宋体"/>
          <w:color w:val="auto"/>
          <w:u w:val="single"/>
        </w:rPr>
        <w:t>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投标人代表：</w:t>
      </w:r>
      <w:r>
        <w:rPr>
          <w:rFonts w:hint="eastAsia" w:ascii="宋体" w:hAnsi="宋体" w:eastAsia="宋体" w:cs="宋体"/>
          <w:color w:val="auto"/>
          <w:u w:val="single"/>
        </w:rPr>
        <w:t>　　　　　</w:t>
      </w:r>
      <w:r>
        <w:rPr>
          <w:rFonts w:hint="eastAsia" w:ascii="宋体" w:hAnsi="宋体" w:eastAsia="宋体" w:cs="宋体"/>
          <w:color w:val="auto"/>
        </w:rPr>
        <w:t>身份证号：</w:t>
      </w:r>
      <w:r>
        <w:rPr>
          <w:rFonts w:hint="eastAsia" w:ascii="宋体" w:hAnsi="宋体" w:eastAsia="宋体" w:cs="宋体"/>
          <w:color w:val="auto"/>
          <w:u w:val="single"/>
        </w:rPr>
        <w:t>　　　　　</w:t>
      </w:r>
      <w:r>
        <w:rPr>
          <w:rFonts w:hint="eastAsia" w:ascii="宋体" w:hAnsi="宋体" w:eastAsia="宋体" w:cs="宋体"/>
          <w:color w:val="auto"/>
        </w:rPr>
        <w:t>手机：</w:t>
      </w:r>
      <w:r>
        <w:rPr>
          <w:rFonts w:hint="eastAsia" w:ascii="宋体" w:hAnsi="宋体" w:eastAsia="宋体" w:cs="宋体"/>
          <w:color w:val="auto"/>
          <w:u w:val="single"/>
        </w:rPr>
        <w:t>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授权方</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签署日期：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附：单位负责人、投标人代表的身份证正反面复印件</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要求：真实有效且内容完整、清晰、整洁。</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1、企业（银行、保险、石油石化、电力、电信等行业除外）、事业单位和社会团体法人的“单位负责人”指法定代表人，即与实际提交的“营业执照等证明文件”载明的一致。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3、投标人（自然人除外）：若投标人代表为单位授权的委托代理人，应提供本授权书；若投标人代表为单位负责人，应在此项下提交其身份证正反面复印件，可不提供本授权书。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4、投标人为自然人的，可不填写本授权书。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二-2营业执照等证明文件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）投标人为法人（包括企业、事业单位和社会团体）的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现附上由</w:t>
      </w:r>
      <w:r>
        <w:rPr>
          <w:rFonts w:hint="eastAsia" w:ascii="宋体" w:hAnsi="宋体" w:eastAsia="宋体" w:cs="宋体"/>
          <w:color w:val="auto"/>
          <w:u w:val="single"/>
        </w:rPr>
        <w:t>（（填写“签发机关全称”）</w:t>
      </w:r>
      <w:r>
        <w:rPr>
          <w:rFonts w:hint="eastAsia" w:ascii="宋体" w:hAnsi="宋体" w:eastAsia="宋体" w:cs="宋体"/>
          <w:color w:val="auto"/>
        </w:rPr>
        <w:t>签发的我方统一社会信用代码（请填写法人的具体证照名称）复印件，该证明材料真实有效，否则我方负全部责任。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）投标人为非法人（包括其他组织、自然人）的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□现附上由</w:t>
      </w:r>
      <w:r>
        <w:rPr>
          <w:rFonts w:hint="eastAsia" w:ascii="宋体" w:hAnsi="宋体" w:eastAsia="宋体" w:cs="宋体"/>
          <w:color w:val="auto"/>
          <w:u w:val="single"/>
        </w:rPr>
        <w:t>（（填写“签发机关全称”）</w:t>
      </w:r>
      <w:r>
        <w:rPr>
          <w:rFonts w:hint="eastAsia" w:ascii="宋体" w:hAnsi="宋体" w:eastAsia="宋体" w:cs="宋体"/>
          <w:color w:val="auto"/>
        </w:rPr>
        <w:t>签发的我方（请填写非自然人的非法人的具体证照名称）复印件，该证明材料真实有效，否则我方负全部责任。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□现附上由</w:t>
      </w:r>
      <w:r>
        <w:rPr>
          <w:rFonts w:hint="eastAsia" w:ascii="宋体" w:hAnsi="宋体" w:eastAsia="宋体" w:cs="宋体"/>
          <w:color w:val="auto"/>
          <w:u w:val="single"/>
        </w:rPr>
        <w:t>（（填写“签发机关全称”）</w:t>
      </w:r>
      <w:r>
        <w:rPr>
          <w:rFonts w:hint="eastAsia" w:ascii="宋体" w:hAnsi="宋体" w:eastAsia="宋体" w:cs="宋体"/>
          <w:color w:val="auto"/>
        </w:rPr>
        <w:t>签发的我方（请填写自然人的身份证件名称）复印件，该证明材料真实有效，否则我方负全部责任。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1、请投标人按照实际情况编制填写，在相应的（）中打“√”并选择相应的“□”（若有）后，再按照本格式的要求提供相应证明材料的复印件。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二-3财务状况报告（财务报告、或资信证明）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）投标人提供财务报告的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□企业适用：现附上我方</w:t>
      </w:r>
      <w:r>
        <w:rPr>
          <w:rFonts w:hint="eastAsia" w:ascii="宋体" w:hAnsi="宋体" w:eastAsia="宋体" w:cs="宋体"/>
          <w:color w:val="auto"/>
          <w:u w:val="single"/>
        </w:rPr>
        <w:t>（填写“具体的年度、或半年度、季度”）</w:t>
      </w:r>
      <w:r>
        <w:rPr>
          <w:rFonts w:hint="eastAsia" w:ascii="宋体" w:hAnsi="宋体" w:eastAsia="宋体" w:cs="宋体"/>
          <w:color w:val="auto"/>
        </w:rPr>
        <w:t>财务报告复印件，包括资产负债表、利润表、现金流量表、所有者权益变动表（若有）及其附注（若有）、会计师事务所营业执照和注册会计师资格证书，上述证明材料真实有效，否则我方负全部责任。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□事业单位适用：现附上我方</w:t>
      </w:r>
      <w:r>
        <w:rPr>
          <w:rFonts w:hint="eastAsia" w:ascii="宋体" w:hAnsi="宋体" w:eastAsia="宋体" w:cs="宋体"/>
          <w:color w:val="auto"/>
          <w:u w:val="single"/>
        </w:rPr>
        <w:t>（填写“具体的年度、或半年度、或季度”）</w:t>
      </w:r>
      <w:r>
        <w:rPr>
          <w:rFonts w:hint="eastAsia" w:ascii="宋体" w:hAnsi="宋体" w:eastAsia="宋体" w:cs="宋体"/>
          <w:color w:val="auto"/>
        </w:rPr>
        <w:t>财务报告复印件，包括资产负债表、收入支出表（或收入费用表）、财政补助收入支出表（若有）、会计师事务所营业执照和注册会计师资格证书，上述证明材料真实有效，否则我方负全部责任。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□社会团体、民办非企适用：现附上我方</w:t>
      </w:r>
      <w:r>
        <w:rPr>
          <w:rFonts w:hint="eastAsia" w:ascii="宋体" w:hAnsi="宋体" w:eastAsia="宋体" w:cs="宋体"/>
          <w:color w:val="auto"/>
          <w:u w:val="single"/>
        </w:rPr>
        <w:t>（填写“具体的年度、或半年度、或季度”）</w:t>
      </w:r>
      <w:r>
        <w:rPr>
          <w:rFonts w:hint="eastAsia" w:ascii="宋体" w:hAnsi="宋体" w:eastAsia="宋体" w:cs="宋体"/>
          <w:color w:val="auto"/>
        </w:rPr>
        <w:t>财务报告复印件，包括资产负债表、业务活动表、现金流量表、会计师事务所营业执照和注册会计师资格证书，上述证明材料真实有效，否则我方负全部责任。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）投标人提供资信证明的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□非自然人适用（包括企业、事业单位、社会团体和其他组织）：现附上我方银行：</w:t>
      </w:r>
      <w:r>
        <w:rPr>
          <w:rFonts w:hint="eastAsia" w:ascii="宋体" w:hAnsi="宋体" w:eastAsia="宋体" w:cs="宋体"/>
          <w:color w:val="auto"/>
          <w:u w:val="single"/>
        </w:rPr>
        <w:t>（填写“开户银行全称”）</w:t>
      </w:r>
      <w:r>
        <w:rPr>
          <w:rFonts w:hint="eastAsia" w:ascii="宋体" w:hAnsi="宋体" w:eastAsia="宋体" w:cs="宋体"/>
          <w:color w:val="auto"/>
        </w:rPr>
        <w:t>出具的资信证明复印件，上述证明材料真实有效，否则我方负全部责任。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□自然人适用：现附上我方银行</w:t>
      </w:r>
      <w:r>
        <w:rPr>
          <w:rFonts w:hint="eastAsia" w:ascii="宋体" w:hAnsi="宋体" w:eastAsia="宋体" w:cs="宋体"/>
          <w:color w:val="auto"/>
          <w:u w:val="single"/>
        </w:rPr>
        <w:t>：（填写自然人的“个人账户的开户银行全称”）</w:t>
      </w:r>
      <w:r>
        <w:rPr>
          <w:rFonts w:hint="eastAsia" w:ascii="宋体" w:hAnsi="宋体" w:eastAsia="宋体" w:cs="宋体"/>
          <w:color w:val="auto"/>
        </w:rPr>
        <w:t>出具的资信证明复印件，上述证明材料真实有效，否则我方负全部责任。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1、请投标人按照实际情况编制填写，在相应的（）中打“√”并选择相应的“□”（若有）后，再按照本格式的要求提供相应证明材料的复印件。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2、投标人提供的财务报告复印件（成立年限按照投标截止时间推算）应符合下列规定：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2.1成立年限满1年及以上的投标人，提供经审计的招标文件规定的年度财务报告。</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2.2成立年限满半年但不足1年的投标人，提供该半年度中任一季度的季度财务报告或该半年度的半年度财务报告。</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二-4依法缴纳税收证明材料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1、依法缴纳税收的投标人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）法人（包括企业、事业单位和社会团体）的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现附上自</w:t>
      </w:r>
      <w:r>
        <w:rPr>
          <w:rFonts w:hint="eastAsia" w:ascii="宋体" w:hAnsi="宋体" w:eastAsia="宋体" w:cs="宋体"/>
          <w:color w:val="auto"/>
          <w:u w:val="single"/>
        </w:rPr>
        <w:t>　　年　　月　　日</w:t>
      </w:r>
      <w:r>
        <w:rPr>
          <w:rFonts w:hint="eastAsia" w:ascii="宋体" w:hAnsi="宋体" w:eastAsia="宋体" w:cs="宋体"/>
          <w:color w:val="auto"/>
        </w:rPr>
        <w:t>至</w:t>
      </w:r>
      <w:r>
        <w:rPr>
          <w:rFonts w:hint="eastAsia" w:ascii="宋体" w:hAnsi="宋体" w:eastAsia="宋体" w:cs="宋体"/>
          <w:color w:val="auto"/>
          <w:u w:val="single"/>
        </w:rPr>
        <w:t>　　年　　月　　日</w:t>
      </w:r>
      <w:r>
        <w:rPr>
          <w:rFonts w:hint="eastAsia" w:ascii="宋体" w:hAnsi="宋体" w:eastAsia="宋体" w:cs="宋体"/>
          <w:color w:val="auto"/>
        </w:rPr>
        <w:t>期间我方缴纳（包括但不限于税务机关出具的专用收据、税收缴纳证明或税收代缴银行的缴款收讫凭证）等税收凭据复印件，上述证明材料真实有效，否则我方负全部责任。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）非法人（包括其他组织、自然人）的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现附上自</w:t>
      </w:r>
      <w:r>
        <w:rPr>
          <w:rFonts w:hint="eastAsia" w:ascii="宋体" w:hAnsi="宋体" w:eastAsia="宋体" w:cs="宋体"/>
          <w:color w:val="auto"/>
          <w:u w:val="single"/>
        </w:rPr>
        <w:t>　　年　　月　　日</w:t>
      </w:r>
      <w:r>
        <w:rPr>
          <w:rFonts w:hint="eastAsia" w:ascii="宋体" w:hAnsi="宋体" w:eastAsia="宋体" w:cs="宋体"/>
          <w:color w:val="auto"/>
        </w:rPr>
        <w:t>至</w:t>
      </w:r>
      <w:r>
        <w:rPr>
          <w:rFonts w:hint="eastAsia" w:ascii="宋体" w:hAnsi="宋体" w:eastAsia="宋体" w:cs="宋体"/>
          <w:color w:val="auto"/>
          <w:u w:val="single"/>
        </w:rPr>
        <w:t>　　年　　月　　日</w:t>
      </w:r>
      <w:r>
        <w:rPr>
          <w:rFonts w:hint="eastAsia" w:ascii="宋体" w:hAnsi="宋体" w:eastAsia="宋体" w:cs="宋体"/>
          <w:color w:val="auto"/>
        </w:rPr>
        <w:t>期间我方缴纳（包括但不限于税务机关出具的专用收据、税收缴纳证明或税收代缴银行的缴款收讫凭证）等税收凭据复印件，上述证明材料真实有效，否则我方负全部责任。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2、依法免税的投标人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）现附上我方依法免税的证明材料复印件，上述证明材料真实有效，否则我方负全部责任。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1、请投标人按照实际情况编制填写，在相应的（）中打“√”，并按照本格式的要求提供相应证明材料的复印件。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2、投标人提供的税收缴纳凭据复印件应符合下列规定：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2.1投标截止时间前（不含投标截止时间的当月）已依法缴纳税收的投标人，提供投标截止时间前六个月（不含投标截止时间的当月）中任一月份的税收缴纳凭据复印件。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2.2投标截止时间的当月成立的投标人，视同满足本项资格条件要求。</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3、若为依法免税范围的投标人，提供依法免税证明材料的，视同满足本项资格条件要求。</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二-5依法缴纳社会保障资金证明材料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1、依法缴纳社会保障资金的投标人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）法人（包括企业、事业单位和社会团体）的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现附上自</w:t>
      </w:r>
      <w:r>
        <w:rPr>
          <w:rFonts w:hint="eastAsia" w:ascii="宋体" w:hAnsi="宋体" w:eastAsia="宋体" w:cs="宋体"/>
          <w:color w:val="auto"/>
          <w:u w:val="single"/>
        </w:rPr>
        <w:t>　　年　　月　　日</w:t>
      </w:r>
      <w:r>
        <w:rPr>
          <w:rFonts w:hint="eastAsia" w:ascii="宋体" w:hAnsi="宋体" w:eastAsia="宋体" w:cs="宋体"/>
          <w:color w:val="auto"/>
        </w:rPr>
        <w:t>至</w:t>
      </w:r>
      <w:r>
        <w:rPr>
          <w:rFonts w:hint="eastAsia" w:ascii="宋体" w:hAnsi="宋体" w:eastAsia="宋体" w:cs="宋体"/>
          <w:color w:val="auto"/>
          <w:u w:val="single"/>
        </w:rPr>
        <w:t>　　年　　月　　日</w:t>
      </w:r>
      <w:r>
        <w:rPr>
          <w:rFonts w:hint="eastAsia" w:ascii="宋体" w:hAnsi="宋体" w:eastAsia="宋体" w:cs="宋体"/>
          <w:color w:val="auto"/>
        </w:rPr>
        <w:t>我方缴纳的社会保险凭据（限：税务机关/社会保障资金管理机关的专用收据或社会保险缴纳清单，或社会保险的银行缴款收讫凭证）复印件，上述证明材料真实有效，否则我方负全部责任。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）非法人（包括其他组织、自然人）的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自</w:t>
      </w:r>
      <w:r>
        <w:rPr>
          <w:rFonts w:hint="eastAsia" w:ascii="宋体" w:hAnsi="宋体" w:eastAsia="宋体" w:cs="宋体"/>
          <w:color w:val="auto"/>
          <w:u w:val="single"/>
        </w:rPr>
        <w:t>　　年　　月　　日</w:t>
      </w:r>
      <w:r>
        <w:rPr>
          <w:rFonts w:hint="eastAsia" w:ascii="宋体" w:hAnsi="宋体" w:eastAsia="宋体" w:cs="宋体"/>
          <w:color w:val="auto"/>
        </w:rPr>
        <w:t>至</w:t>
      </w:r>
      <w:r>
        <w:rPr>
          <w:rFonts w:hint="eastAsia" w:ascii="宋体" w:hAnsi="宋体" w:eastAsia="宋体" w:cs="宋体"/>
          <w:color w:val="auto"/>
          <w:u w:val="single"/>
        </w:rPr>
        <w:t>　　年　　月　　日</w:t>
      </w:r>
      <w:r>
        <w:rPr>
          <w:rFonts w:hint="eastAsia" w:ascii="宋体" w:hAnsi="宋体" w:eastAsia="宋体" w:cs="宋体"/>
          <w:color w:val="auto"/>
        </w:rPr>
        <w:t>我方缴纳的社会保险凭据（限：税务机关/社会保障资金管理机关的专用收据或社会保险缴纳清单，或社会保险的银行缴款收讫凭证）复印件，上述证明材料真实有效，否则我方负全部责任。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2、依法不需要缴纳或暂缓缴纳社会保障资金的投标人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）现附上我方依法不需要缴纳或暂缓缴纳社会保障资金证明材料复印件，上述证明材料真实有效，否则我方负全部责任。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1、请投标人按照实际情况编制填写，在相应的（）中打“√”，并按照本格式的要求提供相应证明材料的复印件。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2、投标人提供的社会保障资金缴纳凭据复印件应符合下列规定：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2.1投标截止时间前（不含投标截止时间的当月）已依法缴纳社会保障资金的投标人，提供投标截止时间前六个月（不含投标截止时间的当月）中任一月份的社会保障资金缴纳凭据复印件。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2.2投标截止时间的当月成立的投标人，视同满足本项资格条件要求。</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3、若为依法不需要缴纳或暂缓缴纳社会保障资金的投标人，提供依法不需要缴纳或暂缓缴纳社会保障资金证明材料的，视同满足本项资格条件要求。</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二-6具备履行合同所必需设备和专业技术能力的声明函（若有）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我方具备履行合同所必需的设备和专业技术能力，否则产生不利后果由我方承担责任。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特此声明。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1、招标文件未要求投标人提供“具备履行合同所必需的设备和专业技术能力专项证明材料”的，投标人应提供本声明函。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2、招标文件要求投标人提供“具备履行合同所必需的设备和专业技术能力专项证明材料”的，投标人可不提供本声明函。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3、请投标人根据实际情况如实声明，否则视为提供虚假材料。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二-7参加采购活动前三年内在经营活动中没有重大违法记录书面声明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参加采购活动前三年内，我方在经营活动中没有重大违法记录，即没有因违法经营受到刑事处罚或责令停产停业、吊销许可证或执照、较大数额罚款等行政处罚。否则产生不利后果由我方承担责任。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特此声明。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请投标人根据实际情况如实声明，否则视为提供虚假材料。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二-8信用记录查询提示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1、由资格审查小组通过网站查询并打印投标人的信用记录。</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二-9中小企业声明函</w:t>
      </w:r>
    </w:p>
    <w:p>
      <w:pPr>
        <w:pStyle w:val="5"/>
        <w:widowControl/>
        <w:spacing w:beforeAutospacing="0" w:afterAutospacing="0" w:line="0" w:lineRule="atLeast"/>
        <w:jc w:val="center"/>
        <w:rPr>
          <w:rFonts w:hint="default" w:cs="宋体"/>
          <w:color w:val="auto"/>
        </w:rPr>
      </w:pPr>
      <w:r>
        <w:rPr>
          <w:rFonts w:cs="宋体"/>
          <w:color w:val="auto"/>
        </w:rPr>
        <w:t>（以资格条件落实中小企业扶持政策时适用，若有）</w:t>
      </w:r>
    </w:p>
    <w:p>
      <w:pPr>
        <w:pStyle w:val="5"/>
        <w:widowControl/>
        <w:spacing w:beforeAutospacing="0" w:afterAutospacing="0" w:line="0" w:lineRule="atLeast"/>
        <w:jc w:val="center"/>
        <w:rPr>
          <w:rFonts w:hint="default" w:cs="宋体"/>
          <w:color w:val="auto"/>
        </w:rPr>
      </w:pPr>
      <w:r>
        <w:rPr>
          <w:rFonts w:cs="宋体"/>
          <w:color w:val="auto"/>
        </w:rPr>
        <w:t>中小企业声明函（货物）</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 号）的规定，本公司（联合体）参加</w:t>
      </w:r>
      <w:r>
        <w:rPr>
          <w:rFonts w:hint="eastAsia" w:ascii="宋体" w:hAnsi="宋体" w:eastAsia="宋体" w:cs="宋体"/>
          <w:color w:val="auto"/>
          <w:u w:val="single"/>
        </w:rPr>
        <w:t>（单位名称）</w:t>
      </w:r>
      <w:r>
        <w:rPr>
          <w:rFonts w:hint="eastAsia" w:ascii="宋体" w:hAnsi="宋体" w:eastAsia="宋体" w:cs="宋体"/>
          <w:color w:val="auto"/>
        </w:rPr>
        <w:t>的</w:t>
      </w:r>
      <w:r>
        <w:rPr>
          <w:rFonts w:hint="eastAsia" w:ascii="宋体" w:hAnsi="宋体" w:eastAsia="宋体" w:cs="宋体"/>
          <w:color w:val="auto"/>
          <w:u w:val="single"/>
        </w:rPr>
        <w:t>（项目名称）</w:t>
      </w:r>
      <w:r>
        <w:rPr>
          <w:rFonts w:hint="eastAsia" w:ascii="宋体" w:hAnsi="宋体" w:eastAsia="宋体" w:cs="宋体"/>
          <w:color w:val="auto"/>
        </w:rPr>
        <w:t>采购活动，提供的货物全部由符合政策要求的中小企业制造。相关企业（含联合体中的中小企业、签订分包意向协议的中小企业）的具体情况如下：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u w:val="single"/>
        </w:rPr>
        <w:t> （标的名称） </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行业；制造商为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w:t>
      </w:r>
      <w:r>
        <w:rPr>
          <w:rFonts w:ascii="宋体" w:hAnsi="宋体" w:eastAsia="宋体" w:cs="宋体"/>
          <w:color w:val="auto"/>
          <w:sz w:val="21"/>
          <w:szCs w:val="21"/>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u w:val="single"/>
        </w:rPr>
        <w:t> （标的名称） </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行业；制造商为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本企业对上述声明内容的真实性负责。如有虚假，将依法承担相应责任。</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1、从业人员、营业收入、资产总额填报上一年度数据，无上一年度数据的新成立企业可不填报。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中小企业声明函（工程、服务）</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 号）的规定，本公司（联合体）参加</w:t>
      </w:r>
      <w:r>
        <w:rPr>
          <w:rFonts w:hint="eastAsia" w:ascii="宋体" w:hAnsi="宋体" w:eastAsia="宋体" w:cs="宋体"/>
          <w:color w:val="auto"/>
          <w:u w:val="single"/>
        </w:rPr>
        <w:t>（单位名称）</w:t>
      </w:r>
      <w:r>
        <w:rPr>
          <w:rFonts w:hint="eastAsia" w:ascii="宋体" w:hAnsi="宋体" w:eastAsia="宋体" w:cs="宋体"/>
          <w:color w:val="auto"/>
        </w:rPr>
        <w:t>的</w:t>
      </w:r>
      <w:r>
        <w:rPr>
          <w:rFonts w:hint="eastAsia" w:ascii="宋体" w:hAnsi="宋体" w:eastAsia="宋体" w:cs="宋体"/>
          <w:color w:val="auto"/>
          <w:u w:val="single"/>
        </w:rPr>
        <w:t>（项目名称）</w:t>
      </w:r>
      <w:r>
        <w:rPr>
          <w:rFonts w:hint="eastAsia" w:ascii="宋体" w:hAnsi="宋体" w:eastAsia="宋体" w:cs="宋体"/>
          <w:color w:val="auto"/>
        </w:rPr>
        <w:t>采购活动，工程的施工单位全部为符合政策要求的中小企业（或者：服务全部由符合政策要求的中小企业承接）。相关企业（含联合体中的中小企业、签订分包意向协议的中小企业）的具体情况如下：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u w:val="single"/>
        </w:rPr>
        <w:t>（标的名称）</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；承建（承接）企业为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w:t>
      </w:r>
      <w:r>
        <w:rPr>
          <w:rFonts w:hint="eastAsia" w:ascii="宋体" w:hAnsi="宋体" w:eastAsia="宋体" w:cs="宋体"/>
          <w:color w:val="auto"/>
          <w:sz w:val="21"/>
          <w:szCs w:val="21"/>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u w:val="single"/>
        </w:rPr>
        <w:t>（标的名称）</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；承建（承接）企业为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本企业对上述声明内容的真实性负责。如有虚假，将依法承担相应责任。</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1、从业人员、营业收入、资产总额填报上一年度数据，无上一年度数据的新成立企业可不填报。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残疾人福利性单位声明函</w:t>
      </w:r>
    </w:p>
    <w:p>
      <w:pPr>
        <w:pStyle w:val="5"/>
        <w:widowControl/>
        <w:spacing w:beforeAutospacing="0" w:afterAutospacing="0" w:line="0" w:lineRule="atLeast"/>
        <w:jc w:val="center"/>
        <w:rPr>
          <w:rFonts w:hint="default" w:cs="宋体"/>
          <w:color w:val="auto"/>
        </w:rPr>
      </w:pPr>
      <w:r>
        <w:rPr>
          <w:rFonts w:cs="宋体"/>
          <w:color w:val="auto"/>
        </w:rPr>
        <w:t>（以资格条件落实中小企业扶持政策时适用，若有）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）由本投标人承建的（填写“所投采购包、品目号”）工程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）由本投标人承接的（填写“所投采购包、品目号”）服务；</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本投标人对上述声明的真实性负责。如有虚假，将依法承担相应责任。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1、请投标人按照实际情况编制填写本声明函，并在相应的（）中打“√”。</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2、若《残疾人福利性单位声明函》内容不真实，视为提供虚假材料。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附：</w:t>
      </w:r>
    </w:p>
    <w:p>
      <w:pPr>
        <w:pStyle w:val="5"/>
        <w:widowControl/>
        <w:spacing w:beforeAutospacing="0" w:afterAutospacing="0" w:line="0" w:lineRule="atLeast"/>
        <w:jc w:val="center"/>
        <w:rPr>
          <w:rFonts w:hint="default" w:cs="宋体"/>
          <w:color w:val="auto"/>
        </w:rPr>
      </w:pPr>
      <w:r>
        <w:rPr>
          <w:rFonts w:cs="宋体"/>
          <w:color w:val="auto"/>
        </w:rPr>
        <w:t>监狱企业证明材料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投标人为监狱企业，提供本单位制造的货物（承接的服务），并在电子投标文件中提供省级以上监狱管理局、戒毒管理局（含新疆生产建设兵团）出具的属于监狱企业的证明文件。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二-10联合体协议（若有）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兹有</w:t>
      </w:r>
      <w:r>
        <w:rPr>
          <w:rFonts w:hint="eastAsia" w:ascii="宋体" w:hAnsi="宋体" w:eastAsia="宋体" w:cs="宋体"/>
          <w:color w:val="auto"/>
          <w:u w:val="single"/>
        </w:rPr>
        <w:t>（填写“联合体中各方的全称”，各方的全称之间请用“、”分割）</w:t>
      </w:r>
      <w:r>
        <w:rPr>
          <w:rFonts w:hint="eastAsia" w:ascii="宋体" w:hAnsi="宋体" w:eastAsia="宋体" w:cs="宋体"/>
          <w:color w:val="auto"/>
        </w:rPr>
        <w:t>自愿组成联合体，共同参加</w:t>
      </w:r>
      <w:r>
        <w:rPr>
          <w:rFonts w:hint="eastAsia" w:ascii="宋体" w:hAnsi="宋体" w:eastAsia="宋体" w:cs="宋体"/>
          <w:color w:val="auto"/>
          <w:u w:val="single"/>
        </w:rPr>
        <w:t>（填写“项目名称”）</w:t>
      </w:r>
      <w:r>
        <w:rPr>
          <w:rFonts w:hint="eastAsia" w:ascii="宋体" w:hAnsi="宋体" w:eastAsia="宋体" w:cs="宋体"/>
          <w:color w:val="auto"/>
        </w:rPr>
        <w:t> 项目（项目编号：</w:t>
      </w:r>
      <w:r>
        <w:rPr>
          <w:rFonts w:hint="eastAsia" w:ascii="宋体" w:hAnsi="宋体" w:eastAsia="宋体" w:cs="宋体"/>
          <w:color w:val="auto"/>
          <w:u w:val="single"/>
        </w:rPr>
        <w:t>　　　　　　</w:t>
      </w:r>
      <w:r>
        <w:rPr>
          <w:rFonts w:hint="eastAsia" w:ascii="宋体" w:hAnsi="宋体" w:eastAsia="宋体" w:cs="宋体"/>
          <w:color w:val="auto"/>
        </w:rPr>
        <w:t>）的投标。现就联合体参加本项目投标的有关事宜达成下列协议：</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一、联合体各方应承担的工作和义务具体如下：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1、牵头方（全称）：</w:t>
      </w:r>
      <w:r>
        <w:rPr>
          <w:rFonts w:hint="eastAsia" w:ascii="宋体" w:hAnsi="宋体" w:eastAsia="宋体" w:cs="宋体"/>
          <w:color w:val="auto"/>
          <w:u w:val="single"/>
        </w:rPr>
        <w:t>（填写“工作及义务的具体内容”） </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2、成员方：</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2.1（成员一的全称）：</w:t>
      </w:r>
      <w:r>
        <w:rPr>
          <w:rFonts w:hint="eastAsia" w:ascii="宋体" w:hAnsi="宋体" w:eastAsia="宋体" w:cs="宋体"/>
          <w:color w:val="auto"/>
          <w:u w:val="single"/>
        </w:rPr>
        <w:t>（填写“工作及义务的具体内容”）</w:t>
      </w:r>
      <w:r>
        <w:rPr>
          <w:rFonts w:hint="eastAsia" w:ascii="宋体" w:hAnsi="宋体" w:eastAsia="宋体" w:cs="宋体"/>
          <w:color w:val="auto"/>
        </w:rPr>
        <w:t>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二、联合体各方的合同金额占比，具体如下：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1.牵头方（</w:t>
      </w:r>
      <w:r>
        <w:rPr>
          <w:rFonts w:hint="eastAsia" w:ascii="宋体" w:hAnsi="宋体" w:eastAsia="宋体" w:cs="宋体"/>
          <w:color w:val="auto"/>
          <w:u w:val="single"/>
        </w:rPr>
        <w:t> 全称</w:t>
      </w:r>
      <w:r>
        <w:rPr>
          <w:rFonts w:hint="eastAsia" w:ascii="宋体" w:hAnsi="宋体" w:eastAsia="宋体" w:cs="宋体"/>
          <w:color w:val="auto"/>
        </w:rPr>
        <w:t> ）的合同金额占合同总额的</w:t>
      </w:r>
      <w:r>
        <w:rPr>
          <w:rFonts w:hint="eastAsia" w:ascii="宋体" w:hAnsi="宋体" w:eastAsia="宋体" w:cs="宋体"/>
          <w:color w:val="auto"/>
          <w:u w:val="single"/>
        </w:rPr>
        <w:t>　　</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2.成员方：</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2.1（</w:t>
      </w:r>
      <w:r>
        <w:rPr>
          <w:rFonts w:hint="eastAsia" w:ascii="宋体" w:hAnsi="宋体" w:eastAsia="宋体" w:cs="宋体"/>
          <w:color w:val="auto"/>
          <w:u w:val="single"/>
        </w:rPr>
        <w:t> 成员1的全称 </w:t>
      </w:r>
      <w:r>
        <w:rPr>
          <w:rFonts w:hint="eastAsia" w:ascii="宋体" w:hAnsi="宋体" w:eastAsia="宋体" w:cs="宋体"/>
          <w:color w:val="auto"/>
        </w:rPr>
        <w:t>）的合同金额占合同总额的</w:t>
      </w:r>
      <w:r>
        <w:rPr>
          <w:rFonts w:hint="eastAsia" w:ascii="宋体" w:hAnsi="宋体" w:eastAsia="宋体" w:cs="宋体"/>
          <w:color w:val="auto"/>
          <w:u w:val="single"/>
        </w:rPr>
        <w:t>　　</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三、联合体各方约定：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1、由</w:t>
      </w:r>
      <w:r>
        <w:rPr>
          <w:rFonts w:hint="eastAsia" w:ascii="宋体" w:hAnsi="宋体" w:eastAsia="宋体" w:cs="宋体"/>
          <w:color w:val="auto"/>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2、联合体各方约定由</w:t>
      </w:r>
      <w:r>
        <w:rPr>
          <w:rFonts w:hint="eastAsia" w:ascii="宋体" w:hAnsi="宋体" w:eastAsia="宋体" w:cs="宋体"/>
          <w:color w:val="auto"/>
          <w:u w:val="single"/>
        </w:rPr>
        <w:t>（填写“牵头方的全称”）代表联合体办理投标保证金事宜。</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根据福建省财政厅文件（闽财购[2008]10号）的规定，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四、若中标，牵头方将代表联合体与采购人就合同签订事宜进行协商；若协商一致，则联合体各方将共同与采购人签订政府采购合同，并就政府采购合同约定的事项对采购人承担连带责任。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五、本协议自签署之日起生效，政府采购合同履行完毕后自动失效。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六、本协议一式</w:t>
      </w:r>
      <w:r>
        <w:rPr>
          <w:rFonts w:hint="eastAsia" w:ascii="宋体" w:hAnsi="宋体" w:eastAsia="宋体" w:cs="宋体"/>
          <w:color w:val="auto"/>
          <w:u w:val="single"/>
        </w:rPr>
        <w:t>（填写具体份数）</w:t>
      </w:r>
      <w:r>
        <w:rPr>
          <w:rFonts w:hint="eastAsia" w:ascii="宋体" w:hAnsi="宋体" w:eastAsia="宋体" w:cs="宋体"/>
          <w:color w:val="auto"/>
        </w:rPr>
        <w:t>份，联合体各方各执一份，电子投标文件中提交一份。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（以下无正文）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牵头方：</w:t>
      </w:r>
      <w:r>
        <w:rPr>
          <w:rFonts w:hint="eastAsia" w:ascii="宋体" w:hAnsi="宋体" w:eastAsia="宋体" w:cs="宋体"/>
          <w:color w:val="auto"/>
          <w:u w:val="single"/>
        </w:rPr>
        <w:t>（全称并加盖单位公章）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法定代表人或其委托代理人：</w:t>
      </w:r>
      <w:r>
        <w:rPr>
          <w:rFonts w:hint="eastAsia" w:ascii="宋体" w:hAnsi="宋体" w:eastAsia="宋体" w:cs="宋体"/>
          <w:color w:val="auto"/>
          <w:u w:val="single"/>
        </w:rPr>
        <w:t> （签字或盖章）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成员一：</w:t>
      </w:r>
      <w:r>
        <w:rPr>
          <w:rFonts w:hint="eastAsia" w:ascii="宋体" w:hAnsi="宋体" w:eastAsia="宋体" w:cs="宋体"/>
          <w:color w:val="auto"/>
          <w:u w:val="single"/>
        </w:rPr>
        <w:t>（全称并加盖成员一的单位公章）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法定代表人或其委托代理人：</w:t>
      </w:r>
      <w:r>
        <w:rPr>
          <w:rFonts w:hint="eastAsia" w:ascii="宋体" w:hAnsi="宋体" w:eastAsia="宋体" w:cs="宋体"/>
          <w:color w:val="auto"/>
          <w:u w:val="single"/>
        </w:rPr>
        <w:t> （签字或盖章）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成员**：</w:t>
      </w:r>
      <w:r>
        <w:rPr>
          <w:rFonts w:hint="eastAsia" w:ascii="宋体" w:hAnsi="宋体" w:eastAsia="宋体" w:cs="宋体"/>
          <w:color w:val="auto"/>
          <w:u w:val="single"/>
        </w:rPr>
        <w:t>（全称并加盖成员**的单位公章）</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法定代表人或其委托代理人：</w:t>
      </w:r>
      <w:r>
        <w:rPr>
          <w:rFonts w:hint="eastAsia" w:ascii="宋体" w:hAnsi="宋体" w:eastAsia="宋体" w:cs="宋体"/>
          <w:color w:val="auto"/>
          <w:u w:val="single"/>
        </w:rPr>
        <w:t> （签字或盖章）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签署日期：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1、招标文件接受联合体投标且投标人为联合体的，投标人应提供本协议；否则无须提供。</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2、本协议由委托代理人签字或盖章的，应按照本章载明的格式提供“单位授权书”。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3、在以联合体形式落实中小企业预留份额项目中，投标人除了要提供《中小企业声明函》，还需提供本协议。</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二-11分包意向协议（若有）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甲方（总包方）：</w:t>
      </w:r>
      <w:r>
        <w:rPr>
          <w:rFonts w:hint="eastAsia" w:ascii="宋体" w:hAnsi="宋体" w:eastAsia="宋体" w:cs="宋体"/>
          <w:color w:val="auto"/>
          <w:u w:val="single"/>
        </w:rPr>
        <w:t>　　　　　　　</w:t>
      </w:r>
      <w:r>
        <w:rPr>
          <w:rFonts w:hint="eastAsia" w:ascii="宋体" w:hAnsi="宋体" w:eastAsia="宋体" w:cs="宋体"/>
          <w:color w:val="auto"/>
        </w:rPr>
        <w:t>（即本项目的投标人）</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乙方（分包方）：</w:t>
      </w:r>
      <w:r>
        <w:rPr>
          <w:rFonts w:hint="eastAsia" w:ascii="宋体" w:hAnsi="宋体" w:eastAsia="宋体" w:cs="宋体"/>
          <w:color w:val="auto"/>
          <w:u w:val="single"/>
        </w:rPr>
        <w:t>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兹有甲方参加</w:t>
      </w:r>
      <w:r>
        <w:rPr>
          <w:rFonts w:hint="eastAsia" w:ascii="宋体" w:hAnsi="宋体" w:eastAsia="宋体" w:cs="宋体"/>
          <w:color w:val="auto"/>
          <w:u w:val="single"/>
        </w:rPr>
        <w:t>（填写“项目名称”）</w:t>
      </w:r>
      <w:r>
        <w:rPr>
          <w:rFonts w:hint="eastAsia" w:ascii="宋体" w:hAnsi="宋体" w:eastAsia="宋体" w:cs="宋体"/>
          <w:color w:val="auto"/>
        </w:rPr>
        <w:t> 项目（项目编号：</w:t>
      </w:r>
      <w:r>
        <w:rPr>
          <w:rFonts w:hint="eastAsia" w:ascii="宋体" w:hAnsi="宋体" w:eastAsia="宋体" w:cs="宋体"/>
          <w:color w:val="auto"/>
          <w:u w:val="single"/>
        </w:rPr>
        <w:t>　　　　　　　</w:t>
      </w:r>
      <w:r>
        <w:rPr>
          <w:rFonts w:hint="eastAsia" w:ascii="宋体" w:hAnsi="宋体" w:eastAsia="宋体" w:cs="宋体"/>
          <w:color w:val="auto"/>
        </w:rPr>
        <w:t>）的政府采购活动。甲方期望将采购项目的部分采购标的分包给乙方完成，而乙方保证能够向甲方提供本协议项下的采购标的，甲、乙双方就合同分包的有关事宜达成下列协议：</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一、分包标的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u w:val="single"/>
        </w:rPr>
        <w:t>（根据双方的意向填写，可以是表格或文字描述）。</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二、分包合同金额占比</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分包合同价占投标总价的比例：</w:t>
      </w:r>
      <w:r>
        <w:rPr>
          <w:rFonts w:hint="eastAsia" w:ascii="宋体" w:hAnsi="宋体" w:eastAsia="宋体" w:cs="宋体"/>
          <w:color w:val="auto"/>
          <w:u w:val="single"/>
        </w:rPr>
        <w:t>　　　　　</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三、其他条款</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11"/>
        <w:tblW w:w="12168" w:type="dxa"/>
        <w:tblInd w:w="0" w:type="dxa"/>
        <w:tblLayout w:type="fixed"/>
        <w:tblCellMar>
          <w:top w:w="0" w:type="dxa"/>
          <w:left w:w="0" w:type="dxa"/>
          <w:bottom w:w="0" w:type="dxa"/>
          <w:right w:w="0" w:type="dxa"/>
        </w:tblCellMar>
      </w:tblPr>
      <w:tblGrid>
        <w:gridCol w:w="6084"/>
        <w:gridCol w:w="6084"/>
      </w:tblGrid>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甲方：</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乙方：</w:t>
            </w:r>
          </w:p>
        </w:tc>
      </w:tr>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住所：</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住所：</w:t>
            </w:r>
          </w:p>
        </w:tc>
      </w:tr>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单位负责人或委托代理人：</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单位负责人或委托代理人：</w:t>
            </w:r>
          </w:p>
        </w:tc>
      </w:tr>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联系方法：</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联系方法：</w:t>
            </w:r>
          </w:p>
        </w:tc>
      </w:tr>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开户银行：</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开户银行：</w:t>
            </w:r>
          </w:p>
        </w:tc>
      </w:tr>
      <w:tr>
        <w:tblPrEx>
          <w:tblCellMar>
            <w:top w:w="0" w:type="dxa"/>
            <w:left w:w="0" w:type="dxa"/>
            <w:bottom w:w="0" w:type="dxa"/>
            <w:right w:w="0" w:type="dxa"/>
          </w:tblCellMar>
        </w:tblPrEx>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账号：</w:t>
            </w:r>
          </w:p>
        </w:tc>
        <w:tc>
          <w:tcPr>
            <w:tcW w:w="608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账号：</w:t>
            </w:r>
          </w:p>
        </w:tc>
      </w:tr>
      <w:tr>
        <w:tblPrEx>
          <w:tblCellMar>
            <w:top w:w="0" w:type="dxa"/>
            <w:left w:w="0" w:type="dxa"/>
            <w:bottom w:w="0" w:type="dxa"/>
            <w:right w:w="0" w:type="dxa"/>
          </w:tblCellMar>
        </w:tblPrEx>
        <w:tc>
          <w:tcPr>
            <w:tcW w:w="12168" w:type="dxa"/>
            <w:gridSpan w:val="2"/>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签订地点：</w:t>
            </w:r>
            <w:r>
              <w:rPr>
                <w:rFonts w:hint="eastAsia" w:ascii="宋体" w:hAnsi="宋体" w:eastAsia="宋体" w:cs="宋体"/>
                <w:color w:val="auto"/>
                <w:u w:val="single"/>
              </w:rPr>
              <w:t>　　　　　　　　　　</w:t>
            </w:r>
          </w:p>
          <w:p>
            <w:pPr>
              <w:pStyle w:val="9"/>
              <w:widowControl/>
              <w:wordWrap w:val="0"/>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签约日期：</w:t>
            </w:r>
            <w:r>
              <w:rPr>
                <w:rFonts w:hint="eastAsia" w:ascii="宋体" w:hAnsi="宋体" w:eastAsia="宋体" w:cs="宋体"/>
                <w:color w:val="auto"/>
                <w:u w:val="single"/>
              </w:rPr>
              <w:t>　　年　　月　　日</w:t>
            </w: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1.招标文件接受合同分包且投标人拟将合同分包的，应提供本协议；否则无须提供。</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2.本协议由委托代理人签字或盖章的，应按照本章载明的格式提供“单位授权书”。</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3.在以合同分包形式落实中小企业预留份额项目中，投标人除了要提供《中小企业声明函》，还需提供本协议。</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二-12其他资格证明文件（若有）</w:t>
      </w:r>
    </w:p>
    <w:p>
      <w:pPr>
        <w:pStyle w:val="5"/>
        <w:widowControl/>
        <w:spacing w:beforeAutospacing="0" w:afterAutospacing="0" w:line="0" w:lineRule="atLeast"/>
        <w:jc w:val="center"/>
        <w:rPr>
          <w:rFonts w:hint="default" w:cs="宋体"/>
          <w:color w:val="auto"/>
        </w:rPr>
      </w:pPr>
      <w:r>
        <w:rPr>
          <w:rFonts w:cs="宋体"/>
          <w:color w:val="auto"/>
        </w:rPr>
        <w:t>二-12-①具备履行合同所必需设备和专业技术能力专项证明材料（若有）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（采购人或采购代理机构）</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现附上我方具备履行合同所必需的设备和专业技术能力的专项证明材料复印件（具体附后），上述证明材料真实有效，否则我方负全部责任。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1、招标文件要求投标人提供“具备履行合同所必需的设备和专业技术能力专项证明材料”的，投标人应按照招标文件规定在此项下提供相应证明材料复印件。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2、投标人提供的相应证明材料复印件均应符合：内容完整、清晰、整洁，并由投标人加盖其单位公章。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二-12-②招标文件规定的其他资格证明文件（若有）</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除招标文件另有规定外，招标文件要求提交的除前述资格证明文件外的其他资格证明文件（若有）加盖投标人的单位公章后应在此项下提交。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三、投标保证金</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1、在此项下提交的“投标保证金”材料可使用转账凭证复印件或从福建省政府采购网上公开信息系统中下载的有关原始页面的打印件。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2、投标保证金是否已提交的认定按照招标文件第三章规定执行。</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封面格式(报价部分)</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福建省政府采购投标文件</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（报价部分）</w:t>
      </w:r>
    </w:p>
    <w:p>
      <w:pPr>
        <w:widowControl/>
        <w:spacing w:line="0" w:lineRule="atLeast"/>
        <w:jc w:val="left"/>
        <w:rPr>
          <w:color w:val="auto"/>
        </w:rPr>
      </w:pPr>
      <w:r>
        <w:rPr>
          <w:rFonts w:ascii="宋体" w:hAnsi="宋体" w:eastAsia="宋体" w:cs="宋体"/>
          <w:color w:val="auto"/>
          <w:kern w:val="0"/>
          <w:sz w:val="24"/>
          <w:lang w:bidi="ar"/>
        </w:rPr>
        <w:br w:type="textWrapping"/>
      </w:r>
    </w:p>
    <w:p>
      <w:pPr>
        <w:pStyle w:val="3"/>
        <w:widowControl/>
        <w:spacing w:beforeAutospacing="0" w:afterAutospacing="0" w:line="0" w:lineRule="atLeast"/>
        <w:jc w:val="center"/>
        <w:rPr>
          <w:rFonts w:hint="default" w:cs="宋体"/>
          <w:color w:val="auto"/>
          <w:sz w:val="39"/>
          <w:szCs w:val="39"/>
        </w:rPr>
      </w:pPr>
      <w:r>
        <w:rPr>
          <w:rFonts w:cs="宋体"/>
          <w:color w:val="auto"/>
          <w:sz w:val="39"/>
          <w:szCs w:val="39"/>
        </w:rPr>
        <w:t>（填写正本或副本）</w:t>
      </w:r>
    </w:p>
    <w:p>
      <w:pPr>
        <w:widowControl/>
        <w:spacing w:line="0" w:lineRule="atLeast"/>
        <w:jc w:val="left"/>
        <w:rPr>
          <w:color w:val="auto"/>
        </w:rPr>
      </w:pP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p>
    <w:p>
      <w:pPr>
        <w:pStyle w:val="4"/>
        <w:widowControl/>
        <w:spacing w:beforeAutospacing="0" w:afterAutospacing="0" w:line="0" w:lineRule="atLeast"/>
        <w:jc w:val="center"/>
        <w:rPr>
          <w:rFonts w:hint="default" w:cs="宋体"/>
          <w:color w:val="auto"/>
        </w:rPr>
      </w:pPr>
      <w:r>
        <w:rPr>
          <w:rFonts w:cs="宋体"/>
          <w:color w:val="auto"/>
        </w:rPr>
        <w:t>（项目名称：（由投标人填写）</w:t>
      </w:r>
    </w:p>
    <w:p>
      <w:pPr>
        <w:pStyle w:val="4"/>
        <w:widowControl/>
        <w:spacing w:beforeAutospacing="0" w:afterAutospacing="0" w:line="0" w:lineRule="atLeast"/>
        <w:jc w:val="center"/>
        <w:rPr>
          <w:rFonts w:hint="default" w:cs="宋体"/>
          <w:color w:val="auto"/>
        </w:rPr>
      </w:pPr>
      <w:r>
        <w:rPr>
          <w:rFonts w:cs="宋体"/>
          <w:color w:val="auto"/>
        </w:rPr>
        <w:t>（备案编号：（由投标人填写）</w:t>
      </w:r>
    </w:p>
    <w:p>
      <w:pPr>
        <w:pStyle w:val="4"/>
        <w:widowControl/>
        <w:spacing w:beforeAutospacing="0" w:afterAutospacing="0" w:line="0" w:lineRule="atLeast"/>
        <w:jc w:val="center"/>
        <w:rPr>
          <w:rFonts w:hint="default" w:cs="宋体"/>
          <w:color w:val="auto"/>
        </w:rPr>
      </w:pPr>
      <w:r>
        <w:rPr>
          <w:rFonts w:cs="宋体"/>
          <w:color w:val="auto"/>
        </w:rPr>
        <w:t>（项目编号：（由投标人填写）</w:t>
      </w:r>
    </w:p>
    <w:p>
      <w:pPr>
        <w:pStyle w:val="4"/>
        <w:widowControl/>
        <w:spacing w:beforeAutospacing="0" w:afterAutospacing="0" w:line="0" w:lineRule="atLeast"/>
        <w:jc w:val="center"/>
        <w:rPr>
          <w:rFonts w:hint="default" w:cs="宋体"/>
          <w:color w:val="auto"/>
        </w:rPr>
      </w:pPr>
      <w:r>
        <w:rPr>
          <w:rFonts w:cs="宋体"/>
          <w:color w:val="auto"/>
        </w:rPr>
        <w:t>（所投采购包：（由投标人填写）</w:t>
      </w:r>
    </w:p>
    <w:p>
      <w:pPr>
        <w:widowControl/>
        <w:spacing w:line="0" w:lineRule="atLeast"/>
        <w:jc w:val="left"/>
        <w:rPr>
          <w:color w:val="auto"/>
        </w:rPr>
      </w:pPr>
    </w:p>
    <w:p>
      <w:pPr>
        <w:pStyle w:val="4"/>
        <w:widowControl/>
        <w:spacing w:beforeAutospacing="0" w:afterAutospacing="0" w:line="0" w:lineRule="atLeast"/>
        <w:jc w:val="center"/>
        <w:rPr>
          <w:rFonts w:hint="default" w:cs="宋体"/>
          <w:color w:val="auto"/>
        </w:rPr>
      </w:pPr>
      <w:r>
        <w:rPr>
          <w:rFonts w:cs="宋体"/>
          <w:color w:val="auto"/>
        </w:rPr>
        <w:t>投标人：（填写“全称”）</w:t>
      </w:r>
    </w:p>
    <w:p>
      <w:pPr>
        <w:pStyle w:val="4"/>
        <w:widowControl/>
        <w:spacing w:beforeAutospacing="0" w:afterAutospacing="0" w:line="0" w:lineRule="atLeast"/>
        <w:jc w:val="center"/>
        <w:rPr>
          <w:rFonts w:hint="default" w:cs="宋体"/>
          <w:color w:val="auto"/>
        </w:rPr>
      </w:pPr>
      <w:r>
        <w:rPr>
          <w:rFonts w:cs="宋体"/>
          <w:color w:val="auto"/>
        </w:rPr>
        <w:t>（由投标人填写）年（由投标人填写）月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索引</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一、开标一览表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二、投标分项报价表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三、招标文件规定的价格扣除证明材料（若有）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四、招标文件规定的加分证明材料（若有）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一、开标一览表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货币及单位：人民币元</w:t>
      </w:r>
    </w:p>
    <w:tbl>
      <w:tblPr>
        <w:tblStyle w:val="11"/>
        <w:tblW w:w="12168" w:type="dxa"/>
        <w:tblInd w:w="0" w:type="dxa"/>
        <w:tblLayout w:type="fixed"/>
        <w:tblCellMar>
          <w:top w:w="0" w:type="dxa"/>
          <w:left w:w="0" w:type="dxa"/>
          <w:bottom w:w="0" w:type="dxa"/>
          <w:right w:w="0" w:type="dxa"/>
        </w:tblCellMar>
      </w:tblPr>
      <w:tblGrid>
        <w:gridCol w:w="950"/>
        <w:gridCol w:w="2841"/>
        <w:gridCol w:w="1421"/>
        <w:gridCol w:w="6956"/>
      </w:tblGrid>
      <w:tr>
        <w:tblPrEx>
          <w:tblCellMar>
            <w:top w:w="0" w:type="dxa"/>
            <w:left w:w="0" w:type="dxa"/>
            <w:bottom w:w="0" w:type="dxa"/>
            <w:right w:w="0" w:type="dxa"/>
          </w:tblCellMar>
        </w:tblPrEx>
        <w:tc>
          <w:tcPr>
            <w:tcW w:w="9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284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投标报价</w:t>
            </w:r>
          </w:p>
        </w:tc>
        <w:tc>
          <w:tcPr>
            <w:tcW w:w="14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投标保证金</w:t>
            </w:r>
          </w:p>
        </w:tc>
        <w:tc>
          <w:tcPr>
            <w:tcW w:w="695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tc>
      </w:tr>
      <w:tr>
        <w:tblPrEx>
          <w:tblCellMar>
            <w:top w:w="0" w:type="dxa"/>
            <w:left w:w="0" w:type="dxa"/>
            <w:bottom w:w="0" w:type="dxa"/>
            <w:right w:w="0" w:type="dxa"/>
          </w:tblCellMar>
        </w:tblPrEx>
        <w:tc>
          <w:tcPr>
            <w:tcW w:w="9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284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投标总价（大写金额）：</w:t>
            </w:r>
            <w:r>
              <w:rPr>
                <w:rFonts w:hint="eastAsia" w:ascii="宋体" w:hAnsi="宋体" w:eastAsia="宋体" w:cs="宋体"/>
                <w:color w:val="auto"/>
                <w:u w:val="single"/>
              </w:rPr>
              <w:t>　　　　　　　　</w:t>
            </w:r>
          </w:p>
        </w:tc>
        <w:tc>
          <w:tcPr>
            <w:tcW w:w="14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6956"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a.&gt;投标报价的明细：详见《投标分项报价表》。</w:t>
            </w:r>
          </w:p>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b.&gt;招标文件规定的价格扣除证明材料（若有）：详见报价部分。</w:t>
            </w:r>
          </w:p>
        </w:tc>
      </w:tr>
      <w:tr>
        <w:tblPrEx>
          <w:tblCellMar>
            <w:top w:w="0" w:type="dxa"/>
            <w:left w:w="0" w:type="dxa"/>
            <w:bottom w:w="0" w:type="dxa"/>
            <w:right w:w="0" w:type="dxa"/>
          </w:tblCellMar>
        </w:tblPrEx>
        <w:tc>
          <w:tcPr>
            <w:tcW w:w="95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284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投标总价（大写金额）：</w:t>
            </w:r>
            <w:r>
              <w:rPr>
                <w:rFonts w:hint="eastAsia" w:ascii="宋体" w:hAnsi="宋体" w:eastAsia="宋体" w:cs="宋体"/>
                <w:color w:val="auto"/>
                <w:u w:val="single"/>
              </w:rPr>
              <w:t>　　　　　　　　</w:t>
            </w:r>
          </w:p>
        </w:tc>
        <w:tc>
          <w:tcPr>
            <w:tcW w:w="14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6956"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1、本表应按照下列规定填写：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1.1投标人应按照本表格式填写所投的采购包的“投标报价”。</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1.2本表中列示的“采购包”应与《投标分项报价表》中列示的“采购包”保持一致，即：若本表中列示的“采购包”为“1”时，《投标分项报价表》中列示的“采购包”亦应为“1”，以此类推。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1.3“大写金额”指“投标报价”应用“壹、贰、叁、肆、伍、陆、柒、捌、玖、拾、佰、仟、万、亿、元、角、分、零”等进行填写。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二、投标分项报价表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货币及单位：人民币元</w:t>
      </w:r>
    </w:p>
    <w:tbl>
      <w:tblPr>
        <w:tblStyle w:val="11"/>
        <w:tblW w:w="12168" w:type="dxa"/>
        <w:tblInd w:w="0" w:type="dxa"/>
        <w:tblLayout w:type="fixed"/>
        <w:tblCellMar>
          <w:top w:w="0" w:type="dxa"/>
          <w:left w:w="0" w:type="dxa"/>
          <w:bottom w:w="0" w:type="dxa"/>
          <w:right w:w="0" w:type="dxa"/>
        </w:tblCellMar>
      </w:tblPr>
      <w:tblGrid>
        <w:gridCol w:w="1216"/>
        <w:gridCol w:w="1217"/>
        <w:gridCol w:w="1521"/>
        <w:gridCol w:w="913"/>
        <w:gridCol w:w="1217"/>
        <w:gridCol w:w="2129"/>
        <w:gridCol w:w="913"/>
        <w:gridCol w:w="2129"/>
        <w:gridCol w:w="913"/>
      </w:tblGrid>
      <w:tr>
        <w:tblPrEx>
          <w:tblCellMar>
            <w:top w:w="0" w:type="dxa"/>
            <w:left w:w="0" w:type="dxa"/>
            <w:bottom w:w="0" w:type="dxa"/>
            <w:right w:w="0" w:type="dxa"/>
          </w:tblCellMar>
        </w:tblPrEx>
        <w:tc>
          <w:tcPr>
            <w:tcW w:w="121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15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投标标的</w:t>
            </w: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规格</w:t>
            </w: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来源地</w:t>
            </w: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单价（现场）</w:t>
            </w: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数量</w:t>
            </w: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总价（现场）</w:t>
            </w: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tc>
      </w:tr>
      <w:tr>
        <w:tblPrEx>
          <w:tblCellMar>
            <w:top w:w="0" w:type="dxa"/>
            <w:left w:w="0" w:type="dxa"/>
            <w:bottom w:w="0" w:type="dxa"/>
            <w:right w:w="0" w:type="dxa"/>
          </w:tblCellMar>
        </w:tblPrEx>
        <w:tc>
          <w:tcPr>
            <w:tcW w:w="1216"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15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216"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5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21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52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21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129"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91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1、本表应按照下列规定填写：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投标人应按照本表格式填写所投采购包的分项报价，其中：“采购包”、“品目号”、“投标标的”及“数量”应与招标文件《采购标的一览表》中的有关内容（“采购包”、“品目号”、“采购标的”及“数量”）保持一致，“采购包”还应与《开标一览表》中列示的“采购包”保持一致，即：若《开标一览表》中列示的“采购包”为“1”时，本表中列示的“采购包”亦应为“1”，以此类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1.2“投标标的”为货物的：“规格”项下应填写货物制造厂商赋予的品牌（属于节能、环保清单产品的货物，填写的品牌名称应与清单载明的品牌名称保持一致）及具体型号。“来源地”应填写货物的原产地。</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1.3“投标标的”为服务的：“规格”项下应填写服务提供者提供的服务标准及品牌（若有）。“来源地”应填写服务提供者的所在地。</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1.4同一采购包中，“单价（现场）”×“数量”=“总价（现场）”，全部品目号“总价（现场）”的合计金额应与《开标一览表》中相应采购包列示的“投标总价”保持一致。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1.5若招标文件要求投标人对“备品备件价格、专用工具价格、技术服务费、安装调试费、检验培训费、运输费、保险费、税收”等进行报价的，请在本表的“备注”项下填写。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三、招标文件规定的价格扣除证明材料（若有）</w:t>
      </w:r>
    </w:p>
    <w:p>
      <w:pPr>
        <w:pStyle w:val="5"/>
        <w:widowControl/>
        <w:spacing w:beforeAutospacing="0" w:afterAutospacing="0" w:line="0" w:lineRule="atLeast"/>
        <w:jc w:val="center"/>
        <w:rPr>
          <w:rFonts w:hint="default" w:cs="宋体"/>
          <w:color w:val="auto"/>
        </w:rPr>
      </w:pPr>
      <w:r>
        <w:rPr>
          <w:rFonts w:cs="宋体"/>
          <w:color w:val="auto"/>
        </w:rPr>
        <w:t>三-1优先类节能产品、环境标志产品价格扣除证明材料（若有）</w:t>
      </w:r>
    </w:p>
    <w:p>
      <w:pPr>
        <w:pStyle w:val="5"/>
        <w:widowControl/>
        <w:spacing w:beforeAutospacing="0" w:afterAutospacing="0" w:line="0" w:lineRule="atLeast"/>
        <w:jc w:val="center"/>
        <w:rPr>
          <w:rFonts w:hint="default" w:cs="宋体"/>
          <w:color w:val="auto"/>
        </w:rPr>
      </w:pPr>
      <w:r>
        <w:rPr>
          <w:rFonts w:cs="宋体"/>
          <w:color w:val="auto"/>
        </w:rPr>
        <w:t>三-1-①优先类节能产品、环境标志产品统计表（价格扣除适用，若有）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货币及单位：人民币元</w:t>
      </w:r>
    </w:p>
    <w:tbl>
      <w:tblPr>
        <w:tblStyle w:val="11"/>
        <w:tblW w:w="12168" w:type="dxa"/>
        <w:tblInd w:w="0" w:type="dxa"/>
        <w:tblLayout w:type="fixed"/>
        <w:tblCellMar>
          <w:top w:w="0" w:type="dxa"/>
          <w:left w:w="0" w:type="dxa"/>
          <w:bottom w:w="0" w:type="dxa"/>
          <w:right w:w="0" w:type="dxa"/>
        </w:tblCellMar>
      </w:tblPr>
      <w:tblGrid>
        <w:gridCol w:w="846"/>
        <w:gridCol w:w="1472"/>
        <w:gridCol w:w="1811"/>
        <w:gridCol w:w="2548"/>
        <w:gridCol w:w="1132"/>
        <w:gridCol w:w="2547"/>
        <w:gridCol w:w="1812"/>
      </w:tblGrid>
      <w:tr>
        <w:tblPrEx>
          <w:tblCellMar>
            <w:top w:w="0" w:type="dxa"/>
            <w:left w:w="0" w:type="dxa"/>
            <w:bottom w:w="0" w:type="dxa"/>
            <w:right w:w="0" w:type="dxa"/>
          </w:tblCellMar>
        </w:tblPrEx>
        <w:tc>
          <w:tcPr>
            <w:tcW w:w="8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1322" w:type="dxa"/>
            <w:gridSpan w:val="6"/>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本采购包内属于节能、环境标志产品的情况</w:t>
            </w:r>
          </w:p>
        </w:tc>
      </w:tr>
      <w:tr>
        <w:tblPrEx>
          <w:tblCellMar>
            <w:top w:w="0" w:type="dxa"/>
            <w:left w:w="0" w:type="dxa"/>
            <w:bottom w:w="0" w:type="dxa"/>
            <w:right w:w="0" w:type="dxa"/>
          </w:tblCellMar>
        </w:tblPrEx>
        <w:tc>
          <w:tcPr>
            <w:tcW w:w="8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4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181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货物名称</w:t>
            </w:r>
          </w:p>
        </w:tc>
        <w:tc>
          <w:tcPr>
            <w:tcW w:w="254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单价（现场）</w:t>
            </w:r>
          </w:p>
        </w:tc>
        <w:tc>
          <w:tcPr>
            <w:tcW w:w="113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数量</w:t>
            </w:r>
          </w:p>
        </w:tc>
        <w:tc>
          <w:tcPr>
            <w:tcW w:w="254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总价（现场）</w:t>
            </w:r>
          </w:p>
        </w:tc>
        <w:tc>
          <w:tcPr>
            <w:tcW w:w="18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认证种类</w:t>
            </w:r>
          </w:p>
        </w:tc>
      </w:tr>
      <w:tr>
        <w:tblPrEx>
          <w:tblCellMar>
            <w:top w:w="0" w:type="dxa"/>
            <w:left w:w="0" w:type="dxa"/>
            <w:bottom w:w="0" w:type="dxa"/>
            <w:right w:w="0" w:type="dxa"/>
          </w:tblCellMar>
        </w:tblPrEx>
        <w:tc>
          <w:tcPr>
            <w:tcW w:w="846"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4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181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54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13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54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846"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81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54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13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54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846"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tc>
        <w:tc>
          <w:tcPr>
            <w:tcW w:w="11322" w:type="dxa"/>
            <w:gridSpan w:val="6"/>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a.采购包内属于节能、环境标志产品的报价总金额：</w:t>
            </w:r>
            <w:r>
              <w:rPr>
                <w:rFonts w:hint="eastAsia" w:ascii="宋体" w:hAnsi="宋体" w:eastAsia="宋体" w:cs="宋体"/>
                <w:color w:val="auto"/>
                <w:u w:val="single"/>
              </w:rPr>
              <w:t>　　　　　</w:t>
            </w:r>
            <w:r>
              <w:rPr>
                <w:rFonts w:hint="eastAsia" w:ascii="宋体" w:hAnsi="宋体" w:eastAsia="宋体" w:cs="宋体"/>
                <w:color w:val="auto"/>
              </w:rPr>
              <w:t>；</w:t>
            </w:r>
          </w:p>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b.采购包投标总价（报价总金额）：</w:t>
            </w:r>
            <w:r>
              <w:rPr>
                <w:rFonts w:hint="eastAsia" w:ascii="宋体" w:hAnsi="宋体" w:eastAsia="宋体" w:cs="宋体"/>
                <w:color w:val="auto"/>
                <w:u w:val="single"/>
              </w:rPr>
              <w:t>　　　　　</w:t>
            </w:r>
            <w:r>
              <w:rPr>
                <w:rFonts w:hint="eastAsia" w:ascii="宋体" w:hAnsi="宋体" w:eastAsia="宋体" w:cs="宋体"/>
                <w:color w:val="auto"/>
              </w:rPr>
              <w:t>；</w:t>
            </w:r>
          </w:p>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c.“采购包内属于节能、环境标志产品的报价总金额”占“采购包投标总价（报价总金额）”的比例（以%列示）：</w:t>
            </w:r>
            <w:r>
              <w:rPr>
                <w:rFonts w:hint="eastAsia" w:ascii="宋体" w:hAnsi="宋体" w:eastAsia="宋体" w:cs="宋体"/>
                <w:color w:val="auto"/>
                <w:u w:val="single"/>
              </w:rPr>
              <w:t>　　　　　</w:t>
            </w:r>
            <w:r>
              <w:rPr>
                <w:rFonts w:hint="eastAsia" w:ascii="宋体" w:hAnsi="宋体" w:eastAsia="宋体" w:cs="宋体"/>
                <w:color w:val="auto"/>
              </w:rPr>
              <w:t>；</w:t>
            </w: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1、对节能、环境标志产品计算价格扣除时，只依据电子投标文件“三-1-②优先类节能产品、环境标志产品证明材料（价格扣除适用，若有）”。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2、本表以采购包为单位，不同采购包请分别填写；同一采购包请按照其品目号顺序分别填写。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3、具体统计、计算：</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3.1若节能、环境标志产品仅是构成投标产品的部件、组件或零件，则该投标产品不享受鼓励优惠政策。同一品目中各认证证书不重复计算价格扣除。强制类节能产品不享受价格扣除。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3.2计算结果若除不尽，可四舍五入保留到小数点后两位。</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3.3投标人应按照招标文件要求认真统计、计算，否则评标委员会不予认定。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3.4若无节能、环境标志产品，不填写本表，否则，视为提供虚假材料。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三-1-②优先类节能产品、环境标志产品证明材料（价格扣除适用，若有）</w:t>
      </w:r>
    </w:p>
    <w:p>
      <w:pPr>
        <w:pStyle w:val="5"/>
        <w:widowControl/>
        <w:spacing w:beforeAutospacing="0" w:afterAutospacing="0" w:line="0" w:lineRule="atLeast"/>
        <w:jc w:val="center"/>
        <w:rPr>
          <w:rFonts w:hint="default" w:cs="宋体"/>
          <w:color w:val="auto"/>
        </w:rPr>
      </w:pPr>
      <w:r>
        <w:rPr>
          <w:rFonts w:cs="宋体"/>
          <w:color w:val="auto"/>
        </w:rPr>
        <w:t>三-2小型、微型企业产品等价格扣除证明材料（若有）</w:t>
      </w:r>
    </w:p>
    <w:p>
      <w:pPr>
        <w:pStyle w:val="5"/>
        <w:widowControl/>
        <w:spacing w:beforeAutospacing="0" w:afterAutospacing="0" w:line="0" w:lineRule="atLeast"/>
        <w:jc w:val="center"/>
        <w:rPr>
          <w:rFonts w:hint="default" w:cs="宋体"/>
          <w:color w:val="auto"/>
        </w:rPr>
      </w:pPr>
      <w:r>
        <w:rPr>
          <w:rFonts w:cs="宋体"/>
          <w:color w:val="auto"/>
        </w:rPr>
        <w:t>三-2-①中小企业声明函（价格扣除适用，若有）</w:t>
      </w:r>
    </w:p>
    <w:p>
      <w:pPr>
        <w:pStyle w:val="5"/>
        <w:widowControl/>
        <w:spacing w:beforeAutospacing="0" w:afterAutospacing="0" w:line="0" w:lineRule="atLeast"/>
        <w:jc w:val="center"/>
        <w:rPr>
          <w:rFonts w:hint="default" w:cs="宋体"/>
          <w:color w:val="auto"/>
        </w:rPr>
      </w:pPr>
      <w:r>
        <w:rPr>
          <w:rFonts w:cs="宋体"/>
          <w:color w:val="auto"/>
        </w:rPr>
        <w:t>中小企业声明函（货物）</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 号）的规定，本公司（联合体）参加</w:t>
      </w:r>
      <w:r>
        <w:rPr>
          <w:rFonts w:hint="eastAsia" w:ascii="宋体" w:hAnsi="宋体" w:eastAsia="宋体" w:cs="宋体"/>
          <w:color w:val="auto"/>
          <w:u w:val="single"/>
        </w:rPr>
        <w:t>（单位名称）</w:t>
      </w:r>
      <w:r>
        <w:rPr>
          <w:rFonts w:hint="eastAsia" w:ascii="宋体" w:hAnsi="宋体" w:eastAsia="宋体" w:cs="宋体"/>
          <w:color w:val="auto"/>
        </w:rPr>
        <w:t>的</w:t>
      </w:r>
      <w:r>
        <w:rPr>
          <w:rFonts w:hint="eastAsia" w:ascii="宋体" w:hAnsi="宋体" w:eastAsia="宋体" w:cs="宋体"/>
          <w:color w:val="auto"/>
          <w:u w:val="single"/>
        </w:rPr>
        <w:t>（项目名称）</w:t>
      </w:r>
      <w:r>
        <w:rPr>
          <w:rFonts w:hint="eastAsia" w:ascii="宋体" w:hAnsi="宋体" w:eastAsia="宋体" w:cs="宋体"/>
          <w:color w:val="auto"/>
        </w:rPr>
        <w:t>采购活动，提供的货物全部由符合政策要求的中小企业制造。相关企业（含联合体中的中小企业、签订分包意向协议的中小企业）的具体情况如下：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u w:val="single"/>
        </w:rPr>
        <w:t> （标的名称） </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行业；制造商为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w:t>
      </w:r>
      <w:r>
        <w:rPr>
          <w:rFonts w:hint="eastAsia" w:ascii="宋体" w:hAnsi="宋体" w:eastAsia="宋体" w:cs="宋体"/>
          <w:color w:val="auto"/>
          <w:sz w:val="21"/>
          <w:szCs w:val="21"/>
          <w:vertAlign w:val="superscript"/>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u w:val="single"/>
        </w:rPr>
        <w:t> （标的名称） </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行业；制造商为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本企业对上述声明内容的真实性负责。如有虚假，将依法承担相应责任。</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1、从业人员、营业收入、资产总额填报上一年度数据，无上一年度数据的新成立企业可不填报。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中小企业声明函（工程、服务）</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 号）的规定，本公司（联合体）参加</w:t>
      </w:r>
      <w:r>
        <w:rPr>
          <w:rFonts w:hint="eastAsia" w:ascii="宋体" w:hAnsi="宋体" w:eastAsia="宋体" w:cs="宋体"/>
          <w:color w:val="auto"/>
          <w:u w:val="single"/>
        </w:rPr>
        <w:t>（单位名称）</w:t>
      </w:r>
      <w:r>
        <w:rPr>
          <w:rFonts w:hint="eastAsia" w:ascii="宋体" w:hAnsi="宋体" w:eastAsia="宋体" w:cs="宋体"/>
          <w:color w:val="auto"/>
        </w:rPr>
        <w:t>的</w:t>
      </w:r>
      <w:r>
        <w:rPr>
          <w:rFonts w:hint="eastAsia" w:ascii="宋体" w:hAnsi="宋体" w:eastAsia="宋体" w:cs="宋体"/>
          <w:color w:val="auto"/>
          <w:u w:val="single"/>
        </w:rPr>
        <w:t>（项目名称）</w:t>
      </w:r>
      <w:r>
        <w:rPr>
          <w:rFonts w:hint="eastAsia" w:ascii="宋体" w:hAnsi="宋体" w:eastAsia="宋体" w:cs="宋体"/>
          <w:color w:val="auto"/>
        </w:rPr>
        <w:t>采购活动，工程的施工单位全部为符合政策要求的中小企业（或者：服务全部由符合政策要求的中小企业承接）。相关企业（含联合体中的中小企业、签订分包意向协议的中小企业）的具体情况如下：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u w:val="single"/>
        </w:rPr>
        <w:t>（标的名称）</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；承建（承接）企业为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w:t>
      </w:r>
      <w:r>
        <w:rPr>
          <w:rFonts w:hint="eastAsia" w:ascii="宋体" w:hAnsi="宋体" w:eastAsia="宋体" w:cs="宋体"/>
          <w:color w:val="auto"/>
          <w:sz w:val="21"/>
          <w:szCs w:val="21"/>
          <w:vertAlign w:val="superscript"/>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u w:val="single"/>
        </w:rPr>
        <w:t>（标的名称）</w:t>
      </w:r>
      <w:r>
        <w:rPr>
          <w:rFonts w:hint="eastAsia" w:ascii="宋体" w:hAnsi="宋体" w:eastAsia="宋体" w:cs="宋体"/>
          <w:color w:val="auto"/>
        </w:rPr>
        <w:t>，属于</w:t>
      </w:r>
      <w:r>
        <w:rPr>
          <w:rFonts w:hint="eastAsia" w:ascii="宋体" w:hAnsi="宋体" w:eastAsia="宋体" w:cs="宋体"/>
          <w:color w:val="auto"/>
          <w:u w:val="single"/>
        </w:rPr>
        <w:t>（采购文件中明确的所属行业）</w:t>
      </w:r>
      <w:r>
        <w:rPr>
          <w:rFonts w:hint="eastAsia" w:ascii="宋体" w:hAnsi="宋体" w:eastAsia="宋体" w:cs="宋体"/>
          <w:color w:val="auto"/>
        </w:rPr>
        <w:t>；承建（承接）企业为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　　　　　</w:t>
      </w:r>
      <w:r>
        <w:rPr>
          <w:rFonts w:hint="eastAsia" w:ascii="宋体" w:hAnsi="宋体" w:eastAsia="宋体" w:cs="宋体"/>
          <w:color w:val="auto"/>
        </w:rPr>
        <w:t>人，营业收入为</w:t>
      </w:r>
      <w:r>
        <w:rPr>
          <w:rFonts w:hint="eastAsia" w:ascii="宋体" w:hAnsi="宋体" w:eastAsia="宋体" w:cs="宋体"/>
          <w:color w:val="auto"/>
          <w:u w:val="single"/>
        </w:rPr>
        <w:t>　　　　　</w:t>
      </w:r>
      <w:r>
        <w:rPr>
          <w:rFonts w:hint="eastAsia" w:ascii="宋体" w:hAnsi="宋体" w:eastAsia="宋体" w:cs="宋体"/>
          <w:color w:val="auto"/>
        </w:rPr>
        <w:t>万元，资产总额为</w:t>
      </w:r>
      <w:r>
        <w:rPr>
          <w:rFonts w:hint="eastAsia" w:ascii="宋体" w:hAnsi="宋体" w:eastAsia="宋体" w:cs="宋体"/>
          <w:color w:val="auto"/>
          <w:u w:val="single"/>
        </w:rPr>
        <w:t>　　　　　</w:t>
      </w:r>
      <w:r>
        <w:rPr>
          <w:rFonts w:hint="eastAsia" w:ascii="宋体" w:hAnsi="宋体" w:eastAsia="宋体" w:cs="宋体"/>
          <w:color w:val="auto"/>
        </w:rPr>
        <w:t>万元，属于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本企业对上述声明内容的真实性负责。如有虚假，将依法承担相应责任。</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1、从业人员、营业收入、资产总额填报上一年度数据，无上一年度数据的新成立企业可不填报。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三-2-②小型、微型企业等证明材料（价格扣除适用，若有）</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1、投标人应按照招标文件要求提供相应证明材料，证明材料应与《中小企业声明函》的内容相一致，否则视为《中小企业声明函》内容不真实。</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2、投标人为监狱企业的，根据其提供的由省级以上监狱管理局、戒毒管理局（含新疆生产建设兵团）出具的属于监狱企业的证明文件进行认定，监狱企业视同小型、微型企业。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3、投标人为残疾人福利性单位的，根据其提供的《残疾人福利性单位声明函》（格式附后）进行认定，残疾人福利性单位视同小型、微型企业。残疾人福利性单位属于小型、微型企业的，不重复享受政策。</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附：</w:t>
      </w:r>
    </w:p>
    <w:p>
      <w:pPr>
        <w:pStyle w:val="5"/>
        <w:widowControl/>
        <w:spacing w:beforeAutospacing="0" w:afterAutospacing="0" w:line="0" w:lineRule="atLeast"/>
        <w:jc w:val="center"/>
        <w:rPr>
          <w:rFonts w:hint="default" w:cs="宋体"/>
          <w:color w:val="auto"/>
        </w:rPr>
      </w:pPr>
      <w:r>
        <w:rPr>
          <w:rFonts w:cs="宋体"/>
          <w:color w:val="auto"/>
        </w:rPr>
        <w:t>残疾人福利性单位声明函（价格扣除适用，若有）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）由本投标人承建的（填写“所投采购包、品目号”）工程</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）由本投标人承接的（填写“所投采购包、品目号”）服务；</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本投标人对上述声明的真实性负责。如有虚假，将依法承担相应责任。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1、请投标人按照实际情况编制填写本声明函，并在相应的（）中打“√”。</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2、若《残疾人福利性单位声明函》内容不真实，视为提供虚假材料。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附：</w:t>
      </w:r>
    </w:p>
    <w:p>
      <w:pPr>
        <w:pStyle w:val="5"/>
        <w:widowControl/>
        <w:spacing w:beforeAutospacing="0" w:afterAutospacing="0" w:line="0" w:lineRule="atLeast"/>
        <w:jc w:val="center"/>
        <w:rPr>
          <w:rFonts w:hint="default" w:cs="宋体"/>
          <w:color w:val="auto"/>
        </w:rPr>
      </w:pPr>
      <w:r>
        <w:rPr>
          <w:rFonts w:cs="宋体"/>
          <w:color w:val="auto"/>
        </w:rPr>
        <w:t>监狱企业证明材料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投标人为监狱企业，提供本单位制造的货物（承接的服务），并在电子投标文件中提供省级以上监狱管理局、戒毒管理局（含新疆生产建设兵团）出具的属于监狱企业的证明文件。</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三-3招标文件规定的其他价格扣除证明材料（若有）</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若投标人可享受招标文件规定的除“节能（非强制类）、环境标志产品价格扣除”及“小型、微型企业产品等价格扣除”外的其他价格扣除优惠，则投标人应按照招标文件要求提供相应证明材料。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四、招标文件规定的加分证明材料（若有）</w:t>
      </w:r>
    </w:p>
    <w:p>
      <w:pPr>
        <w:pStyle w:val="5"/>
        <w:widowControl/>
        <w:spacing w:beforeAutospacing="0" w:afterAutospacing="0" w:line="0" w:lineRule="atLeast"/>
        <w:jc w:val="center"/>
        <w:rPr>
          <w:rFonts w:hint="default" w:cs="宋体"/>
          <w:color w:val="auto"/>
        </w:rPr>
      </w:pPr>
      <w:r>
        <w:rPr>
          <w:rFonts w:cs="宋体"/>
          <w:color w:val="auto"/>
        </w:rPr>
        <w:t>四-1优先类节能产品、环境标志产品加分证明材料（若有）</w:t>
      </w:r>
    </w:p>
    <w:p>
      <w:pPr>
        <w:pStyle w:val="5"/>
        <w:widowControl/>
        <w:spacing w:beforeAutospacing="0" w:afterAutospacing="0" w:line="0" w:lineRule="atLeast"/>
        <w:jc w:val="center"/>
        <w:rPr>
          <w:rFonts w:hint="default" w:cs="宋体"/>
          <w:color w:val="auto"/>
        </w:rPr>
      </w:pPr>
      <w:r>
        <w:rPr>
          <w:rFonts w:cs="宋体"/>
          <w:color w:val="auto"/>
        </w:rPr>
        <w:t>四-1-①优先类节能产品、环境标志产品统计表（加分适用，若有）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货币及单位：人民币元</w:t>
      </w:r>
    </w:p>
    <w:tbl>
      <w:tblPr>
        <w:tblStyle w:val="11"/>
        <w:tblW w:w="12168" w:type="dxa"/>
        <w:tblInd w:w="0" w:type="dxa"/>
        <w:tblLayout w:type="fixed"/>
        <w:tblCellMar>
          <w:top w:w="0" w:type="dxa"/>
          <w:left w:w="0" w:type="dxa"/>
          <w:bottom w:w="0" w:type="dxa"/>
          <w:right w:w="0" w:type="dxa"/>
        </w:tblCellMar>
      </w:tblPr>
      <w:tblGrid>
        <w:gridCol w:w="1390"/>
        <w:gridCol w:w="1391"/>
        <w:gridCol w:w="1738"/>
        <w:gridCol w:w="2434"/>
        <w:gridCol w:w="1043"/>
        <w:gridCol w:w="2434"/>
        <w:gridCol w:w="1738"/>
      </w:tblGrid>
      <w:tr>
        <w:tblPrEx>
          <w:tblCellMar>
            <w:top w:w="0" w:type="dxa"/>
            <w:left w:w="0" w:type="dxa"/>
            <w:bottom w:w="0" w:type="dxa"/>
            <w:right w:w="0" w:type="dxa"/>
          </w:tblCellMar>
        </w:tblPrEx>
        <w:tc>
          <w:tcPr>
            <w:tcW w:w="139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0778" w:type="dxa"/>
            <w:gridSpan w:val="6"/>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本采购包内属于节能、环境标志产品的情况</w:t>
            </w:r>
          </w:p>
        </w:tc>
      </w:tr>
      <w:tr>
        <w:tblPrEx>
          <w:tblCellMar>
            <w:top w:w="0" w:type="dxa"/>
            <w:left w:w="0" w:type="dxa"/>
            <w:bottom w:w="0" w:type="dxa"/>
            <w:right w:w="0" w:type="dxa"/>
          </w:tblCellMar>
        </w:tblPrEx>
        <w:tc>
          <w:tcPr>
            <w:tcW w:w="139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39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货物名称</w:t>
            </w: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单价（现场）</w:t>
            </w:r>
          </w:p>
        </w:tc>
        <w:tc>
          <w:tcPr>
            <w:tcW w:w="104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数量</w:t>
            </w: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总价（现场）</w:t>
            </w: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认证种类</w:t>
            </w:r>
          </w:p>
        </w:tc>
      </w:tr>
      <w:tr>
        <w:tblPrEx>
          <w:tblCellMar>
            <w:top w:w="0" w:type="dxa"/>
            <w:left w:w="0" w:type="dxa"/>
            <w:bottom w:w="0" w:type="dxa"/>
            <w:right w:w="0" w:type="dxa"/>
          </w:tblCellMar>
        </w:tblPrEx>
        <w:tc>
          <w:tcPr>
            <w:tcW w:w="1390"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39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04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390"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391"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043"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43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73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1、对节能、环境标志产品计算价格扣除时，只依据电子投标文件“四-1-②优先类节能产品、环境标志产品加分证明材料（加分适用，若有）”。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2、本表以采购包为单位，不同采购包请分别填写；同一采购包请按照其品目号顺序分别填写。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3、具体统计、计算：</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3.1若节能、环境标志产品仅是构成投标产品的部件、组件或零件，则该投标产品不享受鼓励优惠政策。同一品目中各认证证书不重复计算价格扣除。强制类节能产品不享受价格扣除。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3.2计算结果若除不尽，可四舍五入保留到小数点后两位。</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3.3投标人应按照招标文件要求认真统计、计算，否则评标委员会不予认定。</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3.4若无节能、环境标志产品，不填写本表，否则，视为提供虚假材料。</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 </w:t>
      </w:r>
    </w:p>
    <w:p>
      <w:pPr>
        <w:pStyle w:val="5"/>
        <w:widowControl/>
        <w:spacing w:beforeAutospacing="0" w:afterAutospacing="0" w:line="0" w:lineRule="atLeast"/>
        <w:jc w:val="center"/>
        <w:rPr>
          <w:rFonts w:hint="default" w:cs="宋体"/>
          <w:color w:val="auto"/>
        </w:rPr>
      </w:pPr>
      <w:r>
        <w:rPr>
          <w:rFonts w:cs="宋体"/>
          <w:color w:val="auto"/>
        </w:rPr>
        <w:t>四-1-②优先类节能产品、环境标志产品证明材料（加分适用，若有）</w:t>
      </w:r>
    </w:p>
    <w:p>
      <w:pPr>
        <w:pStyle w:val="5"/>
        <w:widowControl/>
        <w:spacing w:beforeAutospacing="0" w:afterAutospacing="0" w:line="0" w:lineRule="atLeast"/>
        <w:jc w:val="center"/>
        <w:rPr>
          <w:rFonts w:hint="default" w:cs="宋体"/>
          <w:color w:val="auto"/>
        </w:rPr>
      </w:pPr>
      <w:r>
        <w:rPr>
          <w:rFonts w:cs="宋体"/>
          <w:color w:val="auto"/>
        </w:rPr>
        <w:t>四-2招标文件规定的其他加分证明材料（若有）</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若投标人可享受招标文件规定的除“优先类节能产品、环境标志产品加分”外的其他加分优惠，则投标人应按照招标文件要求提供相应证明材料。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封面格式(技术商务部分)</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福建省政府采购投标文件</w:t>
      </w:r>
    </w:p>
    <w:p>
      <w:pPr>
        <w:pStyle w:val="2"/>
        <w:widowControl/>
        <w:spacing w:beforeAutospacing="0" w:afterAutospacing="0" w:line="0" w:lineRule="atLeast"/>
        <w:jc w:val="center"/>
        <w:rPr>
          <w:rFonts w:hint="default" w:cs="宋体"/>
          <w:color w:val="auto"/>
          <w:sz w:val="78"/>
          <w:szCs w:val="78"/>
        </w:rPr>
      </w:pPr>
      <w:r>
        <w:rPr>
          <w:rFonts w:cs="宋体"/>
          <w:color w:val="auto"/>
          <w:sz w:val="78"/>
          <w:szCs w:val="78"/>
        </w:rPr>
        <w:t>（技术商务部分）</w:t>
      </w:r>
    </w:p>
    <w:p>
      <w:pPr>
        <w:widowControl/>
        <w:spacing w:line="0" w:lineRule="atLeast"/>
        <w:jc w:val="left"/>
        <w:rPr>
          <w:color w:val="auto"/>
        </w:rPr>
      </w:pPr>
      <w:r>
        <w:rPr>
          <w:rFonts w:ascii="宋体" w:hAnsi="宋体" w:eastAsia="宋体" w:cs="宋体"/>
          <w:color w:val="auto"/>
          <w:kern w:val="0"/>
          <w:sz w:val="24"/>
          <w:lang w:bidi="ar"/>
        </w:rPr>
        <w:br w:type="textWrapping"/>
      </w:r>
    </w:p>
    <w:p>
      <w:pPr>
        <w:pStyle w:val="3"/>
        <w:widowControl/>
        <w:spacing w:beforeAutospacing="0" w:afterAutospacing="0" w:line="0" w:lineRule="atLeast"/>
        <w:jc w:val="center"/>
        <w:rPr>
          <w:rFonts w:hint="default" w:cs="宋体"/>
          <w:color w:val="auto"/>
          <w:sz w:val="39"/>
          <w:szCs w:val="39"/>
        </w:rPr>
      </w:pPr>
      <w:r>
        <w:rPr>
          <w:rFonts w:cs="宋体"/>
          <w:color w:val="auto"/>
          <w:sz w:val="39"/>
          <w:szCs w:val="39"/>
        </w:rPr>
        <w:t>（填写正本或副本）</w:t>
      </w:r>
    </w:p>
    <w:p>
      <w:pPr>
        <w:widowControl/>
        <w:spacing w:line="0" w:lineRule="atLeast"/>
        <w:jc w:val="left"/>
        <w:rPr>
          <w:color w:val="auto"/>
        </w:rPr>
      </w:pP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r>
        <w:rPr>
          <w:rFonts w:ascii="宋体" w:hAnsi="宋体" w:eastAsia="宋体" w:cs="宋体"/>
          <w:color w:val="auto"/>
          <w:kern w:val="0"/>
          <w:sz w:val="24"/>
          <w:lang w:bidi="ar"/>
        </w:rPr>
        <w:br w:type="textWrapping"/>
      </w:r>
    </w:p>
    <w:p>
      <w:pPr>
        <w:pStyle w:val="4"/>
        <w:widowControl/>
        <w:spacing w:beforeAutospacing="0" w:afterAutospacing="0" w:line="0" w:lineRule="atLeast"/>
        <w:jc w:val="center"/>
        <w:rPr>
          <w:rFonts w:hint="default" w:cs="宋体"/>
          <w:color w:val="auto"/>
        </w:rPr>
      </w:pPr>
      <w:r>
        <w:rPr>
          <w:rFonts w:cs="宋体"/>
          <w:color w:val="auto"/>
        </w:rPr>
        <w:t>（项目名称：（由投标人填写）</w:t>
      </w:r>
    </w:p>
    <w:p>
      <w:pPr>
        <w:pStyle w:val="4"/>
        <w:widowControl/>
        <w:spacing w:beforeAutospacing="0" w:afterAutospacing="0" w:line="0" w:lineRule="atLeast"/>
        <w:jc w:val="center"/>
        <w:rPr>
          <w:rFonts w:hint="default" w:cs="宋体"/>
          <w:color w:val="auto"/>
        </w:rPr>
      </w:pPr>
      <w:r>
        <w:rPr>
          <w:rFonts w:cs="宋体"/>
          <w:color w:val="auto"/>
        </w:rPr>
        <w:t>（备案编号：（由投标人填写）</w:t>
      </w:r>
    </w:p>
    <w:p>
      <w:pPr>
        <w:pStyle w:val="4"/>
        <w:widowControl/>
        <w:spacing w:beforeAutospacing="0" w:afterAutospacing="0" w:line="0" w:lineRule="atLeast"/>
        <w:jc w:val="center"/>
        <w:rPr>
          <w:rFonts w:hint="default" w:cs="宋体"/>
          <w:color w:val="auto"/>
        </w:rPr>
      </w:pPr>
      <w:r>
        <w:rPr>
          <w:rFonts w:cs="宋体"/>
          <w:color w:val="auto"/>
        </w:rPr>
        <w:t>（项目编号：（由投标人填写）</w:t>
      </w:r>
    </w:p>
    <w:p>
      <w:pPr>
        <w:pStyle w:val="4"/>
        <w:widowControl/>
        <w:spacing w:beforeAutospacing="0" w:afterAutospacing="0" w:line="0" w:lineRule="atLeast"/>
        <w:jc w:val="center"/>
        <w:rPr>
          <w:rFonts w:hint="default" w:cs="宋体"/>
          <w:color w:val="auto"/>
        </w:rPr>
      </w:pPr>
      <w:r>
        <w:rPr>
          <w:rFonts w:cs="宋体"/>
          <w:color w:val="auto"/>
        </w:rPr>
        <w:t>（所投采购包：（由投标人填写）</w:t>
      </w:r>
    </w:p>
    <w:p>
      <w:pPr>
        <w:widowControl/>
        <w:spacing w:line="0" w:lineRule="atLeast"/>
        <w:jc w:val="left"/>
        <w:rPr>
          <w:color w:val="auto"/>
        </w:rPr>
      </w:pPr>
    </w:p>
    <w:p>
      <w:pPr>
        <w:pStyle w:val="4"/>
        <w:widowControl/>
        <w:spacing w:beforeAutospacing="0" w:afterAutospacing="0" w:line="0" w:lineRule="atLeast"/>
        <w:jc w:val="center"/>
        <w:rPr>
          <w:rFonts w:hint="default" w:cs="宋体"/>
          <w:color w:val="auto"/>
        </w:rPr>
      </w:pPr>
      <w:r>
        <w:rPr>
          <w:rFonts w:cs="宋体"/>
          <w:color w:val="auto"/>
        </w:rPr>
        <w:t>投标人：（填写“全称”）</w:t>
      </w:r>
    </w:p>
    <w:p>
      <w:pPr>
        <w:pStyle w:val="4"/>
        <w:widowControl/>
        <w:spacing w:beforeAutospacing="0" w:afterAutospacing="0" w:line="0" w:lineRule="atLeast"/>
        <w:jc w:val="center"/>
        <w:rPr>
          <w:rFonts w:hint="default" w:cs="宋体"/>
          <w:color w:val="auto"/>
        </w:rPr>
      </w:pPr>
      <w:r>
        <w:rPr>
          <w:rFonts w:cs="宋体"/>
          <w:color w:val="auto"/>
        </w:rPr>
        <w:t>（由投标人填写）年（由投标人填写）月</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索引</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一、标的说明一览表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二、技术和服务要求响应表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三、商务条件响应表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四、投标人提交的其他资料（若有）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技术商务部分中不得出现报价部分的全部或部分的投标报价信息（或组成资料），否则符合性审查不合格。</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一、标的说明一览表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tbl>
      <w:tblPr>
        <w:tblStyle w:val="11"/>
        <w:tblW w:w="12168" w:type="dxa"/>
        <w:tblInd w:w="0" w:type="dxa"/>
        <w:tblLayout w:type="fixed"/>
        <w:tblCellMar>
          <w:top w:w="0" w:type="dxa"/>
          <w:left w:w="0" w:type="dxa"/>
          <w:bottom w:w="0" w:type="dxa"/>
          <w:right w:w="0" w:type="dxa"/>
        </w:tblCellMar>
      </w:tblPr>
      <w:tblGrid>
        <w:gridCol w:w="1872"/>
        <w:gridCol w:w="1872"/>
        <w:gridCol w:w="2340"/>
        <w:gridCol w:w="1404"/>
        <w:gridCol w:w="1404"/>
        <w:gridCol w:w="1872"/>
        <w:gridCol w:w="1404"/>
      </w:tblGrid>
      <w:tr>
        <w:tblPrEx>
          <w:tblCellMar>
            <w:top w:w="0" w:type="dxa"/>
            <w:left w:w="0" w:type="dxa"/>
            <w:bottom w:w="0" w:type="dxa"/>
            <w:right w:w="0" w:type="dxa"/>
          </w:tblCellMar>
        </w:tblPrEx>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投标标的</w:t>
            </w: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数量</w:t>
            </w: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规格</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来源地</w:t>
            </w: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备注</w:t>
            </w:r>
          </w:p>
        </w:tc>
      </w:tr>
      <w:tr>
        <w:tblPrEx>
          <w:tblCellMar>
            <w:top w:w="0" w:type="dxa"/>
            <w:left w:w="0" w:type="dxa"/>
            <w:bottom w:w="0" w:type="dxa"/>
            <w:right w:w="0" w:type="dxa"/>
          </w:tblCellMar>
        </w:tblPrEx>
        <w:tc>
          <w:tcPr>
            <w:tcW w:w="1872"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shd w:val="clear" w:color="auto" w:fill="auto"/>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872"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shd w:val="clear" w:color="auto" w:fill="auto"/>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404" w:type="dxa"/>
            <w:shd w:val="clear" w:color="auto" w:fill="auto"/>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1、本表应按照下列规定填写：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1.1“采购包”、“品目号”、“投标标的”及“数量”应与招标文件《采购标的一览表》中的有关内容（“采购包”、“品目号”、“采购标的”及“数量”）保持一致。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1.3“投标标的”为服务的：“规格”项下应填写服务提供者提供的服务标准及品牌（若有）。“来源地”应填写服务提供者的所在地。“备注”项下应填写关于服务标准所涵盖的具体项目或内容的说明等。</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2、投标人需要说明的内容若需特殊表达，应先在本表中进行相应说明，再另页应答，但应做好标注说明，方便评委查阅评审。未标注说明可能导致的不利的评审后果由投标人自行承担。</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3、电子投标文件中涉及“投标标的”、“数量”、“规格”、“来源地”的内容若不一致，应以本表为准。</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二、技术和服务要求响应表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tbl>
      <w:tblPr>
        <w:tblStyle w:val="11"/>
        <w:tblW w:w="12168" w:type="dxa"/>
        <w:tblInd w:w="0" w:type="dxa"/>
        <w:tblLayout w:type="fixed"/>
        <w:tblCellMar>
          <w:top w:w="0" w:type="dxa"/>
          <w:left w:w="0" w:type="dxa"/>
          <w:bottom w:w="0" w:type="dxa"/>
          <w:right w:w="0" w:type="dxa"/>
        </w:tblCellMar>
      </w:tblPr>
      <w:tblGrid>
        <w:gridCol w:w="1678"/>
        <w:gridCol w:w="1678"/>
        <w:gridCol w:w="3357"/>
        <w:gridCol w:w="2098"/>
        <w:gridCol w:w="3357"/>
      </w:tblGrid>
      <w:tr>
        <w:tblPrEx>
          <w:tblCellMar>
            <w:top w:w="0" w:type="dxa"/>
            <w:left w:w="0" w:type="dxa"/>
            <w:bottom w:w="0" w:type="dxa"/>
            <w:right w:w="0" w:type="dxa"/>
          </w:tblCellMar>
        </w:tblPrEx>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技术和服务要求</w:t>
            </w:r>
          </w:p>
        </w:tc>
        <w:tc>
          <w:tcPr>
            <w:tcW w:w="209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投标响应</w:t>
            </w: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是否偏离及说明</w:t>
            </w:r>
          </w:p>
        </w:tc>
      </w:tr>
      <w:tr>
        <w:tblPrEx>
          <w:tblCellMar>
            <w:top w:w="0" w:type="dxa"/>
            <w:left w:w="0" w:type="dxa"/>
            <w:bottom w:w="0" w:type="dxa"/>
            <w:right w:w="0" w:type="dxa"/>
          </w:tblCellMar>
        </w:tblPrEx>
        <w:tc>
          <w:tcPr>
            <w:tcW w:w="1678"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09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678"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09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67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098"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357"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1、本表应按照下列规定填写：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1.1“技术和服务要求”项下填写的内容应与招标文件第五章“技术和服务要求”的内容保持一致。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1.3“是否偏离及说明”项下应按下列规定填写：优于的，填写“正偏离”；符合的，填写“无偏离”；低于的，填写“负偏离”。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2、投标人需要说明的内容若需特殊表达，应先在本表中进行相应说明，再另页应答，但应做好标注说明，方便评委查阅评审。未标注说明可能导致的不利的评审后果由投标人自行承担。</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三、商务条件响应表</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项目编号：</w:t>
      </w:r>
      <w:r>
        <w:rPr>
          <w:rFonts w:hint="eastAsia" w:ascii="宋体" w:hAnsi="宋体" w:eastAsia="宋体" w:cs="宋体"/>
          <w:color w:val="auto"/>
          <w:u w:val="single"/>
        </w:rPr>
        <w:t>　　　　　　　　</w:t>
      </w:r>
    </w:p>
    <w:tbl>
      <w:tblPr>
        <w:tblStyle w:val="11"/>
        <w:tblW w:w="12168" w:type="dxa"/>
        <w:tblInd w:w="0" w:type="dxa"/>
        <w:tblLayout w:type="fixed"/>
        <w:tblCellMar>
          <w:top w:w="0" w:type="dxa"/>
          <w:left w:w="0" w:type="dxa"/>
          <w:bottom w:w="0" w:type="dxa"/>
          <w:right w:w="0" w:type="dxa"/>
        </w:tblCellMar>
      </w:tblPr>
      <w:tblGrid>
        <w:gridCol w:w="1872"/>
        <w:gridCol w:w="1872"/>
        <w:gridCol w:w="2340"/>
        <w:gridCol w:w="2340"/>
        <w:gridCol w:w="3744"/>
      </w:tblGrid>
      <w:tr>
        <w:tblPrEx>
          <w:tblCellMar>
            <w:top w:w="0" w:type="dxa"/>
            <w:left w:w="0" w:type="dxa"/>
            <w:bottom w:w="0" w:type="dxa"/>
            <w:right w:w="0" w:type="dxa"/>
          </w:tblCellMar>
        </w:tblPrEx>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采购包</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品目号</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商务条件</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投标响应</w:t>
            </w:r>
          </w:p>
        </w:tc>
        <w:tc>
          <w:tcPr>
            <w:tcW w:w="374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是否偏离及说明</w:t>
            </w:r>
          </w:p>
        </w:tc>
      </w:tr>
      <w:tr>
        <w:tblPrEx>
          <w:tblCellMar>
            <w:top w:w="0" w:type="dxa"/>
            <w:left w:w="0" w:type="dxa"/>
            <w:bottom w:w="0" w:type="dxa"/>
            <w:right w:w="0" w:type="dxa"/>
          </w:tblCellMar>
        </w:tblPrEx>
        <w:tc>
          <w:tcPr>
            <w:tcW w:w="1872" w:type="dxa"/>
            <w:vMerge w:val="restart"/>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*-1</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74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872" w:type="dxa"/>
            <w:vMerge w:val="continue"/>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74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r>
        <w:tblPrEx>
          <w:tblCellMar>
            <w:top w:w="0" w:type="dxa"/>
            <w:left w:w="0" w:type="dxa"/>
            <w:bottom w:w="0" w:type="dxa"/>
            <w:right w:w="0" w:type="dxa"/>
          </w:tblCellMar>
        </w:tblPrEx>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pStyle w:val="9"/>
              <w:widowControl/>
              <w:wordWrap w:val="0"/>
              <w:spacing w:beforeAutospacing="0" w:afterAutospacing="0" w:line="0" w:lineRule="atLeast"/>
              <w:rPr>
                <w:rFonts w:ascii="宋体" w:hAnsi="宋体" w:eastAsia="宋体" w:cs="宋体"/>
                <w:color w:val="auto"/>
              </w:rPr>
            </w:pPr>
            <w:r>
              <w:rPr>
                <w:rFonts w:hint="eastAsia" w:ascii="宋体" w:hAnsi="宋体" w:eastAsia="宋体" w:cs="宋体"/>
                <w:color w:val="auto"/>
              </w:rPr>
              <w:t>…</w:t>
            </w:r>
          </w:p>
        </w:tc>
        <w:tc>
          <w:tcPr>
            <w:tcW w:w="1872"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2340"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c>
          <w:tcPr>
            <w:tcW w:w="3744" w:type="dxa"/>
            <w:tcBorders>
              <w:top w:val="single" w:color="000000" w:sz="6" w:space="0"/>
              <w:left w:val="single" w:color="000000" w:sz="6" w:space="0"/>
              <w:bottom w:val="single" w:color="000000" w:sz="6" w:space="0"/>
              <w:right w:val="single" w:color="000000" w:sz="6" w:space="0"/>
            </w:tcBorders>
            <w:shd w:val="clear" w:color="auto" w:fill="auto"/>
            <w:tcMar>
              <w:left w:w="120" w:type="dxa"/>
              <w:right w:w="120" w:type="dxa"/>
            </w:tcMar>
            <w:vAlign w:val="center"/>
          </w:tcPr>
          <w:p>
            <w:pPr>
              <w:widowControl/>
              <w:spacing w:line="0" w:lineRule="atLeast"/>
              <w:rPr>
                <w:rFonts w:ascii="宋体" w:hAnsi="宋体" w:eastAsia="宋体" w:cs="宋体"/>
                <w:color w:val="auto"/>
                <w:sz w:val="24"/>
              </w:rPr>
            </w:pPr>
          </w:p>
        </w:tc>
      </w:tr>
    </w:tbl>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※注意：</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1、本表应按照下列规定填写：</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1.1“商务条件”项下填写的内容应与招标文件第五章“商务条件”的内容保持一致。</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1.2“投标响应”项下应填写具体的响应内容并与“商务条件”项下填写的内容逐项对应；对“商务条件”项下涉及“≥或＞”、“≤或＜”及某个区间值范围内的内容，应填写具体的数值。</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1.3“是否偏离及说明”项下应按下列规定填写：优于的，填写“正偏离”；符合的，填写“无偏离”；低于的，填写“负偏离”。</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2、投标人需要说明的内容若需特殊表达，应先在本表中进行相应说明，再另页应答，但应做好标注说明，方便评委查阅评审。未标注说明可能导致的不利的评审后果由投标人自行承担。</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投标人：</w:t>
      </w:r>
      <w:r>
        <w:rPr>
          <w:rFonts w:hint="eastAsia" w:ascii="宋体" w:hAnsi="宋体" w:eastAsia="宋体" w:cs="宋体"/>
          <w:color w:val="auto"/>
          <w:u w:val="single"/>
        </w:rPr>
        <w:t>（全称并加盖单位公章）</w:t>
      </w:r>
    </w:p>
    <w:p>
      <w:pPr>
        <w:pStyle w:val="9"/>
        <w:widowControl/>
        <w:spacing w:beforeAutospacing="0" w:afterAutospacing="0" w:line="0" w:lineRule="atLeast"/>
        <w:jc w:val="right"/>
        <w:rPr>
          <w:rFonts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年　　月　　日</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shd w:val="clear" w:color="auto" w:fill="FFFFFF"/>
        </w:rPr>
        <w:t> </w:t>
      </w:r>
    </w:p>
    <w:p>
      <w:pPr>
        <w:pStyle w:val="4"/>
        <w:widowControl/>
        <w:shd w:val="clear" w:color="auto" w:fill="FFFFFF"/>
        <w:spacing w:beforeAutospacing="0" w:afterAutospacing="0" w:line="0" w:lineRule="atLeast"/>
        <w:jc w:val="center"/>
        <w:rPr>
          <w:rFonts w:hint="default" w:cs="宋体"/>
          <w:color w:val="auto"/>
        </w:rPr>
      </w:pPr>
      <w:r>
        <w:rPr>
          <w:rFonts w:cs="宋体"/>
          <w:color w:val="auto"/>
          <w:shd w:val="clear" w:color="auto" w:fill="FFFFFF"/>
        </w:rPr>
        <w:t>四、投标人提交的其他资料（若有）</w:t>
      </w:r>
    </w:p>
    <w:p>
      <w:pPr>
        <w:pStyle w:val="9"/>
        <w:widowControl/>
        <w:spacing w:beforeAutospacing="0" w:afterAutospacing="0" w:line="0" w:lineRule="atLeast"/>
        <w:jc w:val="center"/>
        <w:rPr>
          <w:rFonts w:ascii="宋体" w:hAnsi="宋体" w:eastAsia="宋体" w:cs="宋体"/>
          <w:color w:val="auto"/>
        </w:rPr>
      </w:pPr>
      <w:r>
        <w:rPr>
          <w:rFonts w:hint="eastAsia" w:ascii="宋体" w:hAnsi="宋体" w:eastAsia="宋体" w:cs="宋体"/>
          <w:color w:val="auto"/>
        </w:rPr>
        <w:t>编制说明</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1、招标文件要求提交的除“资格及资信证明部分”、“报价部分”外的其他证明材料或资料加盖投标人的单位公章后应在此项下提交。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2、招标文件要求投标人提供方案（包括但不限于：组织、实施、技术、服务方案等）的，投标人应在此项下提交。</w:t>
      </w:r>
    </w:p>
    <w:p>
      <w:pPr>
        <w:pStyle w:val="9"/>
        <w:widowControl/>
        <w:spacing w:beforeAutospacing="0" w:afterAutospacing="0" w:line="0" w:lineRule="atLeast"/>
        <w:rPr>
          <w:rFonts w:ascii="宋体" w:hAnsi="宋体" w:eastAsia="宋体" w:cs="宋体"/>
          <w:color w:val="auto"/>
        </w:rPr>
      </w:pPr>
      <w:r>
        <w:rPr>
          <w:rFonts w:hint="eastAsia" w:ascii="宋体" w:hAnsi="宋体" w:eastAsia="宋体" w:cs="宋体"/>
          <w:color w:val="auto"/>
        </w:rPr>
        <w:t>3、除招标文件另有规定外，投标人认为需要提交的其他证明材料或资料加盖投标人的单位公章后应在此项下提交。</w:t>
      </w:r>
    </w:p>
    <w:p>
      <w:pPr>
        <w:rPr>
          <w:color w:val="auto"/>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cwODAxNTEwNDgwMWVkY2E2NGU5YjczZWI4NjdhYzYifQ=="/>
  </w:docVars>
  <w:rsids>
    <w:rsidRoot w:val="00054B12"/>
    <w:rsid w:val="00054B12"/>
    <w:rsid w:val="000918A9"/>
    <w:rsid w:val="0009437E"/>
    <w:rsid w:val="000A14C2"/>
    <w:rsid w:val="000B4196"/>
    <w:rsid w:val="000D23E0"/>
    <w:rsid w:val="000F3E1F"/>
    <w:rsid w:val="001F13B3"/>
    <w:rsid w:val="001F7A51"/>
    <w:rsid w:val="00201606"/>
    <w:rsid w:val="00210869"/>
    <w:rsid w:val="00215ECF"/>
    <w:rsid w:val="0022170A"/>
    <w:rsid w:val="002312FE"/>
    <w:rsid w:val="00241047"/>
    <w:rsid w:val="00244DF3"/>
    <w:rsid w:val="002B6F2A"/>
    <w:rsid w:val="00333E73"/>
    <w:rsid w:val="00372B1E"/>
    <w:rsid w:val="00372FF7"/>
    <w:rsid w:val="003B1154"/>
    <w:rsid w:val="003D205B"/>
    <w:rsid w:val="003F2A5D"/>
    <w:rsid w:val="00414C61"/>
    <w:rsid w:val="00414D6B"/>
    <w:rsid w:val="00416525"/>
    <w:rsid w:val="00427B5C"/>
    <w:rsid w:val="00455DEC"/>
    <w:rsid w:val="004B4910"/>
    <w:rsid w:val="005000E1"/>
    <w:rsid w:val="005066BE"/>
    <w:rsid w:val="00540CBE"/>
    <w:rsid w:val="005625D4"/>
    <w:rsid w:val="00587F84"/>
    <w:rsid w:val="005C3B52"/>
    <w:rsid w:val="00627A36"/>
    <w:rsid w:val="00630CC1"/>
    <w:rsid w:val="0066595F"/>
    <w:rsid w:val="00671101"/>
    <w:rsid w:val="006842BE"/>
    <w:rsid w:val="0068636F"/>
    <w:rsid w:val="006B64A3"/>
    <w:rsid w:val="006E48C2"/>
    <w:rsid w:val="0071708A"/>
    <w:rsid w:val="00727FC7"/>
    <w:rsid w:val="007D728F"/>
    <w:rsid w:val="007E6D52"/>
    <w:rsid w:val="00805604"/>
    <w:rsid w:val="00880AE3"/>
    <w:rsid w:val="0088100E"/>
    <w:rsid w:val="008A34B8"/>
    <w:rsid w:val="00940A36"/>
    <w:rsid w:val="00957976"/>
    <w:rsid w:val="00986AFB"/>
    <w:rsid w:val="009A60EF"/>
    <w:rsid w:val="009B0937"/>
    <w:rsid w:val="009E7E88"/>
    <w:rsid w:val="00A03FAB"/>
    <w:rsid w:val="00A27E0D"/>
    <w:rsid w:val="00A57673"/>
    <w:rsid w:val="00A71B8E"/>
    <w:rsid w:val="00A75E05"/>
    <w:rsid w:val="00A9615E"/>
    <w:rsid w:val="00B200AF"/>
    <w:rsid w:val="00B70ADD"/>
    <w:rsid w:val="00BC6351"/>
    <w:rsid w:val="00BF17ED"/>
    <w:rsid w:val="00C31B22"/>
    <w:rsid w:val="00C54A7D"/>
    <w:rsid w:val="00D01F4E"/>
    <w:rsid w:val="00D04B32"/>
    <w:rsid w:val="00D06207"/>
    <w:rsid w:val="00D318C6"/>
    <w:rsid w:val="00D346AB"/>
    <w:rsid w:val="00D34B3D"/>
    <w:rsid w:val="00D40D9D"/>
    <w:rsid w:val="00D55101"/>
    <w:rsid w:val="00D605AE"/>
    <w:rsid w:val="00D94F15"/>
    <w:rsid w:val="00DB1964"/>
    <w:rsid w:val="00DE76FE"/>
    <w:rsid w:val="00E0247A"/>
    <w:rsid w:val="00E05FCA"/>
    <w:rsid w:val="00EB0A6C"/>
    <w:rsid w:val="00F00561"/>
    <w:rsid w:val="00F42080"/>
    <w:rsid w:val="00F805C2"/>
    <w:rsid w:val="00F9149A"/>
    <w:rsid w:val="00FA208A"/>
    <w:rsid w:val="00FB19C7"/>
    <w:rsid w:val="00FB603F"/>
    <w:rsid w:val="00FF466D"/>
    <w:rsid w:val="02657A87"/>
    <w:rsid w:val="115B0CBB"/>
    <w:rsid w:val="1A3B1F4D"/>
    <w:rsid w:val="1A5F1903"/>
    <w:rsid w:val="1DA56498"/>
    <w:rsid w:val="202C6073"/>
    <w:rsid w:val="26642020"/>
    <w:rsid w:val="277737DD"/>
    <w:rsid w:val="2925719A"/>
    <w:rsid w:val="29881512"/>
    <w:rsid w:val="317E64E3"/>
    <w:rsid w:val="3B934DA1"/>
    <w:rsid w:val="481651C9"/>
    <w:rsid w:val="48C84676"/>
    <w:rsid w:val="4DFE60AA"/>
    <w:rsid w:val="4E740A62"/>
    <w:rsid w:val="558674A6"/>
    <w:rsid w:val="5883465A"/>
    <w:rsid w:val="649B177B"/>
    <w:rsid w:val="6A0454FD"/>
    <w:rsid w:val="6FAD0571"/>
    <w:rsid w:val="7A28432B"/>
    <w:rsid w:val="7E2412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paragraph" w:styleId="3">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paragraph" w:styleId="4">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paragraph" w:styleId="5">
    <w:name w:val="heading 4"/>
    <w:basedOn w:val="1"/>
    <w:next w:val="1"/>
    <w:semiHidden/>
    <w:unhideWhenUsed/>
    <w:qFormat/>
    <w:uiPriority w:val="0"/>
    <w:pPr>
      <w:spacing w:beforeAutospacing="1" w:afterAutospacing="1"/>
      <w:jc w:val="left"/>
      <w:outlineLvl w:val="3"/>
    </w:pPr>
    <w:rPr>
      <w:rFonts w:hint="eastAsia" w:ascii="宋体" w:hAnsi="宋体" w:eastAsia="宋体" w:cs="Times New Roman"/>
      <w:b/>
      <w:bCs/>
      <w:kern w:val="0"/>
      <w:sz w:val="24"/>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17"/>
    <w:qFormat/>
    <w:uiPriority w:val="99"/>
    <w:pPr>
      <w:jc w:val="left"/>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qFormat/>
    <w:uiPriority w:val="0"/>
    <w:pPr>
      <w:spacing w:beforeAutospacing="1" w:afterAutospacing="1"/>
      <w:jc w:val="left"/>
    </w:pPr>
    <w:rPr>
      <w:rFonts w:cs="Times New Roman"/>
      <w:kern w:val="0"/>
      <w:sz w:val="24"/>
    </w:rPr>
  </w:style>
  <w:style w:type="paragraph" w:styleId="10">
    <w:name w:val="annotation subject"/>
    <w:basedOn w:val="6"/>
    <w:next w:val="6"/>
    <w:link w:val="18"/>
    <w:qFormat/>
    <w:uiPriority w:val="0"/>
    <w:rPr>
      <w:b/>
      <w:bCs/>
    </w:rPr>
  </w:style>
  <w:style w:type="character" w:styleId="13">
    <w:name w:val="Strong"/>
    <w:basedOn w:val="12"/>
    <w:qFormat/>
    <w:uiPriority w:val="0"/>
    <w:rPr>
      <w:b/>
    </w:rPr>
  </w:style>
  <w:style w:type="character" w:styleId="14">
    <w:name w:val="annotation reference"/>
    <w:basedOn w:val="12"/>
    <w:qFormat/>
    <w:uiPriority w:val="0"/>
    <w:rPr>
      <w:sz w:val="21"/>
      <w:szCs w:val="21"/>
    </w:rPr>
  </w:style>
  <w:style w:type="paragraph" w:styleId="15">
    <w:name w:val="List Paragraph"/>
    <w:basedOn w:val="1"/>
    <w:qFormat/>
    <w:uiPriority w:val="1"/>
    <w:pPr>
      <w:spacing w:line="312" w:lineRule="exact"/>
      <w:ind w:left="544" w:hanging="425"/>
    </w:pPr>
    <w:rPr>
      <w:rFonts w:ascii="微软雅黑" w:hAnsi="微软雅黑" w:eastAsia="微软雅黑" w:cs="微软雅黑"/>
      <w:lang w:val="zh-CN" w:bidi="zh-CN"/>
    </w:rPr>
  </w:style>
  <w:style w:type="paragraph" w:customStyle="1" w:styleId="16">
    <w:name w:val="修订1"/>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17">
    <w:name w:val="批注文字 字符"/>
    <w:basedOn w:val="12"/>
    <w:link w:val="6"/>
    <w:qFormat/>
    <w:uiPriority w:val="0"/>
    <w:rPr>
      <w:rFonts w:asciiTheme="minorHAnsi" w:hAnsiTheme="minorHAnsi" w:eastAsiaTheme="minorEastAsia" w:cstheme="minorBidi"/>
      <w:kern w:val="2"/>
      <w:sz w:val="21"/>
      <w:szCs w:val="24"/>
    </w:rPr>
  </w:style>
  <w:style w:type="character" w:customStyle="1" w:styleId="18">
    <w:name w:val="批注主题 字符"/>
    <w:basedOn w:val="17"/>
    <w:link w:val="10"/>
    <w:qFormat/>
    <w:uiPriority w:val="0"/>
    <w:rPr>
      <w:rFonts w:asciiTheme="minorHAnsi" w:hAnsiTheme="minorHAnsi" w:eastAsiaTheme="minorEastAsia" w:cstheme="minorBidi"/>
      <w:b/>
      <w:bCs/>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125</Pages>
  <Words>14043</Words>
  <Characters>80050</Characters>
  <Lines>667</Lines>
  <Paragraphs>187</Paragraphs>
  <TotalTime>6</TotalTime>
  <ScaleCrop>false</ScaleCrop>
  <LinksUpToDate>false</LinksUpToDate>
  <CharactersWithSpaces>93906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2023-11-23T01:45:00Z</dcterms:created>
  <dc:creator>1</dc:creator>
  <cp:lastModifiedBy>Administrator</cp:lastModifiedBy>
  <dcterms:modified xsi:type="dcterms:W3CDTF">2023-11-27T04:21:37Z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BC6CB4A4B82D4D0280134D95A1048C7E_13</vt:lpwstr>
  </property>
</Properties>
</file>