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2B1E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三明</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环境监测中心站</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环境空气</w:t>
      </w:r>
    </w:p>
    <w:p w14:paraId="5E6EBD3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非甲烷总烃自动监测站运维保障</w:t>
      </w:r>
    </w:p>
    <w:p w14:paraId="4AFE503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服务采购项目招标公告</w:t>
      </w:r>
    </w:p>
    <w:p w14:paraId="0FB91DC3">
      <w:pPr>
        <w:ind w:firstLine="560" w:firstLineChars="200"/>
        <w:rPr>
          <w:rFonts w:ascii="Times New Roman" w:hAnsi="宋体" w:cs="Times New Roman"/>
          <w:color w:val="000000" w:themeColor="text1"/>
          <w:sz w:val="28"/>
          <w:szCs w:val="28"/>
          <w14:textFill>
            <w14:solidFill>
              <w14:schemeClr w14:val="tx1"/>
            </w14:solidFill>
          </w14:textFill>
        </w:rPr>
      </w:pPr>
    </w:p>
    <w:p w14:paraId="649B5333">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r>
        <w:rPr>
          <w:rFonts w:hint="eastAsia" w:ascii="仿宋_GB2312" w:hAnsi="仿宋_GB2312" w:eastAsia="仿宋_GB2312" w:cs="仿宋_GB2312"/>
          <w:color w:val="000000" w:themeColor="text1"/>
          <w:sz w:val="32"/>
          <w:szCs w:val="32"/>
          <w14:textFill>
            <w14:solidFill>
              <w14:schemeClr w14:val="tx1"/>
            </w14:solidFill>
          </w14:textFill>
        </w:rPr>
        <w:t>福建省</w:t>
      </w:r>
      <w:r>
        <w:rPr>
          <w:rFonts w:hint="eastAsia" w:ascii="仿宋_GB2312" w:hAnsi="仿宋_GB2312" w:eastAsia="仿宋_GB2312" w:cs="仿宋_GB2312"/>
          <w:color w:val="000000" w:themeColor="text1"/>
          <w:sz w:val="32"/>
          <w:szCs w:val="32"/>
          <w:lang w:eastAsia="zh-CN"/>
          <w14:textFill>
            <w14:solidFill>
              <w14:schemeClr w14:val="tx1"/>
            </w14:solidFill>
          </w14:textFill>
        </w:rPr>
        <w:t>三明</w:t>
      </w:r>
      <w:r>
        <w:rPr>
          <w:rFonts w:hint="eastAsia" w:ascii="仿宋_GB2312" w:hAnsi="仿宋_GB2312" w:eastAsia="仿宋_GB2312" w:cs="仿宋_GB2312"/>
          <w:color w:val="000000" w:themeColor="text1"/>
          <w:sz w:val="32"/>
          <w:szCs w:val="32"/>
          <w14:textFill>
            <w14:solidFill>
              <w14:schemeClr w14:val="tx1"/>
            </w14:solidFill>
          </w14:textFill>
        </w:rPr>
        <w:t>环境监测中心站拟对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环境空气</w:t>
      </w:r>
      <w:r>
        <w:rPr>
          <w:rFonts w:hint="eastAsia" w:ascii="仿宋_GB2312" w:hAnsi="仿宋_GB2312" w:eastAsia="仿宋_GB2312" w:cs="仿宋_GB2312"/>
          <w:color w:val="000000" w:themeColor="text1"/>
          <w:sz w:val="32"/>
          <w:szCs w:val="32"/>
          <w14:textFill>
            <w14:solidFill>
              <w14:schemeClr w14:val="tx1"/>
            </w14:solidFill>
          </w14:textFill>
        </w:rPr>
        <w:t>非甲烷总烃自动监测站运维保障服务采购项目进行招标，现欢迎合格投标人前来提交密封的投标书。</w:t>
      </w:r>
    </w:p>
    <w:p w14:paraId="6ADFCBEF">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一、招标方式：自行采购</w:t>
      </w:r>
    </w:p>
    <w:p w14:paraId="7B09092B">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二、招标文件获取方式：公告电子版附件</w:t>
      </w:r>
    </w:p>
    <w:p w14:paraId="772F9591">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三、投标截止时间：202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日1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0时（北京时间），投标人应在此之前将密封盖章的投标文件邮寄或送达招标联系人（邮寄的以收件人签收时间为准），逾期送达的或不符合规定的投标文件将被拒绝接受。</w:t>
      </w:r>
    </w:p>
    <w:p w14:paraId="6EF361C8">
      <w:pPr>
        <w:keepNext w:val="0"/>
        <w:keepLines w:val="0"/>
        <w:pageBreakBefore w:val="0"/>
        <w:widowControl w:val="0"/>
        <w:kinsoku/>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四、投标文件送达地点：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福建省三明环境监测中心站410办公室（</w:t>
      </w:r>
      <w:r>
        <w:rPr>
          <w:rFonts w:hint="eastAsia" w:ascii="仿宋_GB2312" w:hAnsi="仿宋_GB2312" w:eastAsia="仿宋_GB2312" w:cs="仿宋_GB2312"/>
          <w:color w:val="000000" w:themeColor="text1"/>
          <w:sz w:val="32"/>
          <w:szCs w:val="32"/>
          <w:lang w:eastAsia="zh-CN"/>
          <w14:textFill>
            <w14:solidFill>
              <w14:schemeClr w14:val="tx1"/>
            </w14:solidFill>
          </w14:textFill>
        </w:rPr>
        <w:t>三明市三元区绿岩新村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76幢）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AB3CD39">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刘先生</w:t>
      </w:r>
      <w:r>
        <w:rPr>
          <w:rFonts w:hint="eastAsia" w:ascii="仿宋_GB2312" w:hAnsi="仿宋_GB2312" w:eastAsia="仿宋_GB2312" w:cs="仿宋_GB2312"/>
          <w:color w:val="000000" w:themeColor="text1"/>
          <w:sz w:val="32"/>
          <w:szCs w:val="32"/>
          <w14:textFill>
            <w14:solidFill>
              <w14:schemeClr w14:val="tx1"/>
            </w14:solidFill>
          </w14:textFill>
        </w:rPr>
        <w:t xml:space="preserve">  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0598-8236855</w:t>
      </w:r>
    </w:p>
    <w:p w14:paraId="16A7B084">
      <w:pPr>
        <w:keepNext w:val="0"/>
        <w:keepLines w:val="0"/>
        <w:pageBreakBefore w:val="0"/>
        <w:widowControl w:val="0"/>
        <w:kinsoku/>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技术咨询</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黄工</w:t>
      </w:r>
      <w:r>
        <w:rPr>
          <w:rFonts w:hint="eastAsia" w:ascii="仿宋_GB2312" w:hAnsi="仿宋_GB2312" w:eastAsia="仿宋_GB2312" w:cs="仿宋_GB2312"/>
          <w:color w:val="000000" w:themeColor="text1"/>
          <w:sz w:val="32"/>
          <w:szCs w:val="32"/>
          <w14:textFill>
            <w14:solidFill>
              <w14:schemeClr w14:val="tx1"/>
            </w14:solidFill>
          </w14:textFill>
        </w:rPr>
        <w:t xml:space="preserve">  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0598-8296623</w:t>
      </w:r>
    </w:p>
    <w:p w14:paraId="5F4B5DAC">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2E757EC">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19E933F">
      <w:pPr>
        <w:keepNext w:val="0"/>
        <w:keepLines w:val="0"/>
        <w:pageBreakBefore w:val="0"/>
        <w:widowControl w:val="0"/>
        <w:kinsoku/>
        <w:wordWrap w:val="0"/>
        <w:overflowPunct/>
        <w:topLinePunct w:val="0"/>
        <w:autoSpaceDE/>
        <w:autoSpaceDN/>
        <w:bidi w:val="0"/>
        <w:adjustRightInd/>
        <w:snapToGrid/>
        <w:spacing w:line="580" w:lineRule="exact"/>
        <w:ind w:firstLine="56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福建省</w:t>
      </w:r>
      <w:r>
        <w:rPr>
          <w:rFonts w:hint="eastAsia" w:ascii="仿宋_GB2312" w:hAnsi="仿宋_GB2312" w:eastAsia="仿宋_GB2312" w:cs="仿宋_GB2312"/>
          <w:color w:val="000000" w:themeColor="text1"/>
          <w:sz w:val="32"/>
          <w:szCs w:val="32"/>
          <w:lang w:eastAsia="zh-CN"/>
          <w14:textFill>
            <w14:solidFill>
              <w14:schemeClr w14:val="tx1"/>
            </w14:solidFill>
          </w14:textFill>
        </w:rPr>
        <w:t>三明</w:t>
      </w:r>
      <w:r>
        <w:rPr>
          <w:rFonts w:hint="eastAsia" w:ascii="仿宋_GB2312" w:hAnsi="仿宋_GB2312" w:eastAsia="仿宋_GB2312" w:cs="仿宋_GB2312"/>
          <w:color w:val="000000" w:themeColor="text1"/>
          <w:sz w:val="32"/>
          <w:szCs w:val="32"/>
          <w14:textFill>
            <w14:solidFill>
              <w14:schemeClr w14:val="tx1"/>
            </w14:solidFill>
          </w14:textFill>
        </w:rPr>
        <w:t>环境监测中心站</w:t>
      </w:r>
    </w:p>
    <w:p w14:paraId="31C180B9">
      <w:pPr>
        <w:keepNext w:val="0"/>
        <w:keepLines w:val="0"/>
        <w:pageBreakBefore w:val="0"/>
        <w:widowControl w:val="0"/>
        <w:kinsoku/>
        <w:wordWrap w:val="0"/>
        <w:overflowPunct/>
        <w:topLinePunct w:val="0"/>
        <w:autoSpaceDE/>
        <w:autoSpaceDN/>
        <w:bidi w:val="0"/>
        <w:adjustRightInd/>
        <w:snapToGrid/>
        <w:spacing w:line="580" w:lineRule="exact"/>
        <w:ind w:firstLine="560"/>
        <w:jc w:val="center"/>
        <w:textAlignment w:val="auto"/>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日</w:t>
      </w:r>
    </w:p>
    <w:p w14:paraId="7A343331">
      <w:pPr>
        <w:pStyle w:val="3"/>
        <w:keepLines w:val="0"/>
        <w:pageBreakBefore w:val="0"/>
        <w:numPr>
          <w:ilvl w:val="0"/>
          <w:numId w:val="0"/>
        </w:numPr>
        <w:kinsoku/>
        <w:wordWrap/>
        <w:overflowPunct/>
        <w:topLinePunct w:val="0"/>
        <w:autoSpaceDE/>
        <w:autoSpaceDN/>
        <w:bidi w:val="0"/>
        <w:spacing w:line="520" w:lineRule="exact"/>
        <w:ind w:leftChars="0"/>
        <w:jc w:val="center"/>
        <w:textAlignment w:val="auto"/>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 xml:space="preserve">第一章 </w:t>
      </w: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采购内容及要求</w:t>
      </w:r>
    </w:p>
    <w:p w14:paraId="5FE81BC7">
      <w:pPr>
        <w:pStyle w:val="4"/>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项目概况</w:t>
      </w:r>
    </w:p>
    <w:p w14:paraId="5C331202">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为保障三明市环境空气非甲烷总烃连续自动监测系统正常运行，福建省三明市环境监测中心站拟采购第三方运行维护服务工作。</w:t>
      </w:r>
    </w:p>
    <w:p w14:paraId="31F615A7">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运维服务时间：</w:t>
      </w:r>
      <w:r>
        <w:rPr>
          <w:rFonts w:hint="eastAsia" w:ascii="宋体" w:hAnsi="宋体" w:eastAsia="宋体" w:cs="宋体"/>
          <w:color w:val="000000" w:themeColor="text1"/>
          <w:sz w:val="28"/>
          <w:szCs w:val="28"/>
          <w:lang w:val="en-US" w:eastAsia="zh-CN"/>
          <w14:textFill>
            <w14:solidFill>
              <w14:schemeClr w14:val="tx1"/>
            </w14:solidFill>
          </w14:textFill>
        </w:rPr>
        <w:t>2025年</w:t>
      </w:r>
      <w:r>
        <w:rPr>
          <w:rFonts w:hint="eastAsia" w:ascii="宋体" w:hAnsi="宋体" w:cs="宋体"/>
          <w:color w:val="000000" w:themeColor="text1"/>
          <w:sz w:val="28"/>
          <w:szCs w:val="28"/>
          <w:lang w:val="en-US" w:eastAsia="zh-CN"/>
          <w14:textFill>
            <w14:solidFill>
              <w14:schemeClr w14:val="tx1"/>
            </w14:solidFill>
          </w14:textFill>
        </w:rPr>
        <w:t>5月</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12月。合同期满至新的中标人签订合同前，原中标人经我站考核合格后可续签，以本次中标金额的月均价格计算并支付运维费用。</w:t>
      </w:r>
    </w:p>
    <w:p w14:paraId="2417307B">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eastAsia="zh-CN"/>
          <w14:textFill>
            <w14:solidFill>
              <w14:schemeClr w14:val="tx1"/>
            </w14:solidFill>
          </w14:textFill>
        </w:rPr>
        <w:t>）预算最高控制价：</w:t>
      </w:r>
      <w:r>
        <w:rPr>
          <w:rFonts w:hint="eastAsia" w:ascii="宋体" w:hAnsi="宋体" w:cs="宋体"/>
          <w:color w:val="000000" w:themeColor="text1"/>
          <w:sz w:val="28"/>
          <w:szCs w:val="28"/>
          <w:lang w:val="en-US" w:eastAsia="zh-CN"/>
          <w14:textFill>
            <w14:solidFill>
              <w14:schemeClr w14:val="tx1"/>
            </w14:solidFill>
          </w14:textFill>
        </w:rPr>
        <w:t>4.6万元。</w:t>
      </w:r>
    </w:p>
    <w:p w14:paraId="50A1C309">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Times New Roman"/>
          <w:color w:val="000000" w:themeColor="text1"/>
          <w:kern w:val="0"/>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（4）结算方式及期限：</w:t>
      </w:r>
      <w:r>
        <w:rPr>
          <w:rFonts w:hint="eastAsia" w:ascii="宋体" w:hAnsi="宋体" w:eastAsia="宋体" w:cs="Times New Roman"/>
          <w:color w:val="000000" w:themeColor="text1"/>
          <w:kern w:val="0"/>
          <w:sz w:val="28"/>
          <w:szCs w:val="28"/>
          <w:lang w:val="en-US" w:eastAsia="zh-CN" w:bidi="ar-SA"/>
          <w14:textFill>
            <w14:solidFill>
              <w14:schemeClr w14:val="tx1"/>
            </w14:solidFill>
          </w14:textFill>
        </w:rPr>
        <w:t>项目中标价格为运维服务过程中所有可能发生的费用，包括且不限于标准气体、耗材、易耗件、备品备件、电费、网络费、维修费、人工费等所有与完成本项目有关的费用。</w:t>
      </w:r>
    </w:p>
    <w:p w14:paraId="78F1FB30">
      <w:pPr>
        <w:pStyle w:val="59"/>
        <w:keepNext w:val="0"/>
        <w:keepLines w:val="0"/>
        <w:pageBreakBefore w:val="0"/>
        <w:numPr>
          <w:ilvl w:val="0"/>
          <w:numId w:val="0"/>
        </w:numPr>
        <w:kinsoku/>
        <w:wordWrap/>
        <w:overflowPunct/>
        <w:topLinePunct w:val="0"/>
        <w:bidi w:val="0"/>
        <w:snapToGrid/>
        <w:spacing w:line="520" w:lineRule="exact"/>
        <w:ind w:firstLine="640"/>
        <w:jc w:val="left"/>
        <w:textAlignment w:val="auto"/>
        <w:rPr>
          <w:rFonts w:hint="eastAsia" w:ascii="宋体" w:hAnsi="宋体" w:eastAsia="宋体" w:cs="Times New Roman"/>
          <w:color w:val="000000" w:themeColor="text1"/>
          <w:kern w:val="0"/>
          <w:sz w:val="28"/>
          <w:szCs w:val="28"/>
          <w:lang w:val="en-US" w:eastAsia="zh-CN" w:bidi="ar-SA"/>
          <w14:textFill>
            <w14:solidFill>
              <w14:schemeClr w14:val="tx1"/>
            </w14:solidFill>
          </w14:textFill>
        </w:rPr>
      </w:pPr>
      <w:r>
        <w:rPr>
          <w:rFonts w:hint="eastAsia" w:ascii="宋体" w:hAnsi="宋体" w:eastAsia="宋体" w:cs="Times New Roman"/>
          <w:color w:val="000000" w:themeColor="text1"/>
          <w:kern w:val="0"/>
          <w:sz w:val="28"/>
          <w:szCs w:val="28"/>
          <w:lang w:val="en-US" w:eastAsia="zh-CN" w:bidi="ar-SA"/>
          <w14:textFill>
            <w14:solidFill>
              <w14:schemeClr w14:val="tx1"/>
            </w14:solidFill>
          </w14:textFill>
        </w:rPr>
        <w:t>项目费用分两期支付：</w:t>
      </w:r>
    </w:p>
    <w:p w14:paraId="6FF07483">
      <w:pPr>
        <w:pStyle w:val="59"/>
        <w:keepNext w:val="0"/>
        <w:keepLines w:val="0"/>
        <w:pageBreakBefore w:val="0"/>
        <w:numPr>
          <w:ilvl w:val="0"/>
          <w:numId w:val="0"/>
        </w:numPr>
        <w:kinsoku/>
        <w:wordWrap/>
        <w:overflowPunct/>
        <w:topLinePunct w:val="0"/>
        <w:bidi w:val="0"/>
        <w:snapToGrid/>
        <w:spacing w:line="520" w:lineRule="exact"/>
        <w:ind w:firstLine="560" w:firstLineChars="200"/>
        <w:jc w:val="left"/>
        <w:textAlignment w:val="auto"/>
        <w:rPr>
          <w:rFonts w:hint="eastAsia" w:ascii="宋体" w:hAnsi="宋体" w:eastAsia="宋体" w:cs="Times New Roman"/>
          <w:color w:val="000000" w:themeColor="text1"/>
          <w:kern w:val="0"/>
          <w:sz w:val="28"/>
          <w:szCs w:val="28"/>
          <w:lang w:val="en-US" w:eastAsia="zh-CN" w:bidi="ar-SA"/>
          <w14:textFill>
            <w14:solidFill>
              <w14:schemeClr w14:val="tx1"/>
            </w14:solidFill>
          </w14:textFill>
        </w:rPr>
      </w:pPr>
      <w:r>
        <w:rPr>
          <w:rFonts w:hint="eastAsia" w:hAnsi="宋体" w:cs="宋体"/>
          <w:bCs/>
          <w:color w:val="000000" w:themeColor="text1"/>
          <w:sz w:val="28"/>
          <w:szCs w:val="28"/>
          <w:lang w:val="en-US" w:eastAsia="zh-CN"/>
          <w14:textFill>
            <w14:solidFill>
              <w14:schemeClr w14:val="tx1"/>
            </w14:solidFill>
          </w14:textFill>
        </w:rPr>
        <w:t>1.</w:t>
      </w:r>
      <w:r>
        <w:rPr>
          <w:rFonts w:hint="eastAsia" w:ascii="宋体" w:hAnsi="宋体" w:cs="宋体"/>
          <w:bCs/>
          <w:color w:val="000000" w:themeColor="text1"/>
          <w:sz w:val="28"/>
          <w:szCs w:val="28"/>
          <w:lang w:val="en-US" w:eastAsia="zh-CN"/>
          <w14:textFill>
            <w14:solidFill>
              <w14:schemeClr w14:val="tx1"/>
            </w14:solidFill>
          </w14:textFill>
        </w:rPr>
        <w:t>合同签订后，中标人开具正</w:t>
      </w:r>
      <w:r>
        <w:rPr>
          <w:rFonts w:hint="eastAsia" w:ascii="宋体" w:hAnsi="宋体" w:eastAsia="宋体" w:cs="Times New Roman"/>
          <w:color w:val="000000" w:themeColor="text1"/>
          <w:kern w:val="0"/>
          <w:sz w:val="28"/>
          <w:szCs w:val="28"/>
          <w:lang w:val="en-US" w:eastAsia="zh-CN" w:bidi="ar-SA"/>
          <w14:textFill>
            <w14:solidFill>
              <w14:schemeClr w14:val="tx1"/>
            </w14:solidFill>
          </w14:textFill>
        </w:rPr>
        <w:t>式发票，向中标人支付合同金额的50%；</w:t>
      </w:r>
    </w:p>
    <w:p w14:paraId="5E764D3E">
      <w:pPr>
        <w:keepLines w:val="0"/>
        <w:pageBreakBefore w:val="0"/>
        <w:kinsoku/>
        <w:wordWrap/>
        <w:overflowPunct/>
        <w:topLinePunct w:val="0"/>
        <w:autoSpaceDE/>
        <w:autoSpaceDN/>
        <w:bidi w:val="0"/>
        <w:spacing w:line="520" w:lineRule="exact"/>
        <w:ind w:firstLine="560" w:firstLineChars="200"/>
        <w:jc w:val="both"/>
        <w:textAlignment w:val="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8"/>
          <w:szCs w:val="28"/>
          <w:lang w:val="en-US" w:eastAsia="zh-CN" w:bidi="ar-SA"/>
          <w14:textFill>
            <w14:solidFill>
              <w14:schemeClr w14:val="tx1"/>
            </w14:solidFill>
          </w14:textFill>
        </w:rPr>
        <w:t>2.服务期满后，采购人根据年度验收情况向中标人支付项目相应的尾款</w:t>
      </w:r>
      <w:r>
        <w:rPr>
          <w:rFonts w:hint="eastAsia" w:ascii="宋体" w:hAnsi="宋体" w:eastAsia="宋体" w:cs="Times New Roman"/>
          <w:color w:val="000000" w:themeColor="text1"/>
          <w:sz w:val="28"/>
          <w:szCs w:val="28"/>
          <w:lang w:val="en-US" w:eastAsia="zh-CN"/>
          <w14:textFill>
            <w14:solidFill>
              <w14:schemeClr w14:val="tx1"/>
            </w14:solidFill>
          </w14:textFill>
        </w:rPr>
        <w:t>。</w:t>
      </w:r>
    </w:p>
    <w:p w14:paraId="7A61FA1B">
      <w:pPr>
        <w:pStyle w:val="4"/>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技术要求</w:t>
      </w:r>
    </w:p>
    <w:p w14:paraId="5AA38B9D">
      <w:pPr>
        <w:pStyle w:val="5"/>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总体要求</w:t>
      </w:r>
    </w:p>
    <w:p w14:paraId="2F786398">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参照《环境空气挥发性有机物气相色谱连续监测系统技术要求及检测方法（试行）》（HJ1010-2018）《国家环境空气监测网环境空气挥发性有机物连续自动监测质量控制技术规定》《国家大气光化学监测网自动监测数据审核技术指南（2021版）（试行））》《国家环境空气质量监测网城市站运行管理实施细则（试行）》《环境空气非甲烷总烃连续自动监测系统技术规定（试行）》（总站气字〔2021〕61号）等标准规范，建立运行保障制度，制定运维应急预案、确保整个系统正常稳定运行，并提交相应的记录文件。【评审项1】</w:t>
      </w:r>
    </w:p>
    <w:p w14:paraId="28B464DC">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2、制定并实施运维年度工作计划，包括运维内容、运维记录、质量保证和质量控制要求，保证监测数据可追溯。【评审项2】</w:t>
      </w:r>
    </w:p>
    <w:p w14:paraId="31704A78">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保证对仪器设备故障及时响应，48小时内解决故障，如故障未解决，应提供备机（如无法提供备机，应提交解决方案，经采购单位同意，并限期解决）。通信和电力线路故障除外，应及时与相关部门联系解决。【评审项3】</w:t>
      </w:r>
    </w:p>
    <w:p w14:paraId="3474BDA8">
      <w:pPr>
        <w:pStyle w:val="5"/>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运维目标</w:t>
      </w:r>
    </w:p>
    <w:p w14:paraId="127CE16F">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运维方必须建立完善的运行维护工作规范与质量管理体系，确保提供及时、准确、有效的监测数据，运行质量应达到以下指标：</w:t>
      </w:r>
    </w:p>
    <w:p w14:paraId="2020D777">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（1）月度数据有效率不低于90%（停电、仪器质控和通讯线路故障等引起的无效数据时数不计入运行考核总时数和无效数据时数中）。【评审项4】</w:t>
      </w:r>
    </w:p>
    <w:p w14:paraId="1DBB38AB">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（2）质控工作完成率100%。【评审项5】</w:t>
      </w:r>
    </w:p>
    <w:p w14:paraId="260757EA">
      <w:pPr>
        <w:pStyle w:val="5"/>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运维质控方案</w:t>
      </w:r>
    </w:p>
    <w:p w14:paraId="156520EE">
      <w:pPr>
        <w:pStyle w:val="6"/>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运维内容</w:t>
      </w:r>
    </w:p>
    <w:p w14:paraId="450A73BC">
      <w:pPr>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（1）日常维护内容:</w:t>
      </w:r>
    </w:p>
    <w:p w14:paraId="71C7BC70">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①系统状态检查：检查系统是否有报警等异常提示，以及分析模块的FID 温度、柱箱温度、柱前压、保留时间等重要参数是否正常。系统状态检查可通过远程或者现场检查的方式完成。【评审项6】</w:t>
      </w:r>
    </w:p>
    <w:p w14:paraId="149910E3">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②基线检查：按照厂家说明书或作业指导书要求检查图谱基线是否存在异常漂移和波动。如存在异常漂移和波动，应及时标识或剔除异常数据或对受影响的物质进行重积分。【评审项7】</w:t>
      </w:r>
    </w:p>
    <w:p w14:paraId="3B5EF5B4">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③保留时间漂移：检查仪器保留时间漂移情况，以确保非甲烷总烃测量的准确性。重点关注漂移是否影响监测物质的自动积分，如有影响，应进行调整。【评审项8】</w:t>
      </w:r>
    </w:p>
    <w:p w14:paraId="0C6ADD1B">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④协助数据审核：协助采购人开展数据审核工作，异常数据及时告知采购人并进行无效标识或剔除，在48小时内完成。【评审项9】</w:t>
      </w:r>
    </w:p>
    <w:p w14:paraId="71CC6546">
      <w:pPr>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（2）每周巡检内容:</w:t>
      </w:r>
    </w:p>
    <w:p w14:paraId="5F31C56A">
      <w:pPr>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①监测站房及辅助设备周巡检【评审项10】</w:t>
      </w:r>
    </w:p>
    <w:p w14:paraId="4C1799C0">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监测站房及周边环境应满足 HJ 193 相关要求。监测站房及辅助设备日常巡检应满足 HJ 818 相关要求。运维人员应对子站站房及辅助设备定期巡检，每周至少巡检 1 次，巡检工作主要包括：</w:t>
      </w:r>
    </w:p>
    <w:p w14:paraId="70617F1F">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1)检查站房内温度是否保持在（25±5）℃，相对湿度保持在85%以下。</w:t>
      </w:r>
    </w:p>
    <w:p w14:paraId="5FFBC205">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2)在冬、夏季节应注意站房内外温差，应及时调整站房温度；检查采样管路保温措施，防止因温差造成采样装置出现冷凝水的现象。</w:t>
      </w:r>
    </w:p>
    <w:p w14:paraId="5685C649">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3)检查采样总管进气、排气是否正常。</w:t>
      </w:r>
    </w:p>
    <w:p w14:paraId="2B53E7C5">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4)检查采样支管是否存在冷凝水，如果存在冷凝水应及时进行清洁干燥处理。 </w:t>
      </w:r>
    </w:p>
    <w:p w14:paraId="760F3A4E">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5)检查站房排风排气装置工作是否正常。</w:t>
      </w:r>
    </w:p>
    <w:p w14:paraId="7493914F">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6)检查标气、辅助气钢瓶阀门是否漏气；检查标气和辅助气有效期、压力，气瓶压力低于2MPa（或系统相关要求值）前应更换。</w:t>
      </w:r>
    </w:p>
    <w:p w14:paraId="474C91F7">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7)如采用气体发生器，应检查气体发生器的工作状态，及时补充纯水、更换干燥硅胶、活性炭或无水氯化钙。</w:t>
      </w:r>
    </w:p>
    <w:p w14:paraId="07049F24">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8)检查数据采集、传输与网络通讯是否正常。</w:t>
      </w:r>
    </w:p>
    <w:p w14:paraId="054CFDFB">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9)检查各种运维工具、系统耗材、备件是否完好齐全。</w:t>
      </w:r>
    </w:p>
    <w:p w14:paraId="2746B463">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10)检查空调、电源等辅助设备的运行状况是否正常，检查站房空调机的过滤网是否清洁，必要时进行清洗。</w:t>
      </w:r>
    </w:p>
    <w:p w14:paraId="039192D7">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11)检查各种消防、安全设施是否完好齐全。</w:t>
      </w:r>
    </w:p>
    <w:p w14:paraId="731838E4">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12)对站房周围的杂草和积水应及时清除；对采样有影响的树枝应及时进行剪除。</w:t>
      </w:r>
    </w:p>
    <w:p w14:paraId="67F28D53">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13)检查避雷设施是否正常，子站房屋是否有漏雨现象。</w:t>
      </w:r>
    </w:p>
    <w:p w14:paraId="7D348935">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14)记录巡检情况。</w:t>
      </w:r>
    </w:p>
    <w:p w14:paraId="72532AEC">
      <w:pPr>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②自动监测系统周巡检：【评审项11】</w:t>
      </w:r>
    </w:p>
    <w:p w14:paraId="0EC1F14C">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1)气相色谱、检测器参数设置检查。检查氢火焰离子化检测器氢气与空气输入压力与流量、载气流量与压力等是否与说明书、作业指导书一致。</w:t>
      </w:r>
    </w:p>
    <w:p w14:paraId="4A4EEC7A">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气相色谱、检测器运行情况检查。检查载气净化装置（如除烃等），如有异常应及时更换。根据系统验收或非甲烷总烃测试时使用的参数，检查色谱炉温控制程序、载气流量或压力控制程序、氢火焰离子化检测器等是否正常，如有异常应及时停机检查，排查问题。</w:t>
      </w:r>
    </w:p>
    <w:p w14:paraId="0CCD2825">
      <w:pPr>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③其他维护内容：【评审项12】</w:t>
      </w:r>
    </w:p>
    <w:p w14:paraId="52E2FADA">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1）按照系统说明书或作业指导书要求定期更换阀膜、色谱柱等重要耗材。做好周期性维护，及时清洁气动阀阀芯、散热风扇、氢火焰离子化检测器等重要部件。</w:t>
      </w:r>
    </w:p>
    <w:p w14:paraId="60B7498A">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2）如运行维护涉及对气路上的关键硬件部分进行拆卸、打开，维护操作完成后，应按照系统说明书、作业指导书等要求对系统进行验漏。</w:t>
      </w:r>
    </w:p>
    <w:p w14:paraId="4F1EAD41">
      <w:pPr>
        <w:pStyle w:val="6"/>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质控内容</w:t>
      </w:r>
    </w:p>
    <w:p w14:paraId="25D8CBC5">
      <w:pPr>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①每日工作内容【评审项13】</w:t>
      </w:r>
    </w:p>
    <w:p w14:paraId="63044035">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1）检查仪器保留时间漂移情况，以确保非甲烷总烃测量的准确性。</w:t>
      </w:r>
    </w:p>
    <w:p w14:paraId="17780A0C">
      <w:pPr>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②每周工作内容【评审项14】</w:t>
      </w:r>
    </w:p>
    <w:p w14:paraId="0E2D0143">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完成点检并做好记录，包括：氢气发生器、载气和零空气供应情况以及主要性能指标检查；开展空白检查，若甲烷和非甲烷总烃测定浓度大于方法检出限，应重新校准；开展标点检查，若定量误差超出±10%，应重新校准。</w:t>
      </w:r>
    </w:p>
    <w:p w14:paraId="1ABC3006">
      <w:pPr>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③每月工作内容【评审项15】</w:t>
      </w:r>
    </w:p>
    <w:p w14:paraId="5DABB3C4">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每月月初10个工作日内提交上月的监测分析报告，内容包含：空气质量和数据变化情况、有效数据获取率、仪器在线率、仪器故障次数、时间及应对措施（包括停电次数及每次具体停电时间，存在问题及改正措施）等；每年最后一份月报中应包含该年度全年的分析结果，并配合采购单位需求开展临时性报告编制工作；</w:t>
      </w:r>
    </w:p>
    <w:p w14:paraId="32055E88">
      <w:pPr>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④每季度工作内容【评审项16】</w:t>
      </w:r>
    </w:p>
    <w:p w14:paraId="22A55362">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1）使用标准气体更新多点校准曲线。要求甲烷和非甲烷总烃校准曲线的相关系数R</w:t>
      </w:r>
      <w:r>
        <w:rPr>
          <w:rFonts w:hint="eastAsia" w:ascii="宋体" w:hAnsi="宋体" w:eastAsia="宋体" w:cs="宋体"/>
          <w:color w:val="000000" w:themeColor="text1"/>
          <w:sz w:val="28"/>
          <w:szCs w:val="28"/>
          <w:vertAlign w:val="superscript"/>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≥0.999。</w:t>
      </w:r>
    </w:p>
    <w:p w14:paraId="4AA24560">
      <w:pPr>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⑤每年工作内容【评审项17】</w:t>
      </w:r>
    </w:p>
    <w:p w14:paraId="5F482ADA">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1）每年一次对系统、辅助设备、校准或配气设备等开展预防性维护，对关键零部件进行拆卸清洁和保养，必要时进行更换。预防性维护后进行全面质控检查，并做好记录。</w:t>
      </w:r>
    </w:p>
    <w:p w14:paraId="53B527A3">
      <w:pPr>
        <w:pStyle w:val="5"/>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考核要求</w:t>
      </w:r>
    </w:p>
    <w:p w14:paraId="74CB4F67">
      <w:pPr>
        <w:pStyle w:val="15"/>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考核要求【评审项18】：</w:t>
      </w:r>
    </w:p>
    <w:p w14:paraId="0E67EC32">
      <w:pPr>
        <w:pStyle w:val="15"/>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1、成交单位应按照采购文件和响应文件的有关规定提供服务；</w:t>
      </w:r>
    </w:p>
    <w:p w14:paraId="05E08C81">
      <w:pPr>
        <w:pStyle w:val="15"/>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2、采购人根据有关规定及技术要求，对运维月数据有效率、年质控数据合格率以及现场考核情况进行考核；</w:t>
      </w:r>
    </w:p>
    <w:tbl>
      <w:tblPr>
        <w:tblStyle w:val="24"/>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2297"/>
        <w:gridCol w:w="2241"/>
        <w:gridCol w:w="2241"/>
      </w:tblGrid>
      <w:tr w14:paraId="47B4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400" w:type="dxa"/>
            <w:vAlign w:val="center"/>
          </w:tcPr>
          <w:p w14:paraId="08919B8D">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仪器名称</w:t>
            </w:r>
          </w:p>
        </w:tc>
        <w:tc>
          <w:tcPr>
            <w:tcW w:w="2297" w:type="dxa"/>
            <w:vAlign w:val="center"/>
          </w:tcPr>
          <w:p w14:paraId="0494693E">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月数据有效率</w:t>
            </w:r>
          </w:p>
        </w:tc>
        <w:tc>
          <w:tcPr>
            <w:tcW w:w="2241" w:type="dxa"/>
            <w:vAlign w:val="center"/>
          </w:tcPr>
          <w:p w14:paraId="79995705">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质控数据完成率</w:t>
            </w:r>
          </w:p>
        </w:tc>
        <w:tc>
          <w:tcPr>
            <w:tcW w:w="2241" w:type="dxa"/>
            <w:vAlign w:val="center"/>
          </w:tcPr>
          <w:p w14:paraId="6B7357B1">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现场考核情况</w:t>
            </w:r>
          </w:p>
        </w:tc>
      </w:tr>
      <w:tr w14:paraId="26DD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00" w:type="dxa"/>
            <w:vMerge w:val="restart"/>
            <w:vAlign w:val="center"/>
          </w:tcPr>
          <w:p w14:paraId="15894C0C">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非甲烷</w:t>
            </w:r>
          </w:p>
          <w:p w14:paraId="2F84428D">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总烃仪</w:t>
            </w:r>
          </w:p>
        </w:tc>
        <w:tc>
          <w:tcPr>
            <w:tcW w:w="2297" w:type="dxa"/>
            <w:vAlign w:val="center"/>
          </w:tcPr>
          <w:p w14:paraId="52A0E66F">
            <w:pPr>
              <w:keepLines w:val="0"/>
              <w:pageBreakBefore w:val="0"/>
              <w:widowControl/>
              <w:kinsoku/>
              <w:wordWrap/>
              <w:overflowPunct/>
              <w:topLinePunct w:val="0"/>
              <w:autoSpaceDE/>
              <w:autoSpaceDN/>
              <w:bidi w:val="0"/>
              <w:spacing w:line="520" w:lineRule="exact"/>
              <w:jc w:val="both"/>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≥90%；不扣款</w:t>
            </w:r>
          </w:p>
        </w:tc>
        <w:tc>
          <w:tcPr>
            <w:tcW w:w="2241" w:type="dxa"/>
            <w:vMerge w:val="restart"/>
            <w:vAlign w:val="center"/>
          </w:tcPr>
          <w:p w14:paraId="4050B8E4">
            <w:pPr>
              <w:keepLines w:val="0"/>
              <w:pageBreakBefore w:val="0"/>
              <w:widowControl/>
              <w:kinsoku/>
              <w:wordWrap/>
              <w:overflowPunct/>
              <w:topLinePunct w:val="0"/>
              <w:autoSpaceDE/>
              <w:autoSpaceDN/>
              <w:bidi w:val="0"/>
              <w:spacing w:line="520" w:lineRule="exact"/>
              <w:jc w:val="both"/>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100%，考核年度内成交人无故未开展质控或者质控不合格未在规定时限内补做合格的，每次扣款2000元。</w:t>
            </w:r>
          </w:p>
        </w:tc>
        <w:tc>
          <w:tcPr>
            <w:tcW w:w="2241" w:type="dxa"/>
            <w:vMerge w:val="restart"/>
            <w:vAlign w:val="center"/>
          </w:tcPr>
          <w:p w14:paraId="4FC28D1F">
            <w:pPr>
              <w:keepLines w:val="0"/>
              <w:pageBreakBefore w:val="0"/>
              <w:widowControl/>
              <w:kinsoku/>
              <w:wordWrap/>
              <w:overflowPunct/>
              <w:topLinePunct w:val="0"/>
              <w:autoSpaceDE/>
              <w:autoSpaceDN/>
              <w:bidi w:val="0"/>
              <w:spacing w:line="520" w:lineRule="exact"/>
              <w:jc w:val="both"/>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采购人定期对仪器开展现场考核，发现性能测试不合格项目扣2000元/项</w:t>
            </w:r>
            <w:r>
              <w:rPr>
                <w:rFonts w:hint="eastAsia" w:ascii="宋体" w:hAnsi="宋体" w:eastAsia="宋体" w:cs="宋体"/>
                <w:b/>
                <w:bCs/>
                <w:color w:val="000000" w:themeColor="text1"/>
                <w:kern w:val="0"/>
                <w:sz w:val="28"/>
                <w:szCs w:val="28"/>
                <w14:textFill>
                  <w14:solidFill>
                    <w14:schemeClr w14:val="tx1"/>
                  </w14:solidFill>
                </w14:textFill>
              </w:rPr>
              <w:t>，成交人应在一周内整改并复测合格，否则采购人有权解除合同。</w:t>
            </w:r>
          </w:p>
        </w:tc>
      </w:tr>
      <w:tr w14:paraId="50C8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400" w:type="dxa"/>
            <w:vMerge w:val="continue"/>
            <w:vAlign w:val="center"/>
          </w:tcPr>
          <w:p w14:paraId="5B5FDEF1">
            <w:pPr>
              <w:keepLines w:val="0"/>
              <w:pageBreakBefore w:val="0"/>
              <w:widowControl/>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bCs/>
                <w:color w:val="000000" w:themeColor="text1"/>
                <w:kern w:val="0"/>
                <w:sz w:val="28"/>
                <w:szCs w:val="28"/>
                <w14:textFill>
                  <w14:solidFill>
                    <w14:schemeClr w14:val="tx1"/>
                  </w14:solidFill>
                </w14:textFill>
              </w:rPr>
            </w:pPr>
          </w:p>
        </w:tc>
        <w:tc>
          <w:tcPr>
            <w:tcW w:w="2297" w:type="dxa"/>
            <w:vAlign w:val="center"/>
          </w:tcPr>
          <w:p w14:paraId="3C959AF4">
            <w:pPr>
              <w:keepLines w:val="0"/>
              <w:pageBreakBefore w:val="0"/>
              <w:widowControl/>
              <w:kinsoku/>
              <w:wordWrap/>
              <w:overflowPunct/>
              <w:topLinePunct w:val="0"/>
              <w:autoSpaceDE/>
              <w:autoSpaceDN/>
              <w:bidi w:val="0"/>
              <w:spacing w:line="520" w:lineRule="exact"/>
              <w:jc w:val="both"/>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&lt;90%，且≥80%；扣款2000元。</w:t>
            </w:r>
          </w:p>
        </w:tc>
        <w:tc>
          <w:tcPr>
            <w:tcW w:w="2241" w:type="dxa"/>
            <w:vMerge w:val="continue"/>
            <w:vAlign w:val="center"/>
          </w:tcPr>
          <w:p w14:paraId="777026CF">
            <w:pPr>
              <w:keepLines w:val="0"/>
              <w:pageBreakBefore w:val="0"/>
              <w:widowControl/>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p>
        </w:tc>
        <w:tc>
          <w:tcPr>
            <w:tcW w:w="2241" w:type="dxa"/>
            <w:vMerge w:val="continue"/>
            <w:vAlign w:val="center"/>
          </w:tcPr>
          <w:p w14:paraId="40687CB7">
            <w:pPr>
              <w:keepLines w:val="0"/>
              <w:pageBreakBefore w:val="0"/>
              <w:widowControl/>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p>
        </w:tc>
      </w:tr>
      <w:tr w14:paraId="43E8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400" w:type="dxa"/>
            <w:vMerge w:val="continue"/>
            <w:vAlign w:val="center"/>
          </w:tcPr>
          <w:p w14:paraId="520C9BC6">
            <w:pPr>
              <w:keepLines w:val="0"/>
              <w:pageBreakBefore w:val="0"/>
              <w:widowControl/>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bCs/>
                <w:color w:val="000000" w:themeColor="text1"/>
                <w:kern w:val="0"/>
                <w:sz w:val="28"/>
                <w:szCs w:val="28"/>
                <w14:textFill>
                  <w14:solidFill>
                    <w14:schemeClr w14:val="tx1"/>
                  </w14:solidFill>
                </w14:textFill>
              </w:rPr>
            </w:pPr>
          </w:p>
        </w:tc>
        <w:tc>
          <w:tcPr>
            <w:tcW w:w="2297" w:type="dxa"/>
            <w:vAlign w:val="center"/>
          </w:tcPr>
          <w:p w14:paraId="0CA3EE13">
            <w:pPr>
              <w:keepLines w:val="0"/>
              <w:pageBreakBefore w:val="0"/>
              <w:widowControl/>
              <w:kinsoku/>
              <w:wordWrap/>
              <w:overflowPunct/>
              <w:topLinePunct w:val="0"/>
              <w:autoSpaceDE/>
              <w:autoSpaceDN/>
              <w:bidi w:val="0"/>
              <w:spacing w:line="520" w:lineRule="exact"/>
              <w:jc w:val="both"/>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&lt;80%；扣款5000元。</w:t>
            </w:r>
          </w:p>
        </w:tc>
        <w:tc>
          <w:tcPr>
            <w:tcW w:w="2241" w:type="dxa"/>
            <w:vMerge w:val="continue"/>
            <w:vAlign w:val="center"/>
          </w:tcPr>
          <w:p w14:paraId="6F1A81FC">
            <w:pPr>
              <w:keepLines w:val="0"/>
              <w:pageBreakBefore w:val="0"/>
              <w:widowControl/>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p>
        </w:tc>
        <w:tc>
          <w:tcPr>
            <w:tcW w:w="2241" w:type="dxa"/>
            <w:vMerge w:val="continue"/>
            <w:vAlign w:val="center"/>
          </w:tcPr>
          <w:p w14:paraId="7DA1DD2C">
            <w:pPr>
              <w:keepLines w:val="0"/>
              <w:pageBreakBefore w:val="0"/>
              <w:widowControl/>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p>
        </w:tc>
      </w:tr>
    </w:tbl>
    <w:p w14:paraId="1DC2B958">
      <w:pPr>
        <w:pStyle w:val="5"/>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w:t>
      </w:r>
    </w:p>
    <w:p w14:paraId="1A4248AB">
      <w:pPr>
        <w:pStyle w:val="53"/>
        <w:keepLines w:val="0"/>
        <w:pageBreakBefore w:val="0"/>
        <w:kinsoku/>
        <w:wordWrap/>
        <w:overflowPunct/>
        <w:topLinePunct w:val="0"/>
        <w:autoSpaceDE/>
        <w:autoSpaceDN/>
        <w:bidi w:val="0"/>
        <w:spacing w:line="520" w:lineRule="exact"/>
        <w:ind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1、服务使用的所有仪器、设备均由成交人自行提供，因使用或者故障发生的维修、维护保养、配件更换等费用，均由成交方自行承担，采购单位不提供任何费用补助。【评审项19】</w:t>
      </w:r>
    </w:p>
    <w:p w14:paraId="44410064">
      <w:pPr>
        <w:pStyle w:val="53"/>
        <w:keepLines w:val="0"/>
        <w:pageBreakBefore w:val="0"/>
        <w:kinsoku/>
        <w:wordWrap/>
        <w:overflowPunct/>
        <w:topLinePunct w:val="0"/>
        <w:autoSpaceDE/>
        <w:autoSpaceDN/>
        <w:bidi w:val="0"/>
        <w:spacing w:line="520" w:lineRule="exact"/>
        <w:ind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2、与本次采购项目有关的所有质量、安全问题均由成交人终身负责，如因上述原因造成的一切后果均由成交人自行全部承担，与他人无涉。【评审项20】</w:t>
      </w:r>
    </w:p>
    <w:p w14:paraId="25F3FE86">
      <w:pPr>
        <w:pStyle w:val="12"/>
        <w:keepLines w:val="0"/>
        <w:pageBreakBefore w:val="0"/>
        <w:tabs>
          <w:tab w:val="left" w:pos="2020"/>
          <w:tab w:val="center" w:pos="4535"/>
        </w:tabs>
        <w:kinsoku/>
        <w:wordWrap/>
        <w:overflowPunct/>
        <w:topLinePunct w:val="0"/>
        <w:autoSpaceDE/>
        <w:autoSpaceDN/>
        <w:bidi w:val="0"/>
        <w:spacing w:after="0"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3、成交人不得转包他人，若发现转包，采购人有权终止协议，并由成交人承担相关责任。【评审项21】</w:t>
      </w:r>
    </w:p>
    <w:p w14:paraId="5C28BCE6">
      <w:pPr>
        <w:pStyle w:val="12"/>
        <w:keepLines w:val="0"/>
        <w:pageBreakBefore w:val="0"/>
        <w:tabs>
          <w:tab w:val="left" w:pos="2020"/>
          <w:tab w:val="center" w:pos="4535"/>
        </w:tabs>
        <w:kinsoku/>
        <w:wordWrap/>
        <w:overflowPunct/>
        <w:topLinePunct w:val="0"/>
        <w:autoSpaceDE/>
        <w:autoSpaceDN/>
        <w:bidi w:val="0"/>
        <w:spacing w:after="0"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4、未经采购人许可，成交人不得改变原有仪器设备、软件平台及集成系统等。【评审项22】</w:t>
      </w:r>
    </w:p>
    <w:p w14:paraId="20756780">
      <w:pPr>
        <w:keepLines w:val="0"/>
        <w:pageBreakBefore w:val="0"/>
        <w:tabs>
          <w:tab w:val="left" w:pos="540"/>
          <w:tab w:val="left" w:pos="900"/>
        </w:tabs>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本次采购包括了非甲烷总烃仪所有组成部分及辅助设备的日常运行维护、质量控制、故障维修、仪器调试、协助数据审核上报、耗材供应、应急监测服务、人工、交通运输、包装装卸、仓储保险和各种税费等费用，供应商响应报价也须包括以上所有内容，不得选择性投标，否则为无效投标。响应报价包括：全部服务所需的人工、材料耗材、机械设备、管理、维护、保险、利润、税金及合同包含的所有风险、责任等各项应有费用。【评审项23】</w:t>
      </w:r>
    </w:p>
    <w:p w14:paraId="560EA5C1">
      <w:pPr>
        <w:keepLines w:val="0"/>
        <w:pageBreakBefore w:val="0"/>
        <w:widowControl/>
        <w:kinsoku/>
        <w:wordWrap/>
        <w:overflowPunct/>
        <w:topLinePunct w:val="0"/>
        <w:autoSpaceDE/>
        <w:autoSpaceDN/>
        <w:bidi w:val="0"/>
        <w:adjustRightInd w:val="0"/>
        <w:snapToGrid w:val="0"/>
        <w:spacing w:line="520" w:lineRule="exact"/>
        <w:ind w:firstLine="560" w:firstLineChars="200"/>
        <w:jc w:val="both"/>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6、在委托管理期间，</w:t>
      </w:r>
      <w:r>
        <w:rPr>
          <w:rFonts w:hint="eastAsia" w:ascii="宋体" w:hAnsi="宋体" w:eastAsia="宋体" w:cs="宋体"/>
          <w:color w:val="000000" w:themeColor="text1"/>
          <w:sz w:val="28"/>
          <w:szCs w:val="28"/>
          <w14:textFill>
            <w14:solidFill>
              <w14:schemeClr w14:val="tx1"/>
            </w14:solidFill>
          </w14:textFill>
        </w:rPr>
        <w:t>成交人</w:t>
      </w:r>
      <w:r>
        <w:rPr>
          <w:rFonts w:hint="eastAsia" w:ascii="宋体" w:hAnsi="宋体" w:eastAsia="宋体" w:cs="宋体"/>
          <w:color w:val="000000" w:themeColor="text1"/>
          <w:kern w:val="0"/>
          <w:sz w:val="28"/>
          <w:szCs w:val="28"/>
          <w14:textFill>
            <w14:solidFill>
              <w14:schemeClr w14:val="tx1"/>
            </w14:solidFill>
          </w14:textFill>
        </w:rPr>
        <w:t>拥有管理自主权，但没有对外经营权。未经</w:t>
      </w:r>
      <w:r>
        <w:rPr>
          <w:rFonts w:hint="eastAsia" w:ascii="宋体" w:hAnsi="宋体" w:eastAsia="宋体" w:cs="宋体"/>
          <w:color w:val="000000" w:themeColor="text1"/>
          <w:sz w:val="28"/>
          <w:szCs w:val="28"/>
          <w14:textFill>
            <w14:solidFill>
              <w14:schemeClr w14:val="tx1"/>
            </w14:solidFill>
          </w14:textFill>
        </w:rPr>
        <w:t>采购人</w:t>
      </w:r>
      <w:r>
        <w:rPr>
          <w:rFonts w:hint="eastAsia" w:ascii="宋体" w:hAnsi="宋体" w:eastAsia="宋体" w:cs="宋体"/>
          <w:color w:val="000000" w:themeColor="text1"/>
          <w:kern w:val="0"/>
          <w:sz w:val="28"/>
          <w:szCs w:val="28"/>
          <w14:textFill>
            <w14:solidFill>
              <w14:schemeClr w14:val="tx1"/>
            </w14:solidFill>
          </w14:textFill>
        </w:rPr>
        <w:t>许可，</w:t>
      </w:r>
      <w:r>
        <w:rPr>
          <w:rFonts w:hint="eastAsia" w:ascii="宋体" w:hAnsi="宋体" w:eastAsia="宋体" w:cs="宋体"/>
          <w:color w:val="000000" w:themeColor="text1"/>
          <w:sz w:val="28"/>
          <w:szCs w:val="28"/>
          <w14:textFill>
            <w14:solidFill>
              <w14:schemeClr w14:val="tx1"/>
            </w14:solidFill>
          </w14:textFill>
        </w:rPr>
        <w:t>成交人</w:t>
      </w:r>
      <w:r>
        <w:rPr>
          <w:rFonts w:hint="eastAsia" w:ascii="宋体" w:hAnsi="宋体" w:eastAsia="宋体" w:cs="宋体"/>
          <w:color w:val="000000" w:themeColor="text1"/>
          <w:kern w:val="0"/>
          <w:sz w:val="28"/>
          <w:szCs w:val="28"/>
          <w14:textFill>
            <w14:solidFill>
              <w14:schemeClr w14:val="tx1"/>
            </w14:solidFill>
          </w14:textFill>
        </w:rPr>
        <w:t>不得使用监测成果；不得将监测及系统信息传输到本系统以外；不得利用本项目的所有资料对外开展技术交流、业务联系、数据交换等，由此造成泄密事件由</w:t>
      </w:r>
      <w:r>
        <w:rPr>
          <w:rFonts w:hint="eastAsia" w:ascii="宋体" w:hAnsi="宋体" w:eastAsia="宋体" w:cs="宋体"/>
          <w:color w:val="000000" w:themeColor="text1"/>
          <w:sz w:val="28"/>
          <w:szCs w:val="28"/>
          <w14:textFill>
            <w14:solidFill>
              <w14:schemeClr w14:val="tx1"/>
            </w14:solidFill>
          </w14:textFill>
        </w:rPr>
        <w:t>成交人</w:t>
      </w:r>
      <w:r>
        <w:rPr>
          <w:rFonts w:hint="eastAsia" w:ascii="宋体" w:hAnsi="宋体" w:eastAsia="宋体" w:cs="宋体"/>
          <w:color w:val="000000" w:themeColor="text1"/>
          <w:kern w:val="0"/>
          <w:sz w:val="28"/>
          <w:szCs w:val="28"/>
          <w14:textFill>
            <w14:solidFill>
              <w14:schemeClr w14:val="tx1"/>
            </w14:solidFill>
          </w14:textFill>
        </w:rPr>
        <w:t>负责。</w:t>
      </w:r>
      <w:r>
        <w:rPr>
          <w:rFonts w:hint="eastAsia" w:ascii="宋体" w:hAnsi="宋体" w:eastAsia="宋体" w:cs="宋体"/>
          <w:color w:val="000000" w:themeColor="text1"/>
          <w:sz w:val="28"/>
          <w:szCs w:val="28"/>
          <w14:textFill>
            <w14:solidFill>
              <w14:schemeClr w14:val="tx1"/>
            </w14:solidFill>
          </w14:textFill>
        </w:rPr>
        <w:t>【评审项24】</w:t>
      </w:r>
    </w:p>
    <w:p w14:paraId="6FD12770">
      <w:pPr>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本次采购包括了非甲烷总烃仪</w:t>
      </w:r>
      <w:r>
        <w:rPr>
          <w:rFonts w:hint="eastAsia" w:ascii="宋体" w:hAnsi="宋体" w:eastAsia="宋体" w:cs="宋体"/>
          <w:color w:val="000000" w:themeColor="text1"/>
          <w:kern w:val="0"/>
          <w:sz w:val="28"/>
          <w:szCs w:val="28"/>
          <w14:textFill>
            <w14:solidFill>
              <w14:schemeClr w14:val="tx1"/>
            </w14:solidFill>
          </w14:textFill>
        </w:rPr>
        <w:t>全部资产属采购单位所有，在委托运行管理期间，成交人有责任保证上述全部资产的完整、安全并处于良好状态。未经</w:t>
      </w:r>
      <w:r>
        <w:rPr>
          <w:rFonts w:hint="eastAsia" w:ascii="宋体" w:hAnsi="宋体" w:eastAsia="宋体" w:cs="宋体"/>
          <w:color w:val="000000" w:themeColor="text1"/>
          <w:sz w:val="28"/>
          <w:szCs w:val="28"/>
          <w14:textFill>
            <w14:solidFill>
              <w14:schemeClr w14:val="tx1"/>
            </w14:solidFill>
          </w14:textFill>
        </w:rPr>
        <w:t>采购单位</w:t>
      </w:r>
      <w:r>
        <w:rPr>
          <w:rFonts w:hint="eastAsia" w:ascii="宋体" w:hAnsi="宋体" w:eastAsia="宋体" w:cs="宋体"/>
          <w:color w:val="000000" w:themeColor="text1"/>
          <w:kern w:val="0"/>
          <w:sz w:val="28"/>
          <w:szCs w:val="28"/>
          <w14:textFill>
            <w14:solidFill>
              <w14:schemeClr w14:val="tx1"/>
            </w14:solidFill>
          </w14:textFill>
        </w:rPr>
        <w:t>许可，</w:t>
      </w:r>
      <w:r>
        <w:rPr>
          <w:rFonts w:hint="eastAsia" w:ascii="宋体" w:hAnsi="宋体" w:eastAsia="宋体" w:cs="宋体"/>
          <w:color w:val="000000" w:themeColor="text1"/>
          <w:sz w:val="28"/>
          <w:szCs w:val="28"/>
          <w14:textFill>
            <w14:solidFill>
              <w14:schemeClr w14:val="tx1"/>
            </w14:solidFill>
          </w14:textFill>
        </w:rPr>
        <w:t>成交人</w:t>
      </w:r>
      <w:r>
        <w:rPr>
          <w:rFonts w:hint="eastAsia" w:ascii="宋体" w:hAnsi="宋体" w:eastAsia="宋体" w:cs="宋体"/>
          <w:color w:val="000000" w:themeColor="text1"/>
          <w:kern w:val="0"/>
          <w:sz w:val="28"/>
          <w:szCs w:val="28"/>
          <w14:textFill>
            <w14:solidFill>
              <w14:schemeClr w14:val="tx1"/>
            </w14:solidFill>
          </w14:textFill>
        </w:rPr>
        <w:t>不得以任何方式对各类财产进行出售、抵押或转移。</w:t>
      </w:r>
      <w:r>
        <w:rPr>
          <w:rFonts w:hint="eastAsia" w:ascii="宋体" w:hAnsi="宋体" w:eastAsia="宋体" w:cs="宋体"/>
          <w:color w:val="000000" w:themeColor="text1"/>
          <w:sz w:val="28"/>
          <w:szCs w:val="28"/>
          <w14:textFill>
            <w14:solidFill>
              <w14:schemeClr w14:val="tx1"/>
            </w14:solidFill>
          </w14:textFill>
        </w:rPr>
        <w:t>【评审项25】</w:t>
      </w:r>
    </w:p>
    <w:p w14:paraId="255819C0">
      <w:pPr>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lang w:val="zh-CN"/>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7576377B">
      <w:pPr>
        <w:pStyle w:val="3"/>
        <w:keepLines w:val="0"/>
        <w:pageBreakBefore w:val="0"/>
        <w:numPr>
          <w:ilvl w:val="0"/>
          <w:numId w:val="0"/>
        </w:numPr>
        <w:kinsoku/>
        <w:wordWrap/>
        <w:overflowPunct/>
        <w:topLinePunct w:val="0"/>
        <w:autoSpaceDE/>
        <w:autoSpaceDN/>
        <w:bidi w:val="0"/>
        <w:spacing w:line="520" w:lineRule="exact"/>
        <w:ind w:leftChars="0"/>
        <w:jc w:val="center"/>
        <w:textAlignment w:val="auto"/>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 xml:space="preserve">第二章 </w:t>
      </w: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评分标准和方法</w:t>
      </w:r>
    </w:p>
    <w:p w14:paraId="19A7CC93">
      <w:pPr>
        <w:pStyle w:val="53"/>
        <w:keepLines w:val="0"/>
        <w:pageBreakBefore w:val="0"/>
        <w:kinsoku/>
        <w:wordWrap/>
        <w:overflowPunct/>
        <w:topLinePunct w:val="0"/>
        <w:autoSpaceDE/>
        <w:autoSpaceDN/>
        <w:bidi w:val="0"/>
        <w:spacing w:line="520" w:lineRule="exact"/>
        <w:ind w:left="0" w:leftChars="0" w:firstLine="0" w:firstLineChars="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综合评分的标准和方法</w:t>
      </w:r>
    </w:p>
    <w:p w14:paraId="3DE95342">
      <w:pPr>
        <w:pStyle w:val="55"/>
        <w:keepLines w:val="0"/>
        <w:pageBreakBefore w:val="0"/>
        <w:kinsoku/>
        <w:wordWrap/>
        <w:overflowPunct/>
        <w:topLinePunct w:val="0"/>
        <w:autoSpaceDE/>
        <w:autoSpaceDN/>
        <w:bidi w:val="0"/>
        <w:spacing w:line="520" w:lineRule="exact"/>
        <w:ind w:firstLine="48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小组将采用综合评分法对合格供应商的响应文件和报价进行综合评分。具体综合评分的标准和方法如下：</w:t>
      </w:r>
    </w:p>
    <w:bookmarkEnd w:id="0"/>
    <w:p w14:paraId="21F1FC07">
      <w:pPr>
        <w:pStyle w:val="55"/>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小组将对合格供应商从技术、商务及报价部分分别进行评议并评分，并汇总出技术、商务及报价部分的综合得分。综合得分最高的供应商将被推荐为第一成交候选供应商，综合得分第二高的供应商将被推荐为第二成交候选供应商，综合得分第三高的供应商将被推荐为第三成交候选供应商。如果出现相同的综合得分，则最后报价低的供应商排序在前优先推荐；如果最后报价仍相同，则技术部分得分高的供应商优先排序在前推荐。</w:t>
      </w:r>
    </w:p>
    <w:p w14:paraId="10D10A0F">
      <w:pPr>
        <w:pStyle w:val="55"/>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.2具体评审标准和方法：</w:t>
      </w:r>
    </w:p>
    <w:p w14:paraId="1A834E43">
      <w:pPr>
        <w:pStyle w:val="55"/>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（1）响应文件满足</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文件全部实质性要求，且按照评审因素的量化指标综合评审总得分从高到低顺序推荐3名以上成交候选人供应商，其中评审总得分最高的供应商为第一成交候选供应商。</w:t>
      </w:r>
    </w:p>
    <w:p w14:paraId="33E40D1F">
      <w:pPr>
        <w:pStyle w:val="55"/>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w:t>
      </w:r>
      <w:r>
        <w:rPr>
          <w:rFonts w:hint="eastAsia" w:ascii="宋体" w:hAnsi="宋体" w:eastAsia="宋体" w:cs="宋体"/>
          <w:color w:val="auto"/>
          <w:sz w:val="28"/>
          <w:szCs w:val="28"/>
        </w:rPr>
        <w:t>A1＋A2＋A3=1、</w:t>
      </w:r>
      <w:r>
        <w:rPr>
          <w:rFonts w:hint="eastAsia" w:ascii="宋体" w:hAnsi="宋体" w:eastAsia="宋体" w:cs="宋体"/>
          <w:color w:val="000000" w:themeColor="text1"/>
          <w:sz w:val="28"/>
          <w:szCs w:val="28"/>
          <w14:textFill>
            <w14:solidFill>
              <w14:schemeClr w14:val="tx1"/>
            </w14:solidFill>
          </w14:textFill>
        </w:rPr>
        <w:t>F1×A1＋F2×A2＋F3×A3=100分（满分时）。</w:t>
      </w:r>
    </w:p>
    <w:p w14:paraId="536BC9B7">
      <w:pPr>
        <w:pStyle w:val="55"/>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（3）各项评审因素的设置如下：</w:t>
      </w:r>
    </w:p>
    <w:p w14:paraId="54638480">
      <w:pPr>
        <w:pStyle w:val="55"/>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综合评分法：</w:t>
      </w:r>
    </w:p>
    <w:p w14:paraId="0CC2231D">
      <w:pPr>
        <w:pStyle w:val="55"/>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各项评审因素的设置如下：</w:t>
      </w:r>
    </w:p>
    <w:p w14:paraId="2DCA5847">
      <w:pPr>
        <w:pStyle w:val="55"/>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报价部分评分 满分为</w:t>
      </w:r>
      <w:r>
        <w:rPr>
          <w:rFonts w:hint="eastAsia" w:ascii="宋体" w:hAnsi="宋体" w:eastAsia="宋体" w:cs="宋体"/>
          <w:b/>
          <w:color w:val="000000" w:themeColor="text1"/>
          <w:sz w:val="28"/>
          <w:szCs w:val="28"/>
          <w:lang w:eastAsia="zh-CN"/>
          <w14:textFill>
            <w14:solidFill>
              <w14:schemeClr w14:val="tx1"/>
            </w14:solidFill>
          </w14:textFill>
        </w:rPr>
        <w:t>15</w:t>
      </w:r>
      <w:r>
        <w:rPr>
          <w:rFonts w:hint="eastAsia" w:ascii="宋体" w:hAnsi="宋体" w:eastAsia="宋体" w:cs="宋体"/>
          <w:b/>
          <w:color w:val="000000" w:themeColor="text1"/>
          <w:sz w:val="28"/>
          <w:szCs w:val="28"/>
          <w14:textFill>
            <w14:solidFill>
              <w14:schemeClr w14:val="tx1"/>
            </w14:solidFill>
          </w14:textFill>
        </w:rPr>
        <w:t>分</w:t>
      </w:r>
    </w:p>
    <w:p w14:paraId="316F5807">
      <w:pPr>
        <w:pStyle w:val="55"/>
        <w:keepLines w:val="0"/>
        <w:pageBreakBefore w:val="0"/>
        <w:kinsoku/>
        <w:wordWrap/>
        <w:overflowPunct/>
        <w:topLinePunct w:val="0"/>
        <w:autoSpaceDE/>
        <w:autoSpaceDN/>
        <w:bidi w:val="0"/>
        <w:spacing w:line="520" w:lineRule="exact"/>
        <w:ind w:firstLine="560" w:firstLineChars="200"/>
        <w:jc w:val="both"/>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价格分采用低价优先法计算，即满足</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文件要求且报价最低的供应商的价格为</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基准价，其价格分为满分。其他供应商的价格分统一按照下列公式计算：报价得分=（基准价／报价）×价格权值×</w:t>
      </w:r>
      <w:r>
        <w:rPr>
          <w:rFonts w:hint="eastAsia" w:ascii="宋体" w:hAnsi="宋体" w:cs="宋体"/>
          <w:color w:val="000000" w:themeColor="text1"/>
          <w:sz w:val="28"/>
          <w:szCs w:val="28"/>
          <w:lang w:val="en-US" w:eastAsia="zh-CN"/>
          <w14:textFill>
            <w14:solidFill>
              <w14:schemeClr w14:val="tx1"/>
            </w14:solidFill>
          </w14:textFill>
        </w:rPr>
        <w:t>100。</w:t>
      </w:r>
    </w:p>
    <w:p w14:paraId="279DF957">
      <w:pPr>
        <w:pStyle w:val="55"/>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技术部分评分 满分为</w:t>
      </w:r>
      <w:r>
        <w:rPr>
          <w:rFonts w:hint="eastAsia" w:ascii="宋体" w:hAnsi="宋体" w:eastAsia="宋体" w:cs="宋体"/>
          <w:b/>
          <w:color w:val="000000" w:themeColor="text1"/>
          <w:sz w:val="28"/>
          <w:szCs w:val="28"/>
          <w:lang w:eastAsia="zh-CN"/>
          <w14:textFill>
            <w14:solidFill>
              <w14:schemeClr w14:val="tx1"/>
            </w14:solidFill>
          </w14:textFill>
        </w:rPr>
        <w:t>66</w:t>
      </w:r>
      <w:r>
        <w:rPr>
          <w:rFonts w:hint="eastAsia" w:ascii="宋体" w:hAnsi="宋体" w:eastAsia="宋体" w:cs="宋体"/>
          <w:b/>
          <w:color w:val="000000" w:themeColor="text1"/>
          <w:sz w:val="28"/>
          <w:szCs w:val="28"/>
          <w14:textFill>
            <w14:solidFill>
              <w14:schemeClr w14:val="tx1"/>
            </w14:solidFill>
          </w14:textFill>
        </w:rPr>
        <w:t>分</w:t>
      </w:r>
    </w:p>
    <w:tbl>
      <w:tblPr>
        <w:tblStyle w:val="24"/>
        <w:tblW w:w="0" w:type="auto"/>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52"/>
        <w:gridCol w:w="913"/>
        <w:gridCol w:w="5751"/>
      </w:tblGrid>
      <w:tr w14:paraId="14628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jc w:val="center"/>
        </w:trPr>
        <w:tc>
          <w:tcPr>
            <w:tcW w:w="1654" w:type="dxa"/>
            <w:tcBorders>
              <w:tl2br w:val="nil"/>
              <w:tr2bl w:val="nil"/>
            </w:tcBorders>
            <w:vAlign w:val="center"/>
          </w:tcPr>
          <w:p w14:paraId="3235FF80">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评标项目</w:t>
            </w:r>
          </w:p>
        </w:tc>
        <w:tc>
          <w:tcPr>
            <w:tcW w:w="914" w:type="dxa"/>
            <w:tcBorders>
              <w:tl2br w:val="nil"/>
              <w:tr2bl w:val="nil"/>
            </w:tcBorders>
            <w:vAlign w:val="center"/>
          </w:tcPr>
          <w:p w14:paraId="050BB799">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lang w:bidi="ar"/>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评标</w:t>
            </w:r>
          </w:p>
          <w:p w14:paraId="6C006D31">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分值</w:t>
            </w:r>
          </w:p>
        </w:tc>
        <w:tc>
          <w:tcPr>
            <w:tcW w:w="5758" w:type="dxa"/>
            <w:tcBorders>
              <w:tl2br w:val="nil"/>
              <w:tr2bl w:val="nil"/>
            </w:tcBorders>
            <w:vAlign w:val="center"/>
          </w:tcPr>
          <w:p w14:paraId="372D780A">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评标方法描述</w:t>
            </w:r>
          </w:p>
        </w:tc>
      </w:tr>
      <w:tr w14:paraId="5C3E2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jc w:val="center"/>
        </w:trPr>
        <w:tc>
          <w:tcPr>
            <w:tcW w:w="1654" w:type="dxa"/>
            <w:tcBorders>
              <w:tl2br w:val="nil"/>
              <w:tr2bl w:val="nil"/>
            </w:tcBorders>
            <w:vAlign w:val="center"/>
          </w:tcPr>
          <w:p w14:paraId="75A2512D">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1.基本技术要求响应情况</w:t>
            </w:r>
          </w:p>
        </w:tc>
        <w:tc>
          <w:tcPr>
            <w:tcW w:w="914" w:type="dxa"/>
            <w:tcBorders>
              <w:tl2br w:val="nil"/>
              <w:tr2bl w:val="nil"/>
            </w:tcBorders>
            <w:vAlign w:val="center"/>
          </w:tcPr>
          <w:p w14:paraId="75B728D9">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45</w:t>
            </w:r>
          </w:p>
        </w:tc>
        <w:tc>
          <w:tcPr>
            <w:tcW w:w="5758" w:type="dxa"/>
            <w:tcBorders>
              <w:tl2br w:val="nil"/>
              <w:tr2bl w:val="nil"/>
            </w:tcBorders>
            <w:vAlign w:val="center"/>
          </w:tcPr>
          <w:p w14:paraId="77BFFB70">
            <w:pPr>
              <w:keepLines w:val="0"/>
              <w:pageBreakBefore w:val="0"/>
              <w:widowControl/>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w:t>
            </w:r>
            <w:r>
              <w:rPr>
                <w:rFonts w:hint="eastAsia" w:ascii="宋体" w:hAnsi="宋体" w:eastAsia="宋体" w:cs="宋体"/>
                <w:color w:val="000000" w:themeColor="text1"/>
                <w:kern w:val="0"/>
                <w:sz w:val="28"/>
                <w:szCs w:val="28"/>
                <w14:textFill>
                  <w14:solidFill>
                    <w14:schemeClr w14:val="tx1"/>
                  </w14:solidFill>
                </w14:textFill>
              </w:rPr>
              <w:t>据供应商对采购文件《第1章 采购内容及要求》“1.2、技术要求”的各项技术要求响应承诺情况，由</w:t>
            </w:r>
            <w:r>
              <w:rPr>
                <w:rFonts w:hint="eastAsia" w:ascii="宋体" w:hAnsi="宋体" w:cs="宋体"/>
                <w:color w:val="000000" w:themeColor="text1"/>
                <w:kern w:val="0"/>
                <w:sz w:val="28"/>
                <w:szCs w:val="28"/>
                <w:lang w:eastAsia="zh-CN"/>
                <w14:textFill>
                  <w14:solidFill>
                    <w14:schemeClr w14:val="tx1"/>
                  </w14:solidFill>
                </w14:textFill>
              </w:rPr>
              <w:t>评审</w:t>
            </w:r>
            <w:r>
              <w:rPr>
                <w:rFonts w:hint="eastAsia" w:ascii="宋体" w:hAnsi="宋体" w:eastAsia="宋体" w:cs="宋体"/>
                <w:color w:val="000000" w:themeColor="text1"/>
                <w:kern w:val="0"/>
                <w:sz w:val="28"/>
                <w:szCs w:val="28"/>
                <w14:textFill>
                  <w14:solidFill>
                    <w14:schemeClr w14:val="tx1"/>
                  </w14:solidFill>
                </w14:textFill>
              </w:rPr>
              <w:t>小组进行评分：完全满足采购文件文件技术要求的得45分；标记评审项的技术参数（共25项)每负偏离一项扣1.8分，正偏离不加分。（评审项的项下的任一指标参数有负偏离的，视为整项评审项负偏离并予以相应扣分。）</w:t>
            </w:r>
          </w:p>
        </w:tc>
      </w:tr>
      <w:tr w14:paraId="274B3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jc w:val="center"/>
        </w:trPr>
        <w:tc>
          <w:tcPr>
            <w:tcW w:w="1654" w:type="dxa"/>
            <w:tcBorders>
              <w:tl2br w:val="nil"/>
              <w:tr2bl w:val="nil"/>
            </w:tcBorders>
            <w:vAlign w:val="center"/>
          </w:tcPr>
          <w:p w14:paraId="398A872E">
            <w:pPr>
              <w:keepLines w:val="0"/>
              <w:pageBreakBefore w:val="0"/>
              <w:widowControl/>
              <w:numPr>
                <w:ilvl w:val="0"/>
                <w:numId w:val="0"/>
              </w:numPr>
              <w:kinsoku/>
              <w:wordWrap/>
              <w:overflowPunct/>
              <w:topLinePunct w:val="0"/>
              <w:autoSpaceDE/>
              <w:autoSpaceDN/>
              <w:bidi w:val="0"/>
              <w:spacing w:line="520" w:lineRule="exact"/>
              <w:jc w:val="both"/>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运维交接</w:t>
            </w:r>
          </w:p>
          <w:p w14:paraId="3518FEAA">
            <w:pPr>
              <w:keepLines w:val="0"/>
              <w:pageBreakBefore w:val="0"/>
              <w:widowControl/>
              <w:numPr>
                <w:ilvl w:val="0"/>
                <w:numId w:val="0"/>
              </w:numPr>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方案</w:t>
            </w:r>
          </w:p>
        </w:tc>
        <w:tc>
          <w:tcPr>
            <w:tcW w:w="914" w:type="dxa"/>
            <w:tcBorders>
              <w:tl2br w:val="nil"/>
              <w:tr2bl w:val="nil"/>
            </w:tcBorders>
            <w:vAlign w:val="center"/>
          </w:tcPr>
          <w:p w14:paraId="6B9C0957">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p>
        </w:tc>
        <w:tc>
          <w:tcPr>
            <w:tcW w:w="5758" w:type="dxa"/>
            <w:tcBorders>
              <w:tl2br w:val="nil"/>
              <w:tr2bl w:val="nil"/>
            </w:tcBorders>
            <w:vAlign w:val="center"/>
          </w:tcPr>
          <w:p w14:paraId="2CEA7291">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供应商提供针对本项目的运维交接方案情况，由</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小组进行评议：1）内容合理，切实可行，针对性强，完全满足运维要求的得3分；2）内容较为合理，基本可行，符合运维要求的得2分；3）内容较差或未提供相关内容的不得分。</w:t>
            </w:r>
          </w:p>
        </w:tc>
      </w:tr>
      <w:tr w14:paraId="385E6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jc w:val="center"/>
        </w:trPr>
        <w:tc>
          <w:tcPr>
            <w:tcW w:w="1654" w:type="dxa"/>
            <w:tcBorders>
              <w:tl2br w:val="nil"/>
              <w:tr2bl w:val="nil"/>
            </w:tcBorders>
            <w:vAlign w:val="center"/>
          </w:tcPr>
          <w:p w14:paraId="172F551A">
            <w:pPr>
              <w:keepLines w:val="0"/>
              <w:pageBreakBefore w:val="0"/>
              <w:widowControl/>
              <w:numPr>
                <w:ilvl w:val="0"/>
                <w:numId w:val="0"/>
              </w:numPr>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运维质控</w:t>
            </w:r>
          </w:p>
          <w:p w14:paraId="17F5CA15">
            <w:pPr>
              <w:keepLines w:val="0"/>
              <w:pageBreakBefore w:val="0"/>
              <w:widowControl/>
              <w:numPr>
                <w:ilvl w:val="0"/>
                <w:numId w:val="0"/>
              </w:numPr>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w:t>
            </w:r>
          </w:p>
        </w:tc>
        <w:tc>
          <w:tcPr>
            <w:tcW w:w="914" w:type="dxa"/>
            <w:tcBorders>
              <w:tl2br w:val="nil"/>
              <w:tr2bl w:val="nil"/>
            </w:tcBorders>
            <w:vAlign w:val="center"/>
          </w:tcPr>
          <w:p w14:paraId="1C52FA40">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p>
        </w:tc>
        <w:tc>
          <w:tcPr>
            <w:tcW w:w="5758" w:type="dxa"/>
            <w:tcBorders>
              <w:tl2br w:val="nil"/>
              <w:tr2bl w:val="nil"/>
            </w:tcBorders>
            <w:vAlign w:val="center"/>
          </w:tcPr>
          <w:p w14:paraId="4671FA55">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供应商提供针对</w:t>
            </w:r>
            <w:r>
              <w:rPr>
                <w:rFonts w:hint="eastAsia" w:ascii="宋体" w:hAnsi="宋体" w:eastAsia="宋体" w:cs="宋体"/>
                <w:color w:val="000000" w:themeColor="text1"/>
                <w:kern w:val="0"/>
                <w:sz w:val="28"/>
                <w:szCs w:val="28"/>
                <w:lang w:bidi="ar"/>
                <w14:textFill>
                  <w14:solidFill>
                    <w14:schemeClr w14:val="tx1"/>
                  </w14:solidFill>
                </w14:textFill>
              </w:rPr>
              <w:t>本项目的</w:t>
            </w:r>
            <w:r>
              <w:rPr>
                <w:rFonts w:hint="eastAsia" w:ascii="宋体" w:hAnsi="宋体" w:eastAsia="宋体" w:cs="宋体"/>
                <w:color w:val="000000" w:themeColor="text1"/>
                <w:sz w:val="28"/>
                <w:szCs w:val="28"/>
                <w14:textFill>
                  <w14:solidFill>
                    <w14:schemeClr w14:val="tx1"/>
                  </w14:solidFill>
                </w14:textFill>
              </w:rPr>
              <w:t>运维质控方案情况，由</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小组进行评议：①运维质控措施科学完善、清晰有条理，切实可行性强的得3分；②运维质控措施较为完善、内容清楚，切实可行的得2分；③运维质控措施一般、内容简单，切实可行性一般的得1分；</w:t>
            </w:r>
            <w:r>
              <w:rPr>
                <w:rFonts w:hint="eastAsia" w:ascii="宋体" w:hAnsi="宋体" w:eastAsia="宋体" w:cs="宋体"/>
                <w:color w:val="000000" w:themeColor="text1"/>
                <w:kern w:val="0"/>
                <w:sz w:val="28"/>
                <w:szCs w:val="28"/>
                <w14:textFill>
                  <w14:solidFill>
                    <w14:schemeClr w14:val="tx1"/>
                  </w14:solidFill>
                </w14:textFill>
              </w:rPr>
              <w:t>④未提供的或者不满足本项目需求的不得分。</w:t>
            </w:r>
          </w:p>
        </w:tc>
      </w:tr>
      <w:tr w14:paraId="7F576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jc w:val="center"/>
        </w:trPr>
        <w:tc>
          <w:tcPr>
            <w:tcW w:w="1654" w:type="dxa"/>
            <w:tcBorders>
              <w:tl2br w:val="nil"/>
              <w:tr2bl w:val="nil"/>
            </w:tcBorders>
            <w:vAlign w:val="center"/>
          </w:tcPr>
          <w:p w14:paraId="0FA3F75A">
            <w:pPr>
              <w:keepLines w:val="0"/>
              <w:pageBreakBefore w:val="0"/>
              <w:widowControl/>
              <w:numPr>
                <w:ilvl w:val="0"/>
                <w:numId w:val="0"/>
              </w:numPr>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数据审核</w:t>
            </w:r>
          </w:p>
          <w:p w14:paraId="4DD32E3B">
            <w:pPr>
              <w:keepLines w:val="0"/>
              <w:pageBreakBefore w:val="0"/>
              <w:widowControl/>
              <w:numPr>
                <w:ilvl w:val="0"/>
                <w:numId w:val="0"/>
              </w:numPr>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w:t>
            </w:r>
          </w:p>
        </w:tc>
        <w:tc>
          <w:tcPr>
            <w:tcW w:w="914" w:type="dxa"/>
            <w:tcBorders>
              <w:tl2br w:val="nil"/>
              <w:tr2bl w:val="nil"/>
            </w:tcBorders>
            <w:vAlign w:val="center"/>
          </w:tcPr>
          <w:p w14:paraId="2481F953">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p>
        </w:tc>
        <w:tc>
          <w:tcPr>
            <w:tcW w:w="5758" w:type="dxa"/>
            <w:tcBorders>
              <w:tl2br w:val="nil"/>
              <w:tr2bl w:val="nil"/>
            </w:tcBorders>
            <w:vAlign w:val="center"/>
          </w:tcPr>
          <w:p w14:paraId="36CCE742">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根据供应商提供针对</w:t>
            </w:r>
            <w:r>
              <w:rPr>
                <w:rFonts w:hint="eastAsia" w:ascii="宋体" w:hAnsi="宋体" w:eastAsia="宋体" w:cs="宋体"/>
                <w:color w:val="000000" w:themeColor="text1"/>
                <w:kern w:val="0"/>
                <w:sz w:val="28"/>
                <w:szCs w:val="28"/>
                <w:lang w:bidi="ar"/>
                <w14:textFill>
                  <w14:solidFill>
                    <w14:schemeClr w14:val="tx1"/>
                  </w14:solidFill>
                </w14:textFill>
              </w:rPr>
              <w:t>本项目的</w:t>
            </w:r>
            <w:r>
              <w:rPr>
                <w:rFonts w:hint="eastAsia" w:ascii="宋体" w:hAnsi="宋体" w:eastAsia="宋体" w:cs="宋体"/>
                <w:color w:val="000000" w:themeColor="text1"/>
                <w:sz w:val="28"/>
                <w:szCs w:val="28"/>
                <w14:textFill>
                  <w14:solidFill>
                    <w14:schemeClr w14:val="tx1"/>
                  </w14:solidFill>
                </w14:textFill>
              </w:rPr>
              <w:t>数据审核方案情况，由</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小组进行评议：①数据审核方案科学完善，方法和依据阐述系统，站点数据传输审核措施切实可行的得3分；②数据审核方案较全面，技术方法和依据阐述基本合理，站点数据传输审核措施一般的得2分；③数据审核方案简略，技术方法阐述及审核措施欠缺的得1分；</w:t>
            </w:r>
            <w:r>
              <w:rPr>
                <w:rFonts w:hint="eastAsia" w:ascii="宋体" w:hAnsi="宋体" w:eastAsia="宋体" w:cs="宋体"/>
                <w:color w:val="000000" w:themeColor="text1"/>
                <w:kern w:val="0"/>
                <w:sz w:val="28"/>
                <w:szCs w:val="28"/>
                <w14:textFill>
                  <w14:solidFill>
                    <w14:schemeClr w14:val="tx1"/>
                  </w14:solidFill>
                </w14:textFill>
              </w:rPr>
              <w:t>④未提供的或者不满足本项目需求的不得分。</w:t>
            </w:r>
          </w:p>
        </w:tc>
      </w:tr>
      <w:tr w14:paraId="0D060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jc w:val="center"/>
        </w:trPr>
        <w:tc>
          <w:tcPr>
            <w:tcW w:w="1654" w:type="dxa"/>
            <w:tcBorders>
              <w:tl2br w:val="nil"/>
              <w:tr2bl w:val="nil"/>
            </w:tcBorders>
            <w:vAlign w:val="center"/>
          </w:tcPr>
          <w:p w14:paraId="11C878CC">
            <w:pPr>
              <w:keepLines w:val="0"/>
              <w:pageBreakBefore w:val="0"/>
              <w:widowControl/>
              <w:numPr>
                <w:ilvl w:val="0"/>
                <w:numId w:val="0"/>
              </w:numPr>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故障维修</w:t>
            </w:r>
          </w:p>
          <w:p w14:paraId="1E7690A2">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w:t>
            </w:r>
          </w:p>
        </w:tc>
        <w:tc>
          <w:tcPr>
            <w:tcW w:w="914" w:type="dxa"/>
            <w:tcBorders>
              <w:tl2br w:val="nil"/>
              <w:tr2bl w:val="nil"/>
            </w:tcBorders>
            <w:vAlign w:val="center"/>
          </w:tcPr>
          <w:p w14:paraId="37112AF3">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p>
        </w:tc>
        <w:tc>
          <w:tcPr>
            <w:tcW w:w="5758" w:type="dxa"/>
            <w:tcBorders>
              <w:tl2br w:val="nil"/>
              <w:tr2bl w:val="nil"/>
            </w:tcBorders>
            <w:vAlign w:val="center"/>
          </w:tcPr>
          <w:p w14:paraId="7A0F5802">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根据供应商提供针对</w:t>
            </w:r>
            <w:r>
              <w:rPr>
                <w:rFonts w:hint="eastAsia" w:ascii="宋体" w:hAnsi="宋体" w:eastAsia="宋体" w:cs="宋体"/>
                <w:color w:val="000000" w:themeColor="text1"/>
                <w:kern w:val="0"/>
                <w:sz w:val="28"/>
                <w:szCs w:val="28"/>
                <w:lang w:bidi="ar"/>
                <w14:textFill>
                  <w14:solidFill>
                    <w14:schemeClr w14:val="tx1"/>
                  </w14:solidFill>
                </w14:textFill>
              </w:rPr>
              <w:t>本项目的</w:t>
            </w:r>
            <w:r>
              <w:rPr>
                <w:rFonts w:hint="eastAsia" w:ascii="宋体" w:hAnsi="宋体" w:eastAsia="宋体" w:cs="宋体"/>
                <w:color w:val="000000" w:themeColor="text1"/>
                <w:sz w:val="28"/>
                <w:szCs w:val="28"/>
                <w14:textFill>
                  <w14:solidFill>
                    <w14:schemeClr w14:val="tx1"/>
                  </w14:solidFill>
                </w14:textFill>
              </w:rPr>
              <w:t>故障维修方案情况，由</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小组进行评议：①故障维修方案内容全面，故障类型考虑周全的得3分；②故障维修方案内容基本合理和全面，故障类型考虑较周全的的得2分；③故障维修方案内容一般，故障类型考虑略简单的得1分；</w:t>
            </w:r>
            <w:r>
              <w:rPr>
                <w:rFonts w:hint="eastAsia" w:ascii="宋体" w:hAnsi="宋体" w:eastAsia="宋体" w:cs="宋体"/>
                <w:color w:val="000000" w:themeColor="text1"/>
                <w:kern w:val="0"/>
                <w:sz w:val="28"/>
                <w:szCs w:val="28"/>
                <w14:textFill>
                  <w14:solidFill>
                    <w14:schemeClr w14:val="tx1"/>
                  </w14:solidFill>
                </w14:textFill>
              </w:rPr>
              <w:t>④未提供的或者不满足本项目需求的不得分。</w:t>
            </w:r>
          </w:p>
        </w:tc>
      </w:tr>
      <w:tr w14:paraId="05624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jc w:val="center"/>
        </w:trPr>
        <w:tc>
          <w:tcPr>
            <w:tcW w:w="1654" w:type="dxa"/>
            <w:tcBorders>
              <w:tl2br w:val="nil"/>
              <w:tr2bl w:val="nil"/>
            </w:tcBorders>
            <w:vAlign w:val="center"/>
          </w:tcPr>
          <w:p w14:paraId="69ED43B1">
            <w:pPr>
              <w:keepLines w:val="0"/>
              <w:pageBreakBefore w:val="0"/>
              <w:widowControl/>
              <w:numPr>
                <w:ilvl w:val="0"/>
                <w:numId w:val="0"/>
              </w:numPr>
              <w:kinsoku/>
              <w:wordWrap/>
              <w:overflowPunct/>
              <w:topLinePunct w:val="0"/>
              <w:autoSpaceDE/>
              <w:autoSpaceDN/>
              <w:bidi w:val="0"/>
              <w:spacing w:line="520" w:lineRule="exact"/>
              <w:ind w:leftChars="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备品备件</w:t>
            </w:r>
          </w:p>
          <w:p w14:paraId="2738E4E3">
            <w:pPr>
              <w:keepLines w:val="0"/>
              <w:pageBreakBefore w:val="0"/>
              <w:widowControl/>
              <w:numPr>
                <w:ilvl w:val="0"/>
                <w:numId w:val="0"/>
              </w:numPr>
              <w:kinsoku/>
              <w:wordWrap/>
              <w:overflowPunct/>
              <w:topLinePunct w:val="0"/>
              <w:autoSpaceDE/>
              <w:autoSpaceDN/>
              <w:bidi w:val="0"/>
              <w:spacing w:line="520" w:lineRule="exact"/>
              <w:ind w:leftChars="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配备方案</w:t>
            </w:r>
          </w:p>
        </w:tc>
        <w:tc>
          <w:tcPr>
            <w:tcW w:w="914" w:type="dxa"/>
            <w:tcBorders>
              <w:tl2br w:val="nil"/>
              <w:tr2bl w:val="nil"/>
            </w:tcBorders>
            <w:vAlign w:val="center"/>
          </w:tcPr>
          <w:p w14:paraId="7C8C28E2">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p>
        </w:tc>
        <w:tc>
          <w:tcPr>
            <w:tcW w:w="5758" w:type="dxa"/>
            <w:tcBorders>
              <w:tl2br w:val="nil"/>
              <w:tr2bl w:val="nil"/>
            </w:tcBorders>
            <w:vAlign w:val="center"/>
          </w:tcPr>
          <w:p w14:paraId="58ABBF18">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根据供应商提供针对</w:t>
            </w:r>
            <w:r>
              <w:rPr>
                <w:rFonts w:hint="eastAsia" w:ascii="宋体" w:hAnsi="宋体" w:eastAsia="宋体" w:cs="宋体"/>
                <w:color w:val="000000" w:themeColor="text1"/>
                <w:kern w:val="0"/>
                <w:sz w:val="28"/>
                <w:szCs w:val="28"/>
                <w:lang w:bidi="ar"/>
                <w14:textFill>
                  <w14:solidFill>
                    <w14:schemeClr w14:val="tx1"/>
                  </w14:solidFill>
                </w14:textFill>
              </w:rPr>
              <w:t>本项目的</w:t>
            </w:r>
            <w:r>
              <w:rPr>
                <w:rFonts w:hint="eastAsia" w:ascii="宋体" w:hAnsi="宋体" w:eastAsia="宋体" w:cs="宋体"/>
                <w:color w:val="000000" w:themeColor="text1"/>
                <w:sz w:val="28"/>
                <w:szCs w:val="28"/>
                <w14:textFill>
                  <w14:solidFill>
                    <w14:schemeClr w14:val="tx1"/>
                  </w14:solidFill>
                </w14:textFill>
              </w:rPr>
              <w:t>备品备件配备方案情况，由</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小组进行评议：①备品备件配置齐全，与仪器匹配度高的得3分；②备品备件配置基本齐全，与仪器匹配度一般的得2分；③备品备件配置简略，匹配度欠缺的得1分；</w:t>
            </w:r>
            <w:r>
              <w:rPr>
                <w:rFonts w:hint="eastAsia" w:ascii="宋体" w:hAnsi="宋体" w:eastAsia="宋体" w:cs="宋体"/>
                <w:color w:val="000000" w:themeColor="text1"/>
                <w:kern w:val="0"/>
                <w:sz w:val="28"/>
                <w:szCs w:val="28"/>
                <w14:textFill>
                  <w14:solidFill>
                    <w14:schemeClr w14:val="tx1"/>
                  </w14:solidFill>
                </w14:textFill>
              </w:rPr>
              <w:t>④未提供的或者不满足本项目需求的不得分。</w:t>
            </w:r>
          </w:p>
        </w:tc>
      </w:tr>
      <w:tr w14:paraId="16ED9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jc w:val="center"/>
        </w:trPr>
        <w:tc>
          <w:tcPr>
            <w:tcW w:w="1654" w:type="dxa"/>
            <w:tcBorders>
              <w:tl2br w:val="nil"/>
              <w:tr2bl w:val="nil"/>
            </w:tcBorders>
            <w:vAlign w:val="center"/>
          </w:tcPr>
          <w:p w14:paraId="78921C0D">
            <w:pPr>
              <w:keepLines w:val="0"/>
              <w:pageBreakBefore w:val="0"/>
              <w:widowControl/>
              <w:numPr>
                <w:ilvl w:val="0"/>
                <w:numId w:val="0"/>
              </w:numPr>
              <w:kinsoku/>
              <w:wordWrap/>
              <w:overflowPunct/>
              <w:topLinePunct w:val="0"/>
              <w:autoSpaceDE/>
              <w:autoSpaceDN/>
              <w:bidi w:val="0"/>
              <w:spacing w:line="520" w:lineRule="exact"/>
              <w:ind w:leftChars="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14:textFill>
                  <w14:solidFill>
                    <w14:schemeClr w14:val="tx1"/>
                  </w14:solidFill>
                </w14:textFill>
              </w:rPr>
              <w:t>应急保障</w:t>
            </w:r>
          </w:p>
          <w:p w14:paraId="5158619E">
            <w:pPr>
              <w:keepLines w:val="0"/>
              <w:pageBreakBefore w:val="0"/>
              <w:widowControl/>
              <w:numPr>
                <w:ilvl w:val="0"/>
                <w:numId w:val="0"/>
              </w:numPr>
              <w:kinsoku/>
              <w:wordWrap/>
              <w:overflowPunct/>
              <w:topLinePunct w:val="0"/>
              <w:autoSpaceDE/>
              <w:autoSpaceDN/>
              <w:bidi w:val="0"/>
              <w:spacing w:line="520" w:lineRule="exact"/>
              <w:ind w:leftChars="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方案</w:t>
            </w:r>
          </w:p>
        </w:tc>
        <w:tc>
          <w:tcPr>
            <w:tcW w:w="914" w:type="dxa"/>
            <w:tcBorders>
              <w:tl2br w:val="nil"/>
              <w:tr2bl w:val="nil"/>
            </w:tcBorders>
            <w:vAlign w:val="center"/>
          </w:tcPr>
          <w:p w14:paraId="4D364389">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p>
        </w:tc>
        <w:tc>
          <w:tcPr>
            <w:tcW w:w="5758" w:type="dxa"/>
            <w:tcBorders>
              <w:tl2br w:val="nil"/>
              <w:tr2bl w:val="nil"/>
            </w:tcBorders>
            <w:vAlign w:val="center"/>
          </w:tcPr>
          <w:p w14:paraId="2BE20E29">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根据供应商提供针对</w:t>
            </w:r>
            <w:r>
              <w:rPr>
                <w:rFonts w:hint="eastAsia" w:ascii="宋体" w:hAnsi="宋体" w:eastAsia="宋体" w:cs="宋体"/>
                <w:color w:val="000000" w:themeColor="text1"/>
                <w:kern w:val="0"/>
                <w:sz w:val="28"/>
                <w:szCs w:val="28"/>
                <w:lang w:bidi="ar"/>
                <w14:textFill>
                  <w14:solidFill>
                    <w14:schemeClr w14:val="tx1"/>
                  </w14:solidFill>
                </w14:textFill>
              </w:rPr>
              <w:t>本项目的</w:t>
            </w:r>
            <w:r>
              <w:rPr>
                <w:rFonts w:hint="eastAsia" w:ascii="宋体" w:hAnsi="宋体" w:eastAsia="宋体" w:cs="宋体"/>
                <w:color w:val="000000" w:themeColor="text1"/>
                <w:sz w:val="28"/>
                <w:szCs w:val="28"/>
                <w14:textFill>
                  <w14:solidFill>
                    <w14:schemeClr w14:val="tx1"/>
                  </w14:solidFill>
                </w14:textFill>
              </w:rPr>
              <w:t>应急保障方案情况，由</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小组进行评议：①应急保障方案内容合理、全面，预案考虑周全，人员职责明确的得3分；②方案内容基本合理和全面，应急预案考虑较为全面，人员职责较明确的得2分；③方案内容一般，预案简略，职责基本明确的得1分；</w:t>
            </w:r>
            <w:r>
              <w:rPr>
                <w:rFonts w:hint="eastAsia" w:ascii="宋体" w:hAnsi="宋体" w:eastAsia="宋体" w:cs="宋体"/>
                <w:color w:val="000000" w:themeColor="text1"/>
                <w:kern w:val="0"/>
                <w:sz w:val="28"/>
                <w:szCs w:val="28"/>
                <w14:textFill>
                  <w14:solidFill>
                    <w14:schemeClr w14:val="tx1"/>
                  </w14:solidFill>
                </w14:textFill>
              </w:rPr>
              <w:t>④未提供的或者不满足本项目需求的不得分。</w:t>
            </w:r>
          </w:p>
        </w:tc>
      </w:tr>
      <w:tr w14:paraId="1EA4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CellSpacing w:w="0" w:type="dxa"/>
          <w:jc w:val="center"/>
        </w:trPr>
        <w:tc>
          <w:tcPr>
            <w:tcW w:w="1654" w:type="dxa"/>
            <w:tcBorders>
              <w:tl2br w:val="nil"/>
              <w:tr2bl w:val="nil"/>
            </w:tcBorders>
            <w:vAlign w:val="center"/>
          </w:tcPr>
          <w:p w14:paraId="2CBA71E7">
            <w:pPr>
              <w:keepLines w:val="0"/>
              <w:pageBreakBefore w:val="0"/>
              <w:widowControl/>
              <w:numPr>
                <w:ilvl w:val="0"/>
                <w:numId w:val="0"/>
              </w:numPr>
              <w:kinsoku/>
              <w:wordWrap/>
              <w:overflowPunct/>
              <w:topLinePunct w:val="0"/>
              <w:autoSpaceDE/>
              <w:autoSpaceDN/>
              <w:bidi w:val="0"/>
              <w:spacing w:line="520" w:lineRule="exact"/>
              <w:ind w:leftChars="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响应时</w:t>
            </w:r>
          </w:p>
          <w:p w14:paraId="502EB6F2">
            <w:pPr>
              <w:keepLines w:val="0"/>
              <w:pageBreakBefore w:val="0"/>
              <w:widowControl/>
              <w:numPr>
                <w:ilvl w:val="0"/>
                <w:numId w:val="0"/>
              </w:numPr>
              <w:kinsoku/>
              <w:wordWrap/>
              <w:overflowPunct/>
              <w:topLinePunct w:val="0"/>
              <w:autoSpaceDE/>
              <w:autoSpaceDN/>
              <w:bidi w:val="0"/>
              <w:spacing w:line="520" w:lineRule="exact"/>
              <w:ind w:leftChars="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效性</w:t>
            </w:r>
          </w:p>
        </w:tc>
        <w:tc>
          <w:tcPr>
            <w:tcW w:w="914" w:type="dxa"/>
            <w:tcBorders>
              <w:tl2br w:val="nil"/>
              <w:tr2bl w:val="nil"/>
            </w:tcBorders>
            <w:vAlign w:val="center"/>
          </w:tcPr>
          <w:p w14:paraId="586FBFD3">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p>
        </w:tc>
        <w:tc>
          <w:tcPr>
            <w:tcW w:w="5758" w:type="dxa"/>
            <w:tcBorders>
              <w:tl2br w:val="nil"/>
              <w:tr2bl w:val="nil"/>
            </w:tcBorders>
            <w:vAlign w:val="center"/>
          </w:tcPr>
          <w:p w14:paraId="076AC3E3">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根据供应商针对本项目的应急响应情况，由</w:t>
            </w:r>
            <w:r>
              <w:rPr>
                <w:rFonts w:hint="eastAsia" w:ascii="宋体" w:hAnsi="宋体" w:cs="宋体"/>
                <w:color w:val="000000" w:themeColor="text1"/>
                <w:sz w:val="28"/>
                <w:szCs w:val="28"/>
                <w:lang w:eastAsia="zh-CN"/>
                <w14:textFill>
                  <w14:solidFill>
                    <w14:schemeClr w14:val="tx1"/>
                  </w14:solidFill>
                </w14:textFill>
              </w:rPr>
              <w:t>评审</w:t>
            </w:r>
            <w:r>
              <w:rPr>
                <w:rFonts w:hint="eastAsia" w:ascii="宋体" w:hAnsi="宋体" w:eastAsia="宋体" w:cs="宋体"/>
                <w:color w:val="000000" w:themeColor="text1"/>
                <w:sz w:val="28"/>
                <w:szCs w:val="28"/>
                <w14:textFill>
                  <w14:solidFill>
                    <w14:schemeClr w14:val="tx1"/>
                  </w14:solidFill>
                </w14:textFill>
              </w:rPr>
              <w:t>小组进行评议：投标人承诺在服务期间接到采购人通知6个小时之内到达服务现场的得3分；6-12(含)个小时之内到达服务现场的得2分；12-24(含)个小时之内到达服务现场的得1分；其余情况或未提供的不得分。(提供响应承诺书)(满分3分)。</w:t>
            </w:r>
          </w:p>
        </w:tc>
      </w:tr>
    </w:tbl>
    <w:p w14:paraId="0CB7ED09">
      <w:pPr>
        <w:pStyle w:val="55"/>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p>
    <w:p w14:paraId="16459B95">
      <w:pPr>
        <w:pStyle w:val="55"/>
        <w:keepLines w:val="0"/>
        <w:pageBreakBefore w:val="0"/>
        <w:kinsoku/>
        <w:wordWrap/>
        <w:overflowPunct/>
        <w:topLinePunct w:val="0"/>
        <w:autoSpaceDE/>
        <w:autoSpaceDN/>
        <w:bidi w:val="0"/>
        <w:spacing w:line="520" w:lineRule="exact"/>
        <w:ind w:firstLine="562" w:firstLineChars="20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商务部分评分 满分为</w:t>
      </w:r>
      <w:r>
        <w:rPr>
          <w:rFonts w:hint="eastAsia" w:ascii="宋体" w:hAnsi="宋体" w:eastAsia="宋体" w:cs="宋体"/>
          <w:b/>
          <w:color w:val="000000" w:themeColor="text1"/>
          <w:sz w:val="28"/>
          <w:szCs w:val="28"/>
          <w:lang w:eastAsia="zh-CN"/>
          <w14:textFill>
            <w14:solidFill>
              <w14:schemeClr w14:val="tx1"/>
            </w14:solidFill>
          </w14:textFill>
        </w:rPr>
        <w:t>19</w:t>
      </w:r>
      <w:r>
        <w:rPr>
          <w:rFonts w:hint="eastAsia" w:ascii="宋体" w:hAnsi="宋体" w:eastAsia="宋体" w:cs="宋体"/>
          <w:b/>
          <w:color w:val="000000" w:themeColor="text1"/>
          <w:sz w:val="28"/>
          <w:szCs w:val="28"/>
          <w14:textFill>
            <w14:solidFill>
              <w14:schemeClr w14:val="tx1"/>
            </w14:solidFill>
          </w14:textFill>
        </w:rPr>
        <w:t>分</w:t>
      </w:r>
    </w:p>
    <w:tbl>
      <w:tblPr>
        <w:tblStyle w:val="24"/>
        <w:tblW w:w="850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89"/>
        <w:gridCol w:w="939"/>
        <w:gridCol w:w="5777"/>
      </w:tblGrid>
      <w:tr w14:paraId="12A2B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4" w:hRule="atLeast"/>
          <w:jc w:val="center"/>
        </w:trPr>
        <w:tc>
          <w:tcPr>
            <w:tcW w:w="1789" w:type="dxa"/>
            <w:tcBorders>
              <w:tl2br w:val="nil"/>
              <w:tr2bl w:val="nil"/>
            </w:tcBorders>
            <w:noWrap/>
            <w:vAlign w:val="center"/>
          </w:tcPr>
          <w:p w14:paraId="46B2BAE6">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评标项目</w:t>
            </w:r>
          </w:p>
        </w:tc>
        <w:tc>
          <w:tcPr>
            <w:tcW w:w="939" w:type="dxa"/>
            <w:tcBorders>
              <w:tl2br w:val="nil"/>
              <w:tr2bl w:val="nil"/>
            </w:tcBorders>
            <w:noWrap/>
            <w:vAlign w:val="center"/>
          </w:tcPr>
          <w:p w14:paraId="1A311074">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评标</w:t>
            </w:r>
          </w:p>
          <w:p w14:paraId="1E040C3C">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分值</w:t>
            </w:r>
          </w:p>
        </w:tc>
        <w:tc>
          <w:tcPr>
            <w:tcW w:w="5777" w:type="dxa"/>
            <w:tcBorders>
              <w:tl2br w:val="nil"/>
              <w:tr2bl w:val="nil"/>
            </w:tcBorders>
            <w:noWrap/>
            <w:vAlign w:val="center"/>
          </w:tcPr>
          <w:p w14:paraId="321C7E08">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评标方法描述</w:t>
            </w:r>
          </w:p>
        </w:tc>
      </w:tr>
      <w:tr w14:paraId="385CE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3" w:hRule="atLeast"/>
          <w:jc w:val="center"/>
        </w:trPr>
        <w:tc>
          <w:tcPr>
            <w:tcW w:w="1789" w:type="dxa"/>
            <w:tcBorders>
              <w:tl2br w:val="nil"/>
              <w:tr2bl w:val="nil"/>
            </w:tcBorders>
            <w:noWrap/>
            <w:vAlign w:val="center"/>
          </w:tcPr>
          <w:p w14:paraId="37897CC9">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1.业绩</w:t>
            </w:r>
          </w:p>
        </w:tc>
        <w:tc>
          <w:tcPr>
            <w:tcW w:w="939" w:type="dxa"/>
            <w:tcBorders>
              <w:tl2br w:val="nil"/>
              <w:tr2bl w:val="nil"/>
            </w:tcBorders>
            <w:noWrap/>
            <w:vAlign w:val="center"/>
          </w:tcPr>
          <w:p w14:paraId="051C7FC5">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10</w:t>
            </w:r>
          </w:p>
        </w:tc>
        <w:tc>
          <w:tcPr>
            <w:tcW w:w="5777" w:type="dxa"/>
            <w:tcBorders>
              <w:tl2br w:val="nil"/>
              <w:tr2bl w:val="nil"/>
            </w:tcBorders>
            <w:noWrap/>
            <w:vAlign w:val="center"/>
          </w:tcPr>
          <w:p w14:paraId="432EE6A7">
            <w:pPr>
              <w:keepLines w:val="0"/>
              <w:pageBreakBefore w:val="0"/>
              <w:widowControl/>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2021年1月1日以来至响应截止时间前（以合同签订日期为准），供应商承接过同类项目运维业绩的，每提供一份业绩的得2分，满分10分。（须提供业绩合同复印件并加盖供应商公章，未提供的不得分。）</w:t>
            </w:r>
          </w:p>
        </w:tc>
      </w:tr>
      <w:tr w14:paraId="169115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7" w:hRule="atLeast"/>
          <w:jc w:val="center"/>
        </w:trPr>
        <w:tc>
          <w:tcPr>
            <w:tcW w:w="1789" w:type="dxa"/>
            <w:vMerge w:val="restart"/>
            <w:tcBorders>
              <w:tl2br w:val="nil"/>
              <w:tr2bl w:val="nil"/>
            </w:tcBorders>
            <w:noWrap/>
            <w:vAlign w:val="center"/>
          </w:tcPr>
          <w:p w14:paraId="1F93ACB3">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2.团队人员</w:t>
            </w:r>
          </w:p>
          <w:p w14:paraId="0D47753C">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配置</w:t>
            </w:r>
          </w:p>
        </w:tc>
        <w:tc>
          <w:tcPr>
            <w:tcW w:w="939" w:type="dxa"/>
            <w:tcBorders>
              <w:tl2br w:val="nil"/>
              <w:tr2bl w:val="nil"/>
            </w:tcBorders>
            <w:noWrap/>
            <w:vAlign w:val="center"/>
          </w:tcPr>
          <w:p w14:paraId="36850521">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p>
        </w:tc>
        <w:tc>
          <w:tcPr>
            <w:tcW w:w="5777" w:type="dxa"/>
            <w:tcBorders>
              <w:tl2br w:val="nil"/>
              <w:tr2bl w:val="nil"/>
            </w:tcBorders>
            <w:noWrap/>
            <w:vAlign w:val="center"/>
          </w:tcPr>
          <w:p w14:paraId="04D1BB4D">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供应商拟安排的项目负责人（仅限一人）需为供应商自有员工，否则本项不得分。</w:t>
            </w:r>
          </w:p>
          <w:p w14:paraId="2BEA56DE">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1.具有环境类相关专业硕士（或以上）学位的，得1.5分；</w:t>
            </w:r>
          </w:p>
          <w:p w14:paraId="2A60DECA">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2.具有环境类或仪器仪表类相关专业副高（或以上）职称的，得1.5分。</w:t>
            </w:r>
          </w:p>
          <w:p w14:paraId="1544AB11">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注：请提供人员简历表、学位证书（或毕业证书）、相关职称证书、以及响应截止时间前六个月（不含响应截止时间的当月）中任一月份供应商为其缴纳社会保险凭据复印件，否则不得分。</w:t>
            </w:r>
          </w:p>
        </w:tc>
      </w:tr>
      <w:tr w14:paraId="7C84E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23" w:hRule="atLeast"/>
          <w:jc w:val="center"/>
        </w:trPr>
        <w:tc>
          <w:tcPr>
            <w:tcW w:w="1789" w:type="dxa"/>
            <w:vMerge w:val="continue"/>
            <w:tcBorders>
              <w:tl2br w:val="nil"/>
              <w:tr2bl w:val="nil"/>
            </w:tcBorders>
            <w:noWrap/>
            <w:vAlign w:val="center"/>
          </w:tcPr>
          <w:p w14:paraId="67C83780">
            <w:pPr>
              <w:keepLines w:val="0"/>
              <w:pageBreakBefore w:val="0"/>
              <w:widowControl/>
              <w:kinsoku/>
              <w:wordWrap/>
              <w:overflowPunct/>
              <w:topLinePunct w:val="0"/>
              <w:autoSpaceDE/>
              <w:autoSpaceDN/>
              <w:bidi w:val="0"/>
              <w:spacing w:line="520" w:lineRule="exact"/>
              <w:jc w:val="both"/>
              <w:textAlignment w:val="auto"/>
              <w:rPr>
                <w:rFonts w:hint="eastAsia" w:ascii="宋体" w:hAnsi="宋体" w:eastAsia="宋体" w:cs="宋体"/>
                <w:color w:val="000000" w:themeColor="text1"/>
                <w:kern w:val="0"/>
                <w:sz w:val="28"/>
                <w:szCs w:val="28"/>
                <w14:textFill>
                  <w14:solidFill>
                    <w14:schemeClr w14:val="tx1"/>
                  </w14:solidFill>
                </w14:textFill>
              </w:rPr>
            </w:pPr>
          </w:p>
        </w:tc>
        <w:tc>
          <w:tcPr>
            <w:tcW w:w="939" w:type="dxa"/>
            <w:tcBorders>
              <w:tl2br w:val="nil"/>
              <w:tr2bl w:val="nil"/>
            </w:tcBorders>
            <w:noWrap/>
            <w:vAlign w:val="center"/>
          </w:tcPr>
          <w:p w14:paraId="1A66CE8F">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p>
        </w:tc>
        <w:tc>
          <w:tcPr>
            <w:tcW w:w="5777" w:type="dxa"/>
            <w:tcBorders>
              <w:tl2br w:val="nil"/>
              <w:tr2bl w:val="nil"/>
            </w:tcBorders>
            <w:noWrap/>
            <w:vAlign w:val="center"/>
          </w:tcPr>
          <w:p w14:paraId="02F8554D">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运维技术服务团队人员中具备中国环境监测总站颁发的环境空气挥发性有机物自动监测培训合格证书的，每提供1人的得1分，满分3分。须提供人员证书复印件及响应截止时间前六个月（不含响应截止时间的当月）中任一月份供应商为其缴纳社会保险凭据复印件，未按要求提供不得分。</w:t>
            </w:r>
          </w:p>
        </w:tc>
      </w:tr>
      <w:tr w14:paraId="03CDA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23" w:hRule="atLeast"/>
          <w:jc w:val="center"/>
        </w:trPr>
        <w:tc>
          <w:tcPr>
            <w:tcW w:w="1789" w:type="dxa"/>
            <w:tcBorders>
              <w:tl2br w:val="nil"/>
              <w:tr2bl w:val="nil"/>
            </w:tcBorders>
            <w:noWrap/>
            <w:vAlign w:val="center"/>
          </w:tcPr>
          <w:p w14:paraId="35A88467">
            <w:pPr>
              <w:keepLines w:val="0"/>
              <w:pageBreakBefore w:val="0"/>
              <w:widowControl/>
              <w:kinsoku/>
              <w:wordWrap/>
              <w:overflowPunct/>
              <w:topLinePunct w:val="0"/>
              <w:autoSpaceDE/>
              <w:autoSpaceDN/>
              <w:bidi w:val="0"/>
              <w:spacing w:line="520" w:lineRule="exact"/>
              <w:jc w:val="both"/>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3.服务认证</w:t>
            </w:r>
          </w:p>
        </w:tc>
        <w:tc>
          <w:tcPr>
            <w:tcW w:w="939" w:type="dxa"/>
            <w:tcBorders>
              <w:tl2br w:val="nil"/>
              <w:tr2bl w:val="nil"/>
            </w:tcBorders>
            <w:noWrap/>
            <w:vAlign w:val="center"/>
          </w:tcPr>
          <w:p w14:paraId="1FE4DF81">
            <w:pPr>
              <w:keepLines w:val="0"/>
              <w:pageBreakBefore w:val="0"/>
              <w:widowControl/>
              <w:kinsoku/>
              <w:wordWrap/>
              <w:overflowPunct/>
              <w:topLinePunct w:val="0"/>
              <w:autoSpaceDE/>
              <w:autoSpaceDN/>
              <w:bidi w:val="0"/>
              <w:spacing w:line="520" w:lineRule="exact"/>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w:t>
            </w:r>
          </w:p>
        </w:tc>
        <w:tc>
          <w:tcPr>
            <w:tcW w:w="5777" w:type="dxa"/>
            <w:tcBorders>
              <w:tl2br w:val="nil"/>
              <w:tr2bl w:val="nil"/>
            </w:tcBorders>
            <w:noWrap/>
            <w:vAlign w:val="center"/>
          </w:tcPr>
          <w:p w14:paraId="12389D18">
            <w:pPr>
              <w:keepLines w:val="0"/>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运营服务认证：供应商须具有环境空气连续自动监测系统运营服务认证证书（服务范围至少包含：挥发性有机物），得3分。注：以上证书需在有效认证期，响应文件需提供证书扫描件，否则不得分。</w:t>
            </w:r>
          </w:p>
        </w:tc>
      </w:tr>
    </w:tbl>
    <w:p w14:paraId="05C1A907">
      <w:pPr>
        <w:pStyle w:val="55"/>
        <w:keepLines w:val="0"/>
        <w:pageBreakBefore w:val="0"/>
        <w:kinsoku/>
        <w:wordWrap/>
        <w:overflowPunct/>
        <w:topLinePunct w:val="0"/>
        <w:autoSpaceDE/>
        <w:autoSpaceDN/>
        <w:bidi w:val="0"/>
        <w:spacing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（4）成交候选供应商排列规则顺序和并列相同时的处理约定如下：</w:t>
      </w:r>
    </w:p>
    <w:p w14:paraId="53F0ECC1">
      <w:pPr>
        <w:pStyle w:val="55"/>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a.成交候选供应商按照综合评审总得分（FA）由高到低顺序排列推荐。</w:t>
      </w:r>
    </w:p>
    <w:p w14:paraId="182FB952">
      <w:pPr>
        <w:pStyle w:val="55"/>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b.综合评审总得分（FA）相同的，按照报价由低到高顺序推荐。</w:t>
      </w:r>
    </w:p>
    <w:p w14:paraId="2CC10B6B">
      <w:pPr>
        <w:pStyle w:val="55"/>
        <w:keepLines w:val="0"/>
        <w:pageBreakBefore w:val="0"/>
        <w:kinsoku/>
        <w:wordWrap/>
        <w:overflowPunct/>
        <w:topLinePunct w:val="0"/>
        <w:autoSpaceDE/>
        <w:autoSpaceDN/>
        <w:bidi w:val="0"/>
        <w:spacing w:line="520" w:lineRule="exact"/>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c.综合评审总得分（FA）且报价仍然相同的，按照技术指标优劣顺序推荐。</w:t>
      </w:r>
    </w:p>
    <w:p w14:paraId="415C4829">
      <w:pPr>
        <w:pStyle w:val="55"/>
        <w:keepLines w:val="0"/>
        <w:pageBreakBefore w:val="0"/>
        <w:kinsoku/>
        <w:wordWrap/>
        <w:overflowPunct/>
        <w:topLinePunct w:val="0"/>
        <w:autoSpaceDE/>
        <w:autoSpaceDN/>
        <w:bidi w:val="0"/>
        <w:spacing w:line="520" w:lineRule="exact"/>
        <w:jc w:val="both"/>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d.经前述顺序处理仍然并列相同的，则通过随机抽取方式确定优先顺序推荐</w:t>
      </w:r>
      <w:r>
        <w:rPr>
          <w:rFonts w:hint="eastAsia" w:ascii="仿宋_GB2312" w:hAnsi="仿宋_GB2312" w:eastAsia="仿宋_GB2312" w:cs="仿宋_GB2312"/>
          <w:color w:val="000000" w:themeColor="text1"/>
          <w:sz w:val="24"/>
          <w:szCs w:val="24"/>
          <w14:textFill>
            <w14:solidFill>
              <w14:schemeClr w14:val="tx1"/>
            </w14:solidFill>
          </w14:textFill>
        </w:rPr>
        <w:t>。</w:t>
      </w: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1F9E">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03556">
                          <w:pPr>
                            <w:pStyle w:val="17"/>
                            <w:rPr>
                              <w:rStyle w:val="26"/>
                            </w:rPr>
                          </w:pPr>
                          <w:r>
                            <w:rPr>
                              <w:rStyle w:val="26"/>
                              <w:rFonts w:hint="eastAsia" w:asciiTheme="minorEastAsia" w:hAnsiTheme="minorEastAsia" w:eastAsiaTheme="minorEastAsia" w:cstheme="minorEastAsia"/>
                              <w:sz w:val="28"/>
                              <w:szCs w:val="28"/>
                            </w:rPr>
                            <w:fldChar w:fldCharType="begin"/>
                          </w:r>
                          <w:r>
                            <w:rPr>
                              <w:rStyle w:val="26"/>
                              <w:rFonts w:hint="eastAsia" w:asciiTheme="minorEastAsia" w:hAnsiTheme="minorEastAsia" w:eastAsiaTheme="minorEastAsia" w:cstheme="minorEastAsia"/>
                              <w:sz w:val="28"/>
                              <w:szCs w:val="28"/>
                            </w:rPr>
                            <w:instrText xml:space="preserve">PAGE  </w:instrText>
                          </w:r>
                          <w:r>
                            <w:rPr>
                              <w:rStyle w:val="26"/>
                              <w:rFonts w:hint="eastAsia" w:asciiTheme="minorEastAsia" w:hAnsiTheme="minorEastAsia" w:eastAsiaTheme="minorEastAsia" w:cstheme="minorEastAsia"/>
                              <w:sz w:val="28"/>
                              <w:szCs w:val="28"/>
                            </w:rPr>
                            <w:fldChar w:fldCharType="separate"/>
                          </w:r>
                          <w:r>
                            <w:rPr>
                              <w:rStyle w:val="26"/>
                              <w:rFonts w:hint="eastAsia" w:asciiTheme="minorEastAsia" w:hAnsiTheme="minorEastAsia" w:eastAsiaTheme="minorEastAsia" w:cstheme="minorEastAsia"/>
                              <w:sz w:val="28"/>
                              <w:szCs w:val="28"/>
                            </w:rPr>
                            <w:t>9</w:t>
                          </w:r>
                          <w:r>
                            <w:rPr>
                              <w:rStyle w:val="26"/>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D03556">
                    <w:pPr>
                      <w:pStyle w:val="17"/>
                      <w:rPr>
                        <w:rStyle w:val="26"/>
                      </w:rPr>
                    </w:pPr>
                    <w:r>
                      <w:rPr>
                        <w:rStyle w:val="26"/>
                        <w:rFonts w:hint="eastAsia" w:asciiTheme="minorEastAsia" w:hAnsiTheme="minorEastAsia" w:eastAsiaTheme="minorEastAsia" w:cstheme="minorEastAsia"/>
                        <w:sz w:val="28"/>
                        <w:szCs w:val="28"/>
                      </w:rPr>
                      <w:fldChar w:fldCharType="begin"/>
                    </w:r>
                    <w:r>
                      <w:rPr>
                        <w:rStyle w:val="26"/>
                        <w:rFonts w:hint="eastAsia" w:asciiTheme="minorEastAsia" w:hAnsiTheme="minorEastAsia" w:eastAsiaTheme="minorEastAsia" w:cstheme="minorEastAsia"/>
                        <w:sz w:val="28"/>
                        <w:szCs w:val="28"/>
                      </w:rPr>
                      <w:instrText xml:space="preserve">PAGE  </w:instrText>
                    </w:r>
                    <w:r>
                      <w:rPr>
                        <w:rStyle w:val="26"/>
                        <w:rFonts w:hint="eastAsia" w:asciiTheme="minorEastAsia" w:hAnsiTheme="minorEastAsia" w:eastAsiaTheme="minorEastAsia" w:cstheme="minorEastAsia"/>
                        <w:sz w:val="28"/>
                        <w:szCs w:val="28"/>
                      </w:rPr>
                      <w:fldChar w:fldCharType="separate"/>
                    </w:r>
                    <w:r>
                      <w:rPr>
                        <w:rStyle w:val="26"/>
                        <w:rFonts w:hint="eastAsia" w:asciiTheme="minorEastAsia" w:hAnsiTheme="minorEastAsia" w:eastAsiaTheme="minorEastAsia" w:cstheme="minorEastAsia"/>
                        <w:sz w:val="28"/>
                        <w:szCs w:val="28"/>
                      </w:rPr>
                      <w:t>9</w:t>
                    </w:r>
                    <w:r>
                      <w:rPr>
                        <w:rStyle w:val="26"/>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E0303"/>
    <w:multiLevelType w:val="multilevel"/>
    <w:tmpl w:val="0CBE0303"/>
    <w:lvl w:ilvl="0" w:tentative="0">
      <w:start w:val="1"/>
      <w:numFmt w:val="decimal"/>
      <w:pStyle w:val="3"/>
      <w:suff w:val="nothing"/>
      <w:lvlText w:val="第%1章 "/>
      <w:lvlJc w:val="left"/>
      <w:pPr>
        <w:ind w:left="0" w:firstLine="0"/>
      </w:pPr>
      <w:rPr>
        <w:rFonts w:hint="default" w:ascii="Times New Roman" w:hAnsi="Times New Roman" w:eastAsia="宋体"/>
        <w:b/>
        <w:i w:val="0"/>
      </w:rPr>
    </w:lvl>
    <w:lvl w:ilvl="1" w:tentative="0">
      <w:start w:val="1"/>
      <w:numFmt w:val="decimal"/>
      <w:pStyle w:val="4"/>
      <w:suff w:val="nothing"/>
      <w:lvlText w:val="%1.%2 "/>
      <w:lvlJc w:val="left"/>
      <w:pPr>
        <w:ind w:left="0" w:firstLine="0"/>
      </w:pPr>
      <w:rPr>
        <w:rFonts w:hint="default" w:ascii="Times New Roman" w:hAnsi="Times New Roman"/>
        <w:b/>
        <w:i w:val="0"/>
      </w:rPr>
    </w:lvl>
    <w:lvl w:ilvl="2" w:tentative="0">
      <w:start w:val="1"/>
      <w:numFmt w:val="decimal"/>
      <w:pStyle w:val="5"/>
      <w:suff w:val="nothing"/>
      <w:lvlText w:val="%1.%2.%3 "/>
      <w:lvlJc w:val="left"/>
      <w:pPr>
        <w:ind w:left="0" w:firstLine="0"/>
      </w:pPr>
      <w:rPr>
        <w:rFonts w:hint="default" w:ascii="Times New Roman" w:hAnsi="Times New Roman"/>
        <w:b/>
        <w:i w:val="0"/>
      </w:rPr>
    </w:lvl>
    <w:lvl w:ilvl="3" w:tentative="0">
      <w:start w:val="1"/>
      <w:numFmt w:val="decimal"/>
      <w:pStyle w:val="6"/>
      <w:suff w:val="nothing"/>
      <w:lvlText w:val="%1.%2.%3.%4 "/>
      <w:lvlJc w:val="left"/>
      <w:pPr>
        <w:ind w:left="0" w:firstLine="0"/>
      </w:pPr>
      <w:rPr>
        <w:rFonts w:hint="default" w:ascii="Times New Roman" w:hAnsi="Times New Roman"/>
        <w:b/>
        <w:i w:val="0"/>
      </w:rPr>
    </w:lvl>
    <w:lvl w:ilvl="4" w:tentative="0">
      <w:start w:val="1"/>
      <w:numFmt w:val="chineseCountingThousand"/>
      <w:pStyle w:val="2"/>
      <w:suff w:val="nothing"/>
      <w:lvlText w:val="[ %5 ] "/>
      <w:lvlJc w:val="left"/>
      <w:pPr>
        <w:ind w:left="0" w:firstLine="0"/>
      </w:pPr>
      <w:rPr>
        <w:rFonts w:hint="default" w:ascii="Times New Roman" w:hAnsi="Times New Roman"/>
        <w:b/>
        <w:i w:val="0"/>
      </w:rPr>
    </w:lvl>
    <w:lvl w:ilvl="5" w:tentative="0">
      <w:start w:val="1"/>
      <w:numFmt w:val="decimal"/>
      <w:pStyle w:val="7"/>
      <w:suff w:val="nothing"/>
      <w:lvlText w:val="[ %6 ] "/>
      <w:lvlJc w:val="left"/>
      <w:pPr>
        <w:ind w:left="0" w:firstLine="0"/>
      </w:pPr>
      <w:rPr>
        <w:rFonts w:hint="default" w:ascii="Times New Roman" w:hAnsi="Times New Roman" w:eastAsia="宋体"/>
        <w:b/>
        <w:i w:val="0"/>
        <w:sz w:val="24"/>
      </w:rPr>
    </w:lvl>
    <w:lvl w:ilvl="6" w:tentative="0">
      <w:start w:val="1"/>
      <w:numFmt w:val="decimal"/>
      <w:pStyle w:val="8"/>
      <w:suff w:val="nothing"/>
      <w:lvlText w:val="[ %6.%7 ] "/>
      <w:lvlJc w:val="left"/>
      <w:pPr>
        <w:ind w:left="0" w:firstLine="0"/>
      </w:pPr>
      <w:rPr>
        <w:rFonts w:hint="default" w:ascii="Times New Roman" w:hAnsi="Times New Roman" w:eastAsia="宋体"/>
        <w:b/>
        <w:i w:val="0"/>
        <w:sz w:val="24"/>
      </w:rPr>
    </w:lvl>
    <w:lvl w:ilvl="7" w:tentative="0">
      <w:start w:val="1"/>
      <w:numFmt w:val="decimal"/>
      <w:pStyle w:val="9"/>
      <w:suff w:val="nothing"/>
      <w:lvlText w:val="[ %6.%7.%8 ] "/>
      <w:lvlJc w:val="left"/>
      <w:pPr>
        <w:ind w:left="0" w:firstLine="0"/>
      </w:pPr>
      <w:rPr>
        <w:rFonts w:hint="default" w:ascii="Times New Roman" w:hAnsi="Times New Roman" w:eastAsia="宋体"/>
        <w:b/>
        <w:i w:val="0"/>
        <w:sz w:val="24"/>
      </w:rPr>
    </w:lvl>
    <w:lvl w:ilvl="8" w:tentative="0">
      <w:start w:val="1"/>
      <w:numFmt w:val="decimal"/>
      <w:pStyle w:val="10"/>
      <w:suff w:val="nothing"/>
      <w:lvlText w:val="[ %6.%7.%8.%9 ] "/>
      <w:lvlJc w:val="left"/>
      <w:pPr>
        <w:ind w:left="0" w:firstLine="0"/>
      </w:pPr>
      <w:rPr>
        <w:rFonts w:hint="default" w:ascii="Times New Roman" w:hAnsi="Times New Roman"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ZTI0ZWZiNmIzYTAxOWVlYTI0NzE2MGIzMGFmMWMifQ=="/>
    <w:docVar w:name="KSO_WPS_MARK_KEY" w:val="b1f9c69b-5848-431b-8b28-0ca2e56a88c3"/>
  </w:docVars>
  <w:rsids>
    <w:rsidRoot w:val="0060757F"/>
    <w:rsid w:val="00006DC2"/>
    <w:rsid w:val="00030953"/>
    <w:rsid w:val="00035A8D"/>
    <w:rsid w:val="00042A64"/>
    <w:rsid w:val="00045BF4"/>
    <w:rsid w:val="00061435"/>
    <w:rsid w:val="000A338D"/>
    <w:rsid w:val="000D4CFF"/>
    <w:rsid w:val="001402B2"/>
    <w:rsid w:val="001E0CB7"/>
    <w:rsid w:val="001F12FA"/>
    <w:rsid w:val="001F508E"/>
    <w:rsid w:val="00225438"/>
    <w:rsid w:val="00241754"/>
    <w:rsid w:val="00253D67"/>
    <w:rsid w:val="002660FA"/>
    <w:rsid w:val="00280053"/>
    <w:rsid w:val="002811C5"/>
    <w:rsid w:val="002A73F0"/>
    <w:rsid w:val="003222ED"/>
    <w:rsid w:val="00334BDC"/>
    <w:rsid w:val="0033522D"/>
    <w:rsid w:val="00337D52"/>
    <w:rsid w:val="003500E0"/>
    <w:rsid w:val="00351DE7"/>
    <w:rsid w:val="00375C48"/>
    <w:rsid w:val="00391A68"/>
    <w:rsid w:val="00393FCA"/>
    <w:rsid w:val="00394A11"/>
    <w:rsid w:val="003B16A9"/>
    <w:rsid w:val="003C5A5A"/>
    <w:rsid w:val="003D3321"/>
    <w:rsid w:val="003F14DE"/>
    <w:rsid w:val="00410847"/>
    <w:rsid w:val="00412C23"/>
    <w:rsid w:val="004407D8"/>
    <w:rsid w:val="00442A60"/>
    <w:rsid w:val="004439EE"/>
    <w:rsid w:val="0046605E"/>
    <w:rsid w:val="0047064E"/>
    <w:rsid w:val="00494228"/>
    <w:rsid w:val="004C2583"/>
    <w:rsid w:val="004C6145"/>
    <w:rsid w:val="004C759E"/>
    <w:rsid w:val="004D2370"/>
    <w:rsid w:val="004D271E"/>
    <w:rsid w:val="004E30B9"/>
    <w:rsid w:val="004E53CB"/>
    <w:rsid w:val="004F27D3"/>
    <w:rsid w:val="00506B9D"/>
    <w:rsid w:val="00520DBB"/>
    <w:rsid w:val="0052105A"/>
    <w:rsid w:val="00535748"/>
    <w:rsid w:val="005403E9"/>
    <w:rsid w:val="00552D6D"/>
    <w:rsid w:val="00554AF8"/>
    <w:rsid w:val="0056388A"/>
    <w:rsid w:val="00570D5E"/>
    <w:rsid w:val="005B4324"/>
    <w:rsid w:val="005B75DD"/>
    <w:rsid w:val="005C3BC3"/>
    <w:rsid w:val="005C49DB"/>
    <w:rsid w:val="005F07DD"/>
    <w:rsid w:val="006052B9"/>
    <w:rsid w:val="0060757F"/>
    <w:rsid w:val="0062507A"/>
    <w:rsid w:val="00651AA6"/>
    <w:rsid w:val="00655F94"/>
    <w:rsid w:val="00667F8D"/>
    <w:rsid w:val="006A045F"/>
    <w:rsid w:val="006B2802"/>
    <w:rsid w:val="006B70B4"/>
    <w:rsid w:val="006C13C1"/>
    <w:rsid w:val="006F3989"/>
    <w:rsid w:val="006F7485"/>
    <w:rsid w:val="00712200"/>
    <w:rsid w:val="0072498E"/>
    <w:rsid w:val="00730566"/>
    <w:rsid w:val="0074697E"/>
    <w:rsid w:val="0075157A"/>
    <w:rsid w:val="007A37DC"/>
    <w:rsid w:val="007C6ABE"/>
    <w:rsid w:val="007D7A0E"/>
    <w:rsid w:val="00803F38"/>
    <w:rsid w:val="008269FA"/>
    <w:rsid w:val="008370B7"/>
    <w:rsid w:val="008544EA"/>
    <w:rsid w:val="008553A5"/>
    <w:rsid w:val="0086093B"/>
    <w:rsid w:val="00866F6C"/>
    <w:rsid w:val="008906BD"/>
    <w:rsid w:val="00896618"/>
    <w:rsid w:val="008B352A"/>
    <w:rsid w:val="008D66F1"/>
    <w:rsid w:val="00910BDA"/>
    <w:rsid w:val="00986C13"/>
    <w:rsid w:val="00991FEA"/>
    <w:rsid w:val="009A1B1E"/>
    <w:rsid w:val="009B0790"/>
    <w:rsid w:val="009B0AE9"/>
    <w:rsid w:val="009B16C1"/>
    <w:rsid w:val="009C1AC8"/>
    <w:rsid w:val="00A45100"/>
    <w:rsid w:val="00A81124"/>
    <w:rsid w:val="00A83DDF"/>
    <w:rsid w:val="00A92196"/>
    <w:rsid w:val="00A96A1E"/>
    <w:rsid w:val="00AB23A7"/>
    <w:rsid w:val="00AD7294"/>
    <w:rsid w:val="00B362F9"/>
    <w:rsid w:val="00B50F90"/>
    <w:rsid w:val="00B52E2C"/>
    <w:rsid w:val="00B812EF"/>
    <w:rsid w:val="00B93CF5"/>
    <w:rsid w:val="00BA73BA"/>
    <w:rsid w:val="00BB0B24"/>
    <w:rsid w:val="00BB2104"/>
    <w:rsid w:val="00BD0313"/>
    <w:rsid w:val="00BF05CB"/>
    <w:rsid w:val="00C80F1B"/>
    <w:rsid w:val="00CB33DF"/>
    <w:rsid w:val="00CC131E"/>
    <w:rsid w:val="00CD0828"/>
    <w:rsid w:val="00CF0B9C"/>
    <w:rsid w:val="00D04687"/>
    <w:rsid w:val="00D44C86"/>
    <w:rsid w:val="00D72162"/>
    <w:rsid w:val="00D80C88"/>
    <w:rsid w:val="00DA3CF8"/>
    <w:rsid w:val="00DD5DF9"/>
    <w:rsid w:val="00DE062F"/>
    <w:rsid w:val="00DF62F6"/>
    <w:rsid w:val="00E04880"/>
    <w:rsid w:val="00E1188A"/>
    <w:rsid w:val="00E238F0"/>
    <w:rsid w:val="00E26573"/>
    <w:rsid w:val="00E37CC4"/>
    <w:rsid w:val="00E51758"/>
    <w:rsid w:val="00E96C88"/>
    <w:rsid w:val="00EB50CB"/>
    <w:rsid w:val="00EE2C92"/>
    <w:rsid w:val="00EF2896"/>
    <w:rsid w:val="00F139AA"/>
    <w:rsid w:val="00F3723D"/>
    <w:rsid w:val="00F43D54"/>
    <w:rsid w:val="00F45006"/>
    <w:rsid w:val="00F55CF1"/>
    <w:rsid w:val="00F57CBF"/>
    <w:rsid w:val="00FA0D2C"/>
    <w:rsid w:val="00FF5BEA"/>
    <w:rsid w:val="0488407F"/>
    <w:rsid w:val="0678411E"/>
    <w:rsid w:val="074D0A0D"/>
    <w:rsid w:val="121D2B28"/>
    <w:rsid w:val="1DFF9CF3"/>
    <w:rsid w:val="203C2F08"/>
    <w:rsid w:val="25A94E60"/>
    <w:rsid w:val="261A66AE"/>
    <w:rsid w:val="2B1A2D83"/>
    <w:rsid w:val="36FF23F0"/>
    <w:rsid w:val="378455B8"/>
    <w:rsid w:val="37FB28DC"/>
    <w:rsid w:val="3DB85F76"/>
    <w:rsid w:val="3EBFA2A1"/>
    <w:rsid w:val="3F77919F"/>
    <w:rsid w:val="3FEAF9DA"/>
    <w:rsid w:val="3FF74DBC"/>
    <w:rsid w:val="445941B1"/>
    <w:rsid w:val="49B23DC9"/>
    <w:rsid w:val="4BC6655C"/>
    <w:rsid w:val="4F1A33DB"/>
    <w:rsid w:val="4FE7C702"/>
    <w:rsid w:val="4FFFCFAE"/>
    <w:rsid w:val="56FF3C22"/>
    <w:rsid w:val="5BD990A3"/>
    <w:rsid w:val="654F0B24"/>
    <w:rsid w:val="664DB1AD"/>
    <w:rsid w:val="67556EBC"/>
    <w:rsid w:val="69BDB3CA"/>
    <w:rsid w:val="6CFEDAD2"/>
    <w:rsid w:val="6DDB1FC7"/>
    <w:rsid w:val="6F3FE8ED"/>
    <w:rsid w:val="6FD02A86"/>
    <w:rsid w:val="75DEEB45"/>
    <w:rsid w:val="77F45816"/>
    <w:rsid w:val="77FEC0C1"/>
    <w:rsid w:val="77FF6582"/>
    <w:rsid w:val="77FFAD2A"/>
    <w:rsid w:val="79E76588"/>
    <w:rsid w:val="7A9C0DCE"/>
    <w:rsid w:val="7AFEC49D"/>
    <w:rsid w:val="7B4D537C"/>
    <w:rsid w:val="7DFF0B00"/>
    <w:rsid w:val="7DFF5787"/>
    <w:rsid w:val="7F6C62D8"/>
    <w:rsid w:val="7F7BB22C"/>
    <w:rsid w:val="7FB42606"/>
    <w:rsid w:val="7FDFA425"/>
    <w:rsid w:val="7FF62553"/>
    <w:rsid w:val="7FFDFA93"/>
    <w:rsid w:val="9B3C129A"/>
    <w:rsid w:val="A87C8F2A"/>
    <w:rsid w:val="AFFD7803"/>
    <w:rsid w:val="B47AAB24"/>
    <w:rsid w:val="B6FE43BA"/>
    <w:rsid w:val="BB73B348"/>
    <w:rsid w:val="C3DF1E51"/>
    <w:rsid w:val="CB7B6660"/>
    <w:rsid w:val="CFFED27C"/>
    <w:rsid w:val="DB6771E4"/>
    <w:rsid w:val="DE7D7308"/>
    <w:rsid w:val="DEFF88E5"/>
    <w:rsid w:val="E33D24D6"/>
    <w:rsid w:val="EBB73172"/>
    <w:rsid w:val="EC5C352F"/>
    <w:rsid w:val="ED576178"/>
    <w:rsid w:val="EFC75C17"/>
    <w:rsid w:val="EFFBD032"/>
    <w:rsid w:val="F3FE3A5B"/>
    <w:rsid w:val="F6EFC952"/>
    <w:rsid w:val="F95D7DE5"/>
    <w:rsid w:val="FB777E01"/>
    <w:rsid w:val="FBBFB50C"/>
    <w:rsid w:val="FDEFF9E2"/>
    <w:rsid w:val="FEEB43CF"/>
    <w:rsid w:val="FF5817A7"/>
    <w:rsid w:val="FF9B60EE"/>
    <w:rsid w:val="FFEF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3">
    <w:name w:val="heading 1"/>
    <w:basedOn w:val="1"/>
    <w:next w:val="1"/>
    <w:link w:val="31"/>
    <w:qFormat/>
    <w:uiPriority w:val="0"/>
    <w:pPr>
      <w:keepNext/>
      <w:numPr>
        <w:ilvl w:val="0"/>
        <w:numId w:val="1"/>
      </w:numPr>
      <w:jc w:val="left"/>
      <w:outlineLvl w:val="0"/>
    </w:pPr>
    <w:rPr>
      <w:rFonts w:cs="Times New Roman"/>
      <w:b/>
      <w:bCs/>
      <w:kern w:val="44"/>
      <w:sz w:val="44"/>
      <w:szCs w:val="44"/>
      <w:lang w:val="zh-CN"/>
    </w:rPr>
  </w:style>
  <w:style w:type="paragraph" w:styleId="4">
    <w:name w:val="heading 2"/>
    <w:basedOn w:val="1"/>
    <w:next w:val="1"/>
    <w:link w:val="32"/>
    <w:qFormat/>
    <w:uiPriority w:val="0"/>
    <w:pPr>
      <w:keepNext/>
      <w:numPr>
        <w:ilvl w:val="1"/>
        <w:numId w:val="1"/>
      </w:numPr>
      <w:jc w:val="left"/>
      <w:outlineLvl w:val="1"/>
    </w:pPr>
    <w:rPr>
      <w:rFonts w:cs="Times New Roman"/>
      <w:b/>
      <w:sz w:val="32"/>
      <w:szCs w:val="32"/>
      <w:lang w:val="zh-CN"/>
    </w:rPr>
  </w:style>
  <w:style w:type="paragraph" w:styleId="5">
    <w:name w:val="heading 3"/>
    <w:basedOn w:val="1"/>
    <w:next w:val="1"/>
    <w:link w:val="33"/>
    <w:qFormat/>
    <w:uiPriority w:val="0"/>
    <w:pPr>
      <w:keepNext/>
      <w:numPr>
        <w:ilvl w:val="2"/>
        <w:numId w:val="1"/>
      </w:numPr>
      <w:jc w:val="left"/>
      <w:outlineLvl w:val="2"/>
    </w:pPr>
    <w:rPr>
      <w:rFonts w:cs="Times New Roman"/>
      <w:b/>
      <w:bCs/>
      <w:sz w:val="30"/>
      <w:szCs w:val="32"/>
      <w:lang w:val="zh-CN"/>
    </w:rPr>
  </w:style>
  <w:style w:type="paragraph" w:styleId="6">
    <w:name w:val="heading 4"/>
    <w:basedOn w:val="1"/>
    <w:next w:val="1"/>
    <w:link w:val="34"/>
    <w:qFormat/>
    <w:uiPriority w:val="0"/>
    <w:pPr>
      <w:keepNext/>
      <w:numPr>
        <w:ilvl w:val="3"/>
        <w:numId w:val="1"/>
      </w:numPr>
      <w:jc w:val="left"/>
      <w:outlineLvl w:val="3"/>
    </w:pPr>
    <w:rPr>
      <w:rFonts w:cs="Times New Roman"/>
      <w:b/>
      <w:bCs/>
      <w:sz w:val="28"/>
      <w:szCs w:val="28"/>
      <w:lang w:val="zh-CN" w:eastAsia="zh-CN"/>
    </w:rPr>
  </w:style>
  <w:style w:type="paragraph" w:styleId="2">
    <w:name w:val="heading 5"/>
    <w:basedOn w:val="1"/>
    <w:next w:val="1"/>
    <w:link w:val="35"/>
    <w:qFormat/>
    <w:uiPriority w:val="0"/>
    <w:pPr>
      <w:keepNext/>
      <w:numPr>
        <w:ilvl w:val="4"/>
        <w:numId w:val="1"/>
      </w:numPr>
      <w:jc w:val="left"/>
      <w:outlineLvl w:val="4"/>
    </w:pPr>
    <w:rPr>
      <w:rFonts w:cs="Times New Roman"/>
      <w:b/>
      <w:bCs/>
      <w:szCs w:val="28"/>
      <w:lang w:val="zh-CN" w:eastAsia="zh-CN"/>
    </w:rPr>
  </w:style>
  <w:style w:type="paragraph" w:styleId="7">
    <w:name w:val="heading 6"/>
    <w:basedOn w:val="1"/>
    <w:next w:val="1"/>
    <w:link w:val="36"/>
    <w:qFormat/>
    <w:uiPriority w:val="0"/>
    <w:pPr>
      <w:keepNext/>
      <w:numPr>
        <w:ilvl w:val="5"/>
        <w:numId w:val="1"/>
      </w:numPr>
      <w:jc w:val="left"/>
      <w:outlineLvl w:val="5"/>
    </w:pPr>
    <w:rPr>
      <w:rFonts w:cs="Times New Roman"/>
      <w:b/>
      <w:bCs/>
      <w:szCs w:val="24"/>
      <w:lang w:val="zh-CN" w:eastAsia="zh-CN"/>
    </w:rPr>
  </w:style>
  <w:style w:type="paragraph" w:styleId="8">
    <w:name w:val="heading 7"/>
    <w:basedOn w:val="1"/>
    <w:next w:val="1"/>
    <w:link w:val="37"/>
    <w:qFormat/>
    <w:uiPriority w:val="0"/>
    <w:pPr>
      <w:keepNext/>
      <w:numPr>
        <w:ilvl w:val="6"/>
        <w:numId w:val="1"/>
      </w:numPr>
      <w:jc w:val="left"/>
      <w:outlineLvl w:val="6"/>
    </w:pPr>
    <w:rPr>
      <w:rFonts w:cs="Times New Roman"/>
      <w:b/>
      <w:bCs/>
      <w:szCs w:val="24"/>
      <w:lang w:val="zh-CN" w:eastAsia="zh-CN"/>
    </w:rPr>
  </w:style>
  <w:style w:type="paragraph" w:styleId="9">
    <w:name w:val="heading 8"/>
    <w:basedOn w:val="1"/>
    <w:next w:val="1"/>
    <w:link w:val="38"/>
    <w:qFormat/>
    <w:uiPriority w:val="0"/>
    <w:pPr>
      <w:keepNext/>
      <w:numPr>
        <w:ilvl w:val="7"/>
        <w:numId w:val="1"/>
      </w:numPr>
      <w:jc w:val="left"/>
      <w:outlineLvl w:val="7"/>
    </w:pPr>
    <w:rPr>
      <w:rFonts w:cs="Times New Roman"/>
      <w:b/>
      <w:szCs w:val="24"/>
      <w:lang w:val="zh-CN" w:eastAsia="zh-CN"/>
    </w:rPr>
  </w:style>
  <w:style w:type="paragraph" w:styleId="10">
    <w:name w:val="heading 9"/>
    <w:basedOn w:val="1"/>
    <w:next w:val="1"/>
    <w:link w:val="39"/>
    <w:qFormat/>
    <w:uiPriority w:val="0"/>
    <w:pPr>
      <w:keepNext/>
      <w:numPr>
        <w:ilvl w:val="8"/>
        <w:numId w:val="1"/>
      </w:numPr>
      <w:outlineLvl w:val="8"/>
    </w:pPr>
    <w:rPr>
      <w:rFonts w:cs="Times New Roman"/>
      <w:b/>
      <w:szCs w:val="21"/>
      <w:lang w:val="zh-CN" w:eastAsia="zh-CN"/>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4"/>
    <w:semiHidden/>
    <w:unhideWhenUsed/>
    <w:qFormat/>
    <w:uiPriority w:val="99"/>
    <w:pPr>
      <w:spacing w:line="240" w:lineRule="auto"/>
      <w:jc w:val="left"/>
    </w:pPr>
    <w:rPr>
      <w:rFonts w:cs="Times New Roman"/>
      <w:szCs w:val="24"/>
    </w:rPr>
  </w:style>
  <w:style w:type="paragraph" w:styleId="12">
    <w:name w:val="Body Text"/>
    <w:basedOn w:val="1"/>
    <w:link w:val="56"/>
    <w:semiHidden/>
    <w:unhideWhenUsed/>
    <w:qFormat/>
    <w:uiPriority w:val="99"/>
    <w:pPr>
      <w:spacing w:after="120"/>
    </w:pPr>
  </w:style>
  <w:style w:type="paragraph" w:styleId="13">
    <w:name w:val="Body Text Indent"/>
    <w:basedOn w:val="1"/>
    <w:link w:val="44"/>
    <w:semiHidden/>
    <w:unhideWhenUsed/>
    <w:qFormat/>
    <w:uiPriority w:val="99"/>
    <w:pPr>
      <w:spacing w:after="120"/>
      <w:ind w:left="420" w:leftChars="200"/>
    </w:pPr>
  </w:style>
  <w:style w:type="paragraph" w:styleId="14">
    <w:name w:val="toc 3"/>
    <w:basedOn w:val="1"/>
    <w:next w:val="1"/>
    <w:unhideWhenUsed/>
    <w:qFormat/>
    <w:uiPriority w:val="39"/>
    <w:pPr>
      <w:spacing w:line="240" w:lineRule="auto"/>
      <w:ind w:left="200" w:leftChars="200"/>
    </w:pPr>
    <w:rPr>
      <w:sz w:val="20"/>
    </w:rPr>
  </w:style>
  <w:style w:type="paragraph" w:styleId="15">
    <w:name w:val="Plain Text"/>
    <w:basedOn w:val="1"/>
    <w:link w:val="57"/>
    <w:qFormat/>
    <w:uiPriority w:val="0"/>
    <w:pPr>
      <w:spacing w:line="240" w:lineRule="auto"/>
    </w:pPr>
    <w:rPr>
      <w:rFonts w:ascii="宋体" w:hAnsi="Courier New" w:cs="Times New Roman"/>
      <w:sz w:val="21"/>
      <w:szCs w:val="20"/>
    </w:rPr>
  </w:style>
  <w:style w:type="paragraph" w:styleId="16">
    <w:name w:val="Balloon Text"/>
    <w:basedOn w:val="1"/>
    <w:link w:val="43"/>
    <w:semiHidden/>
    <w:unhideWhenUsed/>
    <w:qFormat/>
    <w:uiPriority w:val="99"/>
    <w:pPr>
      <w:spacing w:line="240" w:lineRule="auto"/>
    </w:pPr>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302"/>
      </w:tabs>
      <w:spacing w:before="120" w:after="120"/>
      <w:jc w:val="left"/>
    </w:pPr>
    <w:rPr>
      <w:rFonts w:cs="Calibri"/>
      <w:b/>
      <w:bCs/>
      <w:caps/>
      <w:sz w:val="20"/>
      <w:szCs w:val="20"/>
    </w:rPr>
  </w:style>
  <w:style w:type="paragraph" w:styleId="20">
    <w:name w:val="toc 4"/>
    <w:basedOn w:val="1"/>
    <w:next w:val="1"/>
    <w:unhideWhenUsed/>
    <w:qFormat/>
    <w:uiPriority w:val="39"/>
    <w:pPr>
      <w:spacing w:line="240" w:lineRule="auto"/>
      <w:ind w:left="300" w:leftChars="300"/>
    </w:pPr>
    <w:rPr>
      <w:sz w:val="20"/>
    </w:rPr>
  </w:style>
  <w:style w:type="paragraph" w:styleId="21">
    <w:name w:val="toc 2"/>
    <w:basedOn w:val="1"/>
    <w:next w:val="1"/>
    <w:unhideWhenUsed/>
    <w:qFormat/>
    <w:uiPriority w:val="39"/>
    <w:pPr>
      <w:spacing w:line="300" w:lineRule="auto"/>
      <w:ind w:left="100" w:leftChars="100"/>
    </w:pPr>
    <w:rPr>
      <w:sz w:val="20"/>
    </w:rPr>
  </w:style>
  <w:style w:type="paragraph" w:styleId="22">
    <w:name w:val="Normal (Web)"/>
    <w:basedOn w:val="1"/>
    <w:link w:val="41"/>
    <w:qFormat/>
    <w:uiPriority w:val="0"/>
    <w:pPr>
      <w:widowControl/>
      <w:spacing w:before="100" w:beforeAutospacing="1" w:after="100" w:afterAutospacing="1"/>
      <w:jc w:val="left"/>
    </w:pPr>
    <w:rPr>
      <w:rFonts w:ascii="宋体" w:hAnsi="宋体" w:cs="宋体"/>
      <w:kern w:val="0"/>
      <w:szCs w:val="24"/>
    </w:rPr>
  </w:style>
  <w:style w:type="paragraph" w:styleId="23">
    <w:name w:val="Body Text First Indent 2"/>
    <w:basedOn w:val="13"/>
    <w:link w:val="45"/>
    <w:qFormat/>
    <w:uiPriority w:val="0"/>
    <w:pPr>
      <w:spacing w:line="240" w:lineRule="auto"/>
      <w:ind w:firstLine="420" w:firstLineChars="200"/>
    </w:pPr>
    <w:rPr>
      <w:rFonts w:cs="Times New Roman"/>
      <w:sz w:val="21"/>
      <w:szCs w:val="24"/>
      <w:lang w:val="zh-CN" w:eastAsia="zh-CN"/>
    </w:rPr>
  </w:style>
  <w:style w:type="character" w:styleId="26">
    <w:name w:val="page number"/>
    <w:basedOn w:val="25"/>
    <w:qFormat/>
    <w:uiPriority w:val="0"/>
  </w:style>
  <w:style w:type="character" w:styleId="27">
    <w:name w:val="Hyperlink"/>
    <w:qFormat/>
    <w:uiPriority w:val="99"/>
    <w:rPr>
      <w:color w:val="0000FF"/>
      <w:u w:val="single"/>
    </w:rPr>
  </w:style>
  <w:style w:type="character" w:styleId="28">
    <w:name w:val="annotation reference"/>
    <w:basedOn w:val="25"/>
    <w:semiHidden/>
    <w:unhideWhenUsed/>
    <w:qFormat/>
    <w:uiPriority w:val="99"/>
    <w:rPr>
      <w:sz w:val="21"/>
      <w:szCs w:val="21"/>
    </w:rPr>
  </w:style>
  <w:style w:type="character" w:customStyle="1" w:styleId="29">
    <w:name w:val="页眉 Char"/>
    <w:basedOn w:val="25"/>
    <w:link w:val="18"/>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3"/>
    <w:qFormat/>
    <w:uiPriority w:val="0"/>
    <w:rPr>
      <w:rFonts w:ascii="Times New Roman" w:hAnsi="Times New Roman" w:eastAsia="宋体" w:cs="Times New Roman"/>
      <w:b/>
      <w:bCs/>
      <w:kern w:val="44"/>
      <w:sz w:val="44"/>
      <w:szCs w:val="44"/>
      <w:lang w:val="zh-CN"/>
    </w:rPr>
  </w:style>
  <w:style w:type="character" w:customStyle="1" w:styleId="32">
    <w:name w:val="标题 2 Char"/>
    <w:basedOn w:val="25"/>
    <w:link w:val="4"/>
    <w:qFormat/>
    <w:uiPriority w:val="0"/>
    <w:rPr>
      <w:rFonts w:ascii="Times New Roman" w:hAnsi="Times New Roman" w:eastAsia="宋体" w:cs="Times New Roman"/>
      <w:b/>
      <w:sz w:val="32"/>
      <w:szCs w:val="32"/>
      <w:lang w:val="zh-CN"/>
    </w:rPr>
  </w:style>
  <w:style w:type="character" w:customStyle="1" w:styleId="33">
    <w:name w:val="标题 3 Char"/>
    <w:basedOn w:val="25"/>
    <w:link w:val="5"/>
    <w:qFormat/>
    <w:uiPriority w:val="0"/>
    <w:rPr>
      <w:rFonts w:ascii="Times New Roman" w:hAnsi="Times New Roman" w:eastAsia="宋体" w:cs="Times New Roman"/>
      <w:b/>
      <w:bCs/>
      <w:sz w:val="30"/>
      <w:szCs w:val="32"/>
      <w:lang w:val="zh-CN"/>
    </w:rPr>
  </w:style>
  <w:style w:type="character" w:customStyle="1" w:styleId="34">
    <w:name w:val="标题 4 Char"/>
    <w:basedOn w:val="25"/>
    <w:link w:val="6"/>
    <w:qFormat/>
    <w:uiPriority w:val="0"/>
    <w:rPr>
      <w:rFonts w:ascii="Times New Roman" w:hAnsi="Times New Roman" w:eastAsia="宋体" w:cs="Times New Roman"/>
      <w:b/>
      <w:bCs/>
      <w:sz w:val="28"/>
      <w:szCs w:val="28"/>
      <w:lang w:val="zh-CN" w:eastAsia="zh-CN"/>
    </w:rPr>
  </w:style>
  <w:style w:type="character" w:customStyle="1" w:styleId="35">
    <w:name w:val="标题 5 Char"/>
    <w:basedOn w:val="25"/>
    <w:link w:val="2"/>
    <w:qFormat/>
    <w:uiPriority w:val="0"/>
    <w:rPr>
      <w:rFonts w:ascii="Times New Roman" w:hAnsi="Times New Roman" w:eastAsia="宋体" w:cs="Times New Roman"/>
      <w:b/>
      <w:bCs/>
      <w:sz w:val="24"/>
      <w:szCs w:val="28"/>
      <w:lang w:val="zh-CN" w:eastAsia="zh-CN"/>
    </w:rPr>
  </w:style>
  <w:style w:type="character" w:customStyle="1" w:styleId="36">
    <w:name w:val="标题 6 Char"/>
    <w:basedOn w:val="25"/>
    <w:link w:val="7"/>
    <w:qFormat/>
    <w:uiPriority w:val="0"/>
    <w:rPr>
      <w:rFonts w:ascii="Times New Roman" w:hAnsi="Times New Roman" w:eastAsia="宋体" w:cs="Times New Roman"/>
      <w:b/>
      <w:bCs/>
      <w:sz w:val="24"/>
      <w:szCs w:val="24"/>
      <w:lang w:val="zh-CN" w:eastAsia="zh-CN"/>
    </w:rPr>
  </w:style>
  <w:style w:type="character" w:customStyle="1" w:styleId="37">
    <w:name w:val="标题 7 Char"/>
    <w:basedOn w:val="25"/>
    <w:link w:val="8"/>
    <w:qFormat/>
    <w:uiPriority w:val="0"/>
    <w:rPr>
      <w:rFonts w:ascii="Times New Roman" w:hAnsi="Times New Roman" w:eastAsia="宋体" w:cs="Times New Roman"/>
      <w:b/>
      <w:bCs/>
      <w:sz w:val="24"/>
      <w:szCs w:val="24"/>
      <w:lang w:val="zh-CN" w:eastAsia="zh-CN"/>
    </w:rPr>
  </w:style>
  <w:style w:type="character" w:customStyle="1" w:styleId="38">
    <w:name w:val="标题 8 Char"/>
    <w:basedOn w:val="25"/>
    <w:link w:val="9"/>
    <w:qFormat/>
    <w:uiPriority w:val="0"/>
    <w:rPr>
      <w:rFonts w:ascii="Times New Roman" w:hAnsi="Times New Roman" w:eastAsia="宋体" w:cs="Times New Roman"/>
      <w:b/>
      <w:sz w:val="24"/>
      <w:szCs w:val="24"/>
      <w:lang w:val="zh-CN" w:eastAsia="zh-CN"/>
    </w:rPr>
  </w:style>
  <w:style w:type="character" w:customStyle="1" w:styleId="39">
    <w:name w:val="标题 9 Char"/>
    <w:basedOn w:val="25"/>
    <w:link w:val="10"/>
    <w:qFormat/>
    <w:uiPriority w:val="0"/>
    <w:rPr>
      <w:rFonts w:ascii="Times New Roman" w:hAnsi="Times New Roman" w:eastAsia="宋体" w:cs="Times New Roman"/>
      <w:b/>
      <w:sz w:val="24"/>
      <w:szCs w:val="21"/>
      <w:lang w:val="zh-CN" w:eastAsia="zh-CN"/>
    </w:rPr>
  </w:style>
  <w:style w:type="paragraph" w:customStyle="1" w:styleId="40">
    <w:name w:val="目录"/>
    <w:basedOn w:val="1"/>
    <w:qFormat/>
    <w:uiPriority w:val="0"/>
    <w:pPr>
      <w:jc w:val="center"/>
    </w:pPr>
    <w:rPr>
      <w:rFonts w:ascii="宋体" w:hAnsi="宋体" w:cs="宋体"/>
      <w:b/>
      <w:bCs/>
      <w:sz w:val="32"/>
      <w:szCs w:val="20"/>
    </w:rPr>
  </w:style>
  <w:style w:type="character" w:customStyle="1" w:styleId="41">
    <w:name w:val="普通(网站) Char"/>
    <w:link w:val="22"/>
    <w:qFormat/>
    <w:uiPriority w:val="0"/>
    <w:rPr>
      <w:rFonts w:ascii="宋体" w:hAnsi="宋体" w:eastAsia="宋体" w:cs="宋体"/>
      <w:kern w:val="0"/>
      <w:sz w:val="24"/>
      <w:szCs w:val="24"/>
    </w:rPr>
  </w:style>
  <w:style w:type="paragraph" w:customStyle="1" w:styleId="42">
    <w:name w:val="TOC Heading"/>
    <w:basedOn w:val="3"/>
    <w:next w:val="1"/>
    <w:semiHidden/>
    <w:unhideWhenUsed/>
    <w:qFormat/>
    <w:uiPriority w:val="39"/>
    <w:pPr>
      <w:keepLines/>
      <w:widowControl/>
      <w:numPr>
        <w:numId w:val="0"/>
      </w:numPr>
      <w:spacing w:before="480" w:line="276" w:lineRule="auto"/>
      <w:outlineLvl w:val="9"/>
    </w:pPr>
    <w:rPr>
      <w:rFonts w:asciiTheme="majorHAnsi" w:hAnsiTheme="majorHAnsi" w:eastAsiaTheme="majorEastAsia" w:cstheme="majorBidi"/>
      <w:color w:val="376092" w:themeColor="accent1" w:themeShade="BF"/>
      <w:kern w:val="0"/>
      <w:sz w:val="28"/>
      <w:szCs w:val="28"/>
      <w:lang w:val="en-US"/>
    </w:rPr>
  </w:style>
  <w:style w:type="character" w:customStyle="1" w:styleId="43">
    <w:name w:val="批注框文本 Char"/>
    <w:basedOn w:val="25"/>
    <w:link w:val="16"/>
    <w:semiHidden/>
    <w:qFormat/>
    <w:uiPriority w:val="99"/>
    <w:rPr>
      <w:rFonts w:ascii="Times New Roman" w:hAnsi="Times New Roman" w:eastAsia="宋体"/>
      <w:sz w:val="18"/>
      <w:szCs w:val="18"/>
    </w:rPr>
  </w:style>
  <w:style w:type="character" w:customStyle="1" w:styleId="44">
    <w:name w:val="正文文本缩进 Char"/>
    <w:basedOn w:val="25"/>
    <w:link w:val="13"/>
    <w:semiHidden/>
    <w:qFormat/>
    <w:uiPriority w:val="99"/>
    <w:rPr>
      <w:rFonts w:ascii="Times New Roman" w:hAnsi="Times New Roman" w:eastAsia="宋体"/>
      <w:sz w:val="24"/>
    </w:rPr>
  </w:style>
  <w:style w:type="character" w:customStyle="1" w:styleId="45">
    <w:name w:val="正文首行缩进 2 Char"/>
    <w:basedOn w:val="44"/>
    <w:link w:val="23"/>
    <w:qFormat/>
    <w:uiPriority w:val="0"/>
    <w:rPr>
      <w:rFonts w:ascii="Times New Roman" w:hAnsi="Times New Roman" w:eastAsia="宋体" w:cs="Times New Roman"/>
      <w:sz w:val="24"/>
      <w:szCs w:val="24"/>
      <w:lang w:val="zh-CN" w:eastAsia="zh-CN"/>
    </w:rPr>
  </w:style>
  <w:style w:type="paragraph" w:customStyle="1" w:styleId="46">
    <w:name w:val="正文表格"/>
    <w:basedOn w:val="1"/>
    <w:link w:val="47"/>
    <w:qFormat/>
    <w:uiPriority w:val="0"/>
    <w:pPr>
      <w:adjustRightInd w:val="0"/>
      <w:snapToGrid w:val="0"/>
      <w:spacing w:line="240" w:lineRule="auto"/>
      <w:jc w:val="left"/>
    </w:pPr>
    <w:rPr>
      <w:rFonts w:ascii="宋体" w:hAnsi="宋体" w:cs="Times New Roman"/>
      <w:color w:val="000000"/>
      <w:sz w:val="21"/>
      <w:szCs w:val="21"/>
    </w:rPr>
  </w:style>
  <w:style w:type="character" w:customStyle="1" w:styleId="47">
    <w:name w:val="正文表格 Char"/>
    <w:link w:val="46"/>
    <w:qFormat/>
    <w:uiPriority w:val="0"/>
    <w:rPr>
      <w:rFonts w:ascii="宋体" w:hAnsi="宋体" w:eastAsia="宋体" w:cs="Times New Roman"/>
      <w:color w:val="000000"/>
      <w:szCs w:val="21"/>
    </w:rPr>
  </w:style>
  <w:style w:type="character" w:customStyle="1" w:styleId="48">
    <w:name w:val="正文标题 Char"/>
    <w:link w:val="49"/>
    <w:qFormat/>
    <w:uiPriority w:val="0"/>
    <w:rPr>
      <w:rFonts w:ascii="宋体" w:hAnsi="宋体"/>
      <w:b/>
      <w:color w:val="000000"/>
      <w:sz w:val="24"/>
      <w:szCs w:val="24"/>
    </w:rPr>
  </w:style>
  <w:style w:type="paragraph" w:customStyle="1" w:styleId="49">
    <w:name w:val="正文标题"/>
    <w:basedOn w:val="1"/>
    <w:link w:val="48"/>
    <w:qFormat/>
    <w:uiPriority w:val="0"/>
    <w:pPr>
      <w:jc w:val="center"/>
    </w:pPr>
    <w:rPr>
      <w:rFonts w:ascii="宋体" w:hAnsi="宋体" w:eastAsiaTheme="minorEastAsia"/>
      <w:b/>
      <w:color w:val="000000"/>
      <w:szCs w:val="24"/>
    </w:rPr>
  </w:style>
  <w:style w:type="paragraph" w:customStyle="1" w:styleId="50">
    <w:name w:val="XN图标"/>
    <w:basedOn w:val="1"/>
    <w:qFormat/>
    <w:uiPriority w:val="0"/>
    <w:pPr>
      <w:spacing w:line="264" w:lineRule="auto"/>
      <w:jc w:val="center"/>
    </w:pPr>
    <w:rPr>
      <w:rFonts w:ascii="仿宋" w:hAnsi="仿宋" w:eastAsia="仿宋" w:cs="Times New Roman"/>
      <w:color w:val="000000"/>
      <w:sz w:val="21"/>
      <w:szCs w:val="24"/>
    </w:rPr>
  </w:style>
  <w:style w:type="character" w:customStyle="1" w:styleId="51">
    <w:name w:val="标题 5 字符"/>
    <w:qFormat/>
    <w:uiPriority w:val="9"/>
    <w:rPr>
      <w:rFonts w:ascii="Times New Roman" w:hAnsi="Times New Roman" w:eastAsia="宋体" w:cs="Times New Roman"/>
      <w:b/>
      <w:bCs/>
      <w:sz w:val="24"/>
      <w:szCs w:val="28"/>
    </w:rPr>
  </w:style>
  <w:style w:type="character" w:customStyle="1" w:styleId="52">
    <w:name w:val="！正文 Char"/>
    <w:link w:val="53"/>
    <w:qFormat/>
    <w:locked/>
    <w:uiPriority w:val="0"/>
    <w:rPr>
      <w:sz w:val="24"/>
    </w:rPr>
  </w:style>
  <w:style w:type="paragraph" w:customStyle="1" w:styleId="53">
    <w:name w:val="！正文"/>
    <w:basedOn w:val="1"/>
    <w:link w:val="52"/>
    <w:qFormat/>
    <w:uiPriority w:val="0"/>
    <w:pPr>
      <w:widowControl/>
      <w:ind w:firstLine="480"/>
      <w:jc w:val="left"/>
    </w:pPr>
    <w:rPr>
      <w:rFonts w:asciiTheme="minorHAnsi" w:hAnsiTheme="minorHAnsi" w:eastAsiaTheme="minorEastAsia"/>
    </w:rPr>
  </w:style>
  <w:style w:type="character" w:customStyle="1" w:styleId="54">
    <w:name w:val="批注文字 Char"/>
    <w:basedOn w:val="25"/>
    <w:link w:val="11"/>
    <w:semiHidden/>
    <w:qFormat/>
    <w:uiPriority w:val="99"/>
    <w:rPr>
      <w:rFonts w:ascii="Times New Roman" w:hAnsi="Times New Roman" w:eastAsia="宋体" w:cs="Times New Roman"/>
      <w:sz w:val="24"/>
      <w:szCs w:val="24"/>
    </w:rPr>
  </w:style>
  <w:style w:type="paragraph" w:customStyle="1" w:styleId="55">
    <w:name w:val="null3"/>
    <w:qFormat/>
    <w:uiPriority w:val="0"/>
    <w:rPr>
      <w:rFonts w:hint="eastAsia" w:ascii="Calibri" w:hAnsi="Calibri" w:eastAsia="宋体" w:cs="Times New Roman"/>
      <w:kern w:val="0"/>
      <w:sz w:val="20"/>
      <w:szCs w:val="20"/>
      <w:lang w:val="en-US" w:eastAsia="zh-Hans" w:bidi="ar-SA"/>
    </w:rPr>
  </w:style>
  <w:style w:type="character" w:customStyle="1" w:styleId="56">
    <w:name w:val="正文文本 Char"/>
    <w:basedOn w:val="25"/>
    <w:link w:val="12"/>
    <w:semiHidden/>
    <w:qFormat/>
    <w:uiPriority w:val="99"/>
    <w:rPr>
      <w:rFonts w:ascii="Times New Roman" w:hAnsi="Times New Roman" w:eastAsia="宋体"/>
      <w:sz w:val="24"/>
    </w:rPr>
  </w:style>
  <w:style w:type="character" w:customStyle="1" w:styleId="57">
    <w:name w:val="纯文本 Char"/>
    <w:basedOn w:val="25"/>
    <w:link w:val="15"/>
    <w:qFormat/>
    <w:uiPriority w:val="0"/>
    <w:rPr>
      <w:rFonts w:ascii="宋体" w:hAnsi="Courier New" w:eastAsia="宋体" w:cs="Times New Roman"/>
      <w:szCs w:val="20"/>
    </w:rPr>
  </w:style>
  <w:style w:type="paragraph" w:styleId="58">
    <w:name w:val="List Paragraph"/>
    <w:basedOn w:val="1"/>
    <w:qFormat/>
    <w:uiPriority w:val="0"/>
    <w:pPr>
      <w:spacing w:line="240" w:lineRule="auto"/>
      <w:ind w:firstLine="420" w:firstLineChars="200"/>
    </w:pPr>
    <w:rPr>
      <w:rFonts w:cs="Times New Roman"/>
      <w:sz w:val="21"/>
      <w:szCs w:val="24"/>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5D9035-3130-415B-AD52-3306EAE90093}">
  <ds:schemaRefs/>
</ds:datastoreItem>
</file>

<file path=docProps/app.xml><?xml version="1.0" encoding="utf-8"?>
<Properties xmlns="http://schemas.openxmlformats.org/officeDocument/2006/extended-properties" xmlns:vt="http://schemas.openxmlformats.org/officeDocument/2006/docPropsVTypes">
  <Template>Normal</Template>
  <Pages>13</Pages>
  <Words>3055</Words>
  <Characters>3190</Characters>
  <Lines>45</Lines>
  <Paragraphs>12</Paragraphs>
  <TotalTime>44</TotalTime>
  <ScaleCrop>false</ScaleCrop>
  <LinksUpToDate>false</LinksUpToDate>
  <CharactersWithSpaces>3247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2023-01-11T20:35:00Z</dcterms:created>
  <dc:creator>R</dc:creator>
  <cp:lastModifiedBy>彩虹</cp:lastModifiedBy>
  <cp:lastPrinted>2025-04-12T17:06:00Z</cp:lastPrinted>
  <dcterms:modified xsi:type="dcterms:W3CDTF">2025-04-16T05:50:27Z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3BAA78A30A6B4DC9A8976B6BF57F3BFB_13</vt:lpwstr>
  </property>
</Properties>
</file>