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6F5504">
      <w:pPr>
        <w:spacing w:line="520" w:lineRule="exact"/>
        <w:jc w:val="center"/>
        <w:rPr>
          <w:rFonts w:ascii="方正小标宋简体" w:eastAsia="方正小标宋简体"/>
          <w:color w:val="000000"/>
          <w:sz w:val="40"/>
          <w:szCs w:val="40"/>
        </w:rPr>
      </w:pPr>
      <w:bookmarkStart w:id="0" w:name="_GoBack"/>
      <w:bookmarkEnd w:id="0"/>
    </w:p>
    <w:p w14:paraId="79152D81">
      <w:pPr>
        <w:spacing w:line="520" w:lineRule="exact"/>
        <w:jc w:val="center"/>
        <w:rPr>
          <w:rFonts w:ascii="方正小标宋简体" w:eastAsia="方正小标宋简体"/>
          <w:color w:val="000000"/>
          <w:sz w:val="40"/>
          <w:szCs w:val="40"/>
        </w:rPr>
      </w:pPr>
      <w:r>
        <w:rPr>
          <w:rFonts w:hint="eastAsia" w:ascii="方正小标宋简体" w:eastAsia="方正小标宋简体"/>
          <w:color w:val="000000"/>
          <w:sz w:val="40"/>
          <w:szCs w:val="40"/>
        </w:rPr>
        <w:t>厦门市环境空气</w:t>
      </w:r>
    </w:p>
    <w:p w14:paraId="1F3CFC55">
      <w:pPr>
        <w:spacing w:line="520" w:lineRule="exact"/>
        <w:jc w:val="center"/>
        <w:rPr>
          <w:rFonts w:ascii="方正小标宋简体" w:eastAsia="方正小标宋简体"/>
          <w:color w:val="000000"/>
          <w:sz w:val="40"/>
          <w:szCs w:val="40"/>
        </w:rPr>
      </w:pPr>
      <w:r>
        <w:rPr>
          <w:rFonts w:hint="eastAsia" w:ascii="方正小标宋简体" w:eastAsia="方正小标宋简体"/>
          <w:color w:val="000000"/>
          <w:sz w:val="40"/>
          <w:szCs w:val="40"/>
        </w:rPr>
        <w:t>非甲烷总烃自动监测站运维服务采购内容说明</w:t>
      </w:r>
    </w:p>
    <w:p w14:paraId="2A219E5C">
      <w:pPr>
        <w:spacing w:line="520" w:lineRule="exact"/>
        <w:jc w:val="center"/>
        <w:rPr>
          <w:rFonts w:ascii="方正小标宋简体" w:eastAsia="方正小标宋简体"/>
          <w:color w:val="000000"/>
          <w:sz w:val="40"/>
          <w:szCs w:val="40"/>
        </w:rPr>
      </w:pPr>
    </w:p>
    <w:p w14:paraId="56362D5A">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一、运维内容</w:t>
      </w:r>
    </w:p>
    <w:p w14:paraId="3DCBFBE2">
      <w:pPr>
        <w:spacing w:line="360" w:lineRule="auto"/>
        <w:ind w:firstLine="640"/>
        <w:rPr>
          <w:rFonts w:hint="eastAsia" w:ascii="宋体" w:hAnsi="宋体"/>
          <w:sz w:val="28"/>
          <w:szCs w:val="28"/>
        </w:rPr>
      </w:pPr>
      <w:r>
        <w:rPr>
          <w:rFonts w:hint="eastAsia" w:ascii="宋体" w:hAnsi="宋体"/>
          <w:sz w:val="28"/>
          <w:szCs w:val="28"/>
        </w:rPr>
        <w:t>本项目为对位于厦门市湖里区高林社区的环境空气非甲烷总烃自动监测站点提供运行维护服务，服务内容包括且不限于对非甲烷总烃分析仪的采样系统、分析系统、控制系统、数据采集和传输系统、校准系统、联网软件系统等设施提供日常运行、维护、维修、质量保证和校准等技术服务工作。</w:t>
      </w:r>
    </w:p>
    <w:p w14:paraId="7AE7F462">
      <w:pPr>
        <w:spacing w:line="360" w:lineRule="auto"/>
        <w:ind w:firstLine="640"/>
        <w:rPr>
          <w:rFonts w:hint="eastAsia" w:ascii="宋体" w:hAnsi="宋体"/>
          <w:sz w:val="28"/>
          <w:szCs w:val="28"/>
        </w:rPr>
      </w:pPr>
      <w:r>
        <w:rPr>
          <w:rFonts w:hint="eastAsia" w:ascii="宋体" w:hAnsi="宋体"/>
          <w:sz w:val="28"/>
          <w:szCs w:val="28"/>
        </w:rPr>
        <w:t>运维工作应严格按照中国环境监测总站印发的《环境空气非甲烷总烃连续自动监测技术规范（试行）》的相关要求开展。运维服务期间，如中国环境监测总站有发布新的相关技术规范，则按新的技术规范要求开展。</w:t>
      </w:r>
    </w:p>
    <w:p w14:paraId="4881D885">
      <w:pPr>
        <w:spacing w:line="360" w:lineRule="auto"/>
        <w:ind w:firstLine="560" w:firstLineChars="200"/>
        <w:rPr>
          <w:rFonts w:hint="eastAsia" w:ascii="宋体" w:hAnsi="宋体"/>
          <w:sz w:val="28"/>
          <w:szCs w:val="28"/>
        </w:rPr>
      </w:pPr>
      <w:r>
        <w:rPr>
          <w:rFonts w:hint="eastAsia" w:ascii="宋体" w:hAnsi="宋体"/>
          <w:sz w:val="28"/>
          <w:szCs w:val="28"/>
        </w:rPr>
        <w:t>二、运维时间</w:t>
      </w:r>
    </w:p>
    <w:p w14:paraId="547CFCA5">
      <w:pPr>
        <w:spacing w:line="360" w:lineRule="auto"/>
        <w:ind w:firstLine="560" w:firstLineChars="200"/>
        <w:rPr>
          <w:rFonts w:hint="eastAsia" w:ascii="宋体" w:hAnsi="宋体"/>
          <w:sz w:val="28"/>
          <w:szCs w:val="28"/>
        </w:rPr>
      </w:pPr>
      <w:r>
        <w:rPr>
          <w:rFonts w:hint="eastAsia" w:ascii="宋体" w:hAnsi="宋体"/>
          <w:sz w:val="28"/>
          <w:szCs w:val="28"/>
        </w:rPr>
        <w:t>2025年8月1日-2026年7月31日，中标公司应于2025年7月30日起与现运维公司进行运维交接工作，并在2日内完成交接。</w:t>
      </w:r>
    </w:p>
    <w:p w14:paraId="7BBBBD6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三、运维要求</w:t>
      </w:r>
    </w:p>
    <w:p w14:paraId="7850BC31">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（一） 系统日常运维要求</w:t>
      </w:r>
    </w:p>
    <w:p w14:paraId="232D3314">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 每日维护内容</w:t>
      </w:r>
    </w:p>
    <w:p w14:paraId="3063402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（1）系统状态检查</w:t>
      </w:r>
    </w:p>
    <w:p w14:paraId="4B68DC76">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检查系统是否有报警等异常提示，以及分析模块的 FID 温度、柱箱温度、柱前压、保留时间等重要参数是否正常。系统状态检查可通过远程或者现场检查的方式完成。</w:t>
      </w:r>
    </w:p>
    <w:p w14:paraId="5999878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（2）基线检查</w:t>
      </w:r>
    </w:p>
    <w:p w14:paraId="19B6262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按照厂家说明书或作业指导书要求检查图谱基线是否存在异常漂移和波动。如存在异常漂移和波动，应及时标识或剔除异常数据或对受影响的物质进行重积分。</w:t>
      </w:r>
    </w:p>
    <w:p w14:paraId="21D3FC3F">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（3）保留时间漂移</w:t>
      </w:r>
    </w:p>
    <w:p w14:paraId="7F06FAC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检查仪器保留时间漂移情况，以确保非甲烷总烃测量的准确性。重点关注漂移是否影响监测物质的自动积分,如有影响,应进行调整。</w:t>
      </w:r>
    </w:p>
    <w:p w14:paraId="579FFF19">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（4）数据审核</w:t>
      </w:r>
    </w:p>
    <w:p w14:paraId="4911B904">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数据审核应对异常数据进行无效标识或剔除，在48小时内完成。</w:t>
      </w:r>
    </w:p>
    <w:p w14:paraId="7CFD230F">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 每周巡检内容</w:t>
      </w:r>
    </w:p>
    <w:p w14:paraId="0C44690B">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（1）监测站房及辅助设备周巡检</w:t>
      </w:r>
    </w:p>
    <w:p w14:paraId="296BBC6C">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监测站房及周边环境应满足 HJ193 相关要求。监测站房及辅助设备日常巡检应满足 HJ818 相关要求。运维人员应对子站站房及辅助设备定期巡检，每周至少巡检1次，巡检工作主要包括:</w:t>
      </w:r>
    </w:p>
    <w:p w14:paraId="52E4C93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1)检查站房内温度是否保持在(25士5)℃，相对湿度保持在85%以下。</w:t>
      </w:r>
    </w:p>
    <w:p w14:paraId="5A2A3069">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2)在冬、夏季节应注意站房内外温差，应及时调整站房温度;检查采样管路保温措施，防止因温差造成采样装置出现冷凝水的现象。</w:t>
      </w:r>
    </w:p>
    <w:p w14:paraId="2C595B51">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3)检查采样总管进气、排气是否正常。</w:t>
      </w:r>
    </w:p>
    <w:p w14:paraId="278CC96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4)检查采样支管是否存在冷凝水，如果存在冷凝水应及时进行清洁干燥处理。</w:t>
      </w:r>
    </w:p>
    <w:p w14:paraId="369C0F0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5)检查站房排风排气装置工作是否正常。</w:t>
      </w:r>
    </w:p>
    <w:p w14:paraId="4DA5BB91">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6)检查标气、辅助气钢瓶阀门是否漏气;检查标气和辅助气有效期、压力，气瓶压力低于 2MPa(或系统相关要求值)前应更换，</w:t>
      </w:r>
    </w:p>
    <w:p w14:paraId="3E2F6323">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7)检查气体发生器的工作状态，及时补充纯水、更换干燥硅胶、活性碳或无水氯化钙。</w:t>
      </w:r>
    </w:p>
    <w:p w14:paraId="1B2B638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8)检查数据采集、传输与网络通讯是否正常。</w:t>
      </w:r>
    </w:p>
    <w:p w14:paraId="6F592972">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9)检查各种运维工具、系统耗材、备件是否完好齐全。</w:t>
      </w:r>
    </w:p>
    <w:p w14:paraId="2BFE7B6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10)检查空调、电源等辅助设备的运行状况是否正常，检查站房空调机的过滤网是否清洁，必要时进行清洗。</w:t>
      </w:r>
    </w:p>
    <w:p w14:paraId="4D90B14B">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11)检查各种消防、安全设施是否完好齐全。</w:t>
      </w:r>
    </w:p>
    <w:p w14:paraId="234A004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12)对站房周围的杂草和积水应及时清除;对采样有影响的树枝应及时进行剪除。</w:t>
      </w:r>
    </w:p>
    <w:p w14:paraId="60ED540A">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13)检查避雷设施是否正常，子站房屋是否有漏雨现象。</w:t>
      </w:r>
    </w:p>
    <w:p w14:paraId="598B3B51">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14)记录巡检情况。</w:t>
      </w:r>
    </w:p>
    <w:p w14:paraId="0C0F8CBC">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（2）自动监测系统周巡检</w:t>
      </w:r>
    </w:p>
    <w:p w14:paraId="6ED2398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1)气相色谱、检测器参数设置检查。检查氢火焰离子化检测器氢气与空气输入压力与流量、载气流量与压力等是否与说明书、作业指导书一致。</w:t>
      </w:r>
    </w:p>
    <w:p w14:paraId="1BC46652">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气相色谱、检测器运行情况检查。检查载气净化装置(如除烃等)，如有异常应及时更换。根据系统验收或非甲烷总烃测试时使用的参数，检查色谱炉温控制程序、载气流量或压力控制程序、火焰离子化检测器等是否正常，如有异常应及时停机检查，排查问题。</w:t>
      </w:r>
    </w:p>
    <w:p w14:paraId="55CD180A">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3. 其他维护内容</w:t>
      </w:r>
    </w:p>
    <w:p w14:paraId="596991D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按照系统说明书或作业指导书要求定期更换阀膜、色谱柱等重要耗材。做好周期性维护，及时清洁气动阀阀芯、散热风扇、火焰离子化检测器等重要部件。</w:t>
      </w:r>
    </w:p>
    <w:p w14:paraId="70F99113">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如运行维护涉及对气路上的关键硬件部分进行拆卸、打开，维护操作完成后,应按照系统说明书、作业指导书等要求对系统进行验漏。</w:t>
      </w:r>
    </w:p>
    <w:p w14:paraId="580A85E5">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4. 日常运行质量体系要求</w:t>
      </w:r>
    </w:p>
    <w:p w14:paraId="1365735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（1）人员要求</w:t>
      </w:r>
    </w:p>
    <w:p w14:paraId="53239CFB">
      <w:pPr>
        <w:ind w:firstLine="560" w:firstLineChars="200"/>
        <w:jc w:val="left"/>
        <w:rPr>
          <w:rFonts w:hint="eastAsia" w:ascii="宋体" w:hAnsi="宋体"/>
          <w:sz w:val="28"/>
          <w:szCs w:val="28"/>
        </w:rPr>
      </w:pPr>
      <w:r>
        <w:rPr>
          <w:rFonts w:hint="eastAsia" w:ascii="宋体" w:hAnsi="宋体"/>
          <w:sz w:val="28"/>
          <w:szCs w:val="28"/>
        </w:rPr>
        <w:t>运维单位根据其负责的监测系统和运维任务对技术人员进行必要的理论和实操培训，使其能够熟练的掌握系统的运维和质控操作，掌握耗材备件更换及必要的维护工作，并熟练使用数据平台，能够及时判断系统运行的异常并进行重积分、异常数据标识等。运维单位应对人员能力进行考核确认，并建立相应的人员档案，保存人员的培训和考核记录。</w:t>
      </w:r>
    </w:p>
    <w:p w14:paraId="3218A00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（2）关键技术文件要求</w:t>
      </w:r>
    </w:p>
    <w:p w14:paraId="55BC9C5A">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1)质量管理工作计划</w:t>
      </w:r>
    </w:p>
    <w:p w14:paraId="19C87195">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运维单位应制定相应的质量管理工作计划，明确各项运维工作、数据审核和标识工作、质控工作、量值传递工作的负责人员、时间频次、合格标准、耗品耗材、标准气体、计量标准器具等各项要求。</w:t>
      </w:r>
    </w:p>
    <w:p w14:paraId="7D80897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2)作业指导书</w:t>
      </w:r>
    </w:p>
    <w:p w14:paraId="3C28D74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运维单位应根据负责运维的系统设备、标准气体、计量标准器具以及制定的质量管理工作计划制定相应的作业指导书，明确各项运维工作、质控工作、数据审核工作、数据标识的具体要求，指导运维技术人员开展相关工作。</w:t>
      </w:r>
    </w:p>
    <w:p w14:paraId="1CBDC6C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3)记录表格</w:t>
      </w:r>
    </w:p>
    <w:p w14:paraId="3208E79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运维单位应根据负责运维的系统设备、标准气体、计量标准器具以及制定的作业指导书制定相应的记录表格，记录表格应包括各项运维工作、质控工作、维修工作、耗材配件更换记录等，并将一年内记录放置于点位现场备查。</w:t>
      </w:r>
    </w:p>
    <w:p w14:paraId="37F12F6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（3）内部监督检查要求</w:t>
      </w:r>
    </w:p>
    <w:p w14:paraId="76501D54">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运维单位应组织专门的监督核查人员或采用交叉检查的方式定期对站点开展独立、系统的内部核查，核查应涵盖运维与质控的关键环节。运维单位应如实、详细记录其内部核查结果，并在站点保存备份有内部核查记录。</w:t>
      </w:r>
    </w:p>
    <w:p w14:paraId="4A8B8D39">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（二）系统质量控制要求</w:t>
      </w:r>
    </w:p>
    <w:p w14:paraId="17C4FA89">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1.每日质控</w:t>
      </w:r>
    </w:p>
    <w:p w14:paraId="6085DCD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检查仪器保留时间漂移情况，以确保非甲烷总烃测量的准确性。</w:t>
      </w:r>
    </w:p>
    <w:p w14:paraId="45833B34">
      <w:pPr>
        <w:pStyle w:val="26"/>
        <w:numPr>
          <w:ilvl w:val="0"/>
          <w:numId w:val="1"/>
        </w:numPr>
        <w:jc w:val="both"/>
        <w:rPr>
          <w:rFonts w:hint="eastAsia" w:hAnsi="宋体" w:cs="Times New Roman"/>
          <w:color w:val="auto"/>
          <w:sz w:val="28"/>
          <w:szCs w:val="28"/>
        </w:rPr>
      </w:pPr>
      <w:r>
        <w:rPr>
          <w:rFonts w:hint="eastAsia" w:hAnsi="宋体" w:cs="Times New Roman"/>
          <w:color w:val="auto"/>
          <w:sz w:val="28"/>
          <w:szCs w:val="28"/>
        </w:rPr>
        <w:t>每周质控</w:t>
      </w:r>
    </w:p>
    <w:p w14:paraId="2554134A">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完成点检并做好记录，包括：氢气发生器、载气和零气供应情况以及主要性能指标检查，并做好定量保留时间范围校准记录；开展零点检查，若非甲烷总烃测定浓度大于方法检出限，应重新校准；开展标点检查，或定量误差超过±10%，应重新校准。</w:t>
      </w:r>
    </w:p>
    <w:p w14:paraId="36521B42">
      <w:pPr>
        <w:pStyle w:val="26"/>
        <w:numPr>
          <w:ilvl w:val="0"/>
          <w:numId w:val="1"/>
        </w:numPr>
        <w:jc w:val="both"/>
        <w:rPr>
          <w:rFonts w:hint="eastAsia" w:hAnsi="宋体" w:cs="Times New Roman"/>
          <w:color w:val="auto"/>
          <w:sz w:val="28"/>
          <w:szCs w:val="28"/>
        </w:rPr>
      </w:pPr>
      <w:r>
        <w:rPr>
          <w:rFonts w:hint="eastAsia" w:hAnsi="宋体" w:cs="Times New Roman"/>
          <w:color w:val="auto"/>
          <w:sz w:val="28"/>
          <w:szCs w:val="28"/>
        </w:rPr>
        <w:t>每月质控</w:t>
      </w:r>
    </w:p>
    <w:p w14:paraId="051A9382">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至少进行一次采样流量检查，当误差超过±10%，应对仪器进行校准。</w:t>
      </w:r>
    </w:p>
    <w:p w14:paraId="39EAF7E3">
      <w:pPr>
        <w:pStyle w:val="26"/>
        <w:numPr>
          <w:ilvl w:val="0"/>
          <w:numId w:val="1"/>
        </w:numPr>
        <w:jc w:val="both"/>
        <w:rPr>
          <w:rFonts w:hint="eastAsia" w:hAnsi="宋体" w:cs="Times New Roman"/>
          <w:color w:val="auto"/>
          <w:sz w:val="28"/>
          <w:szCs w:val="28"/>
        </w:rPr>
      </w:pPr>
      <w:r>
        <w:rPr>
          <w:rFonts w:hint="eastAsia" w:hAnsi="宋体" w:cs="Times New Roman"/>
          <w:color w:val="auto"/>
          <w:sz w:val="28"/>
          <w:szCs w:val="28"/>
        </w:rPr>
        <w:t>每季质控</w:t>
      </w:r>
    </w:p>
    <w:p w14:paraId="34D53FE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使用标准气体更新多点校准曲线。校准曲线上各浓度点残差的理论浓度的比值应在±10%以内。</w:t>
      </w:r>
    </w:p>
    <w:p w14:paraId="6C6FC824">
      <w:pPr>
        <w:pStyle w:val="26"/>
        <w:numPr>
          <w:ilvl w:val="0"/>
          <w:numId w:val="1"/>
        </w:numPr>
        <w:jc w:val="both"/>
        <w:rPr>
          <w:rFonts w:hint="eastAsia" w:hAnsi="宋体" w:cs="Times New Roman"/>
          <w:color w:val="auto"/>
          <w:sz w:val="28"/>
          <w:szCs w:val="28"/>
        </w:rPr>
      </w:pPr>
      <w:r>
        <w:rPr>
          <w:rFonts w:hint="eastAsia" w:hAnsi="宋体" w:cs="Times New Roman"/>
          <w:color w:val="auto"/>
          <w:sz w:val="28"/>
          <w:szCs w:val="28"/>
        </w:rPr>
        <w:t>每年质控</w:t>
      </w:r>
    </w:p>
    <w:p w14:paraId="030DDDF4">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至少进行一次监测仪器的系统保养，对采样管路、仪器内部进校管路和检测器进行清洗等；更换必要的耗材与配件。保养及维修后，应进行多点校准以及重复性和检出限的测定，以确保仪器在维护前后数据的准确性和可比性。</w:t>
      </w:r>
    </w:p>
    <w:p w14:paraId="1F566C65">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（三）系统质量保证要求</w:t>
      </w:r>
    </w:p>
    <w:p w14:paraId="49466CAB">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用于传递的皂膜流量计、湿式流量计、活塞式流量计、标准气压表、温度计，每年至少送国家有关部门进行计量检定和量值传递一次。</w:t>
      </w:r>
    </w:p>
    <w:p w14:paraId="49BD2DD0">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每半年至少对动态校准仪进行一次质量流量准确度检查。</w:t>
      </w:r>
    </w:p>
    <w:p w14:paraId="12FF8FD9">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标准气体应可追溯至国家一级标准或者国际同等级以上标准。</w:t>
      </w:r>
    </w:p>
    <w:p w14:paraId="7614FA9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（四）数据审核和处理</w:t>
      </w:r>
    </w:p>
    <w:p w14:paraId="62D47C9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1. 无效数据剔除</w:t>
      </w:r>
    </w:p>
    <w:p w14:paraId="6BE92B71">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日常运行及数据上报过程中，应依据系统运行状况、色谱图、质控结果等识别系统运行过程中产生的无效或异常数据，并在数据库中对无效或异常情况进行分类标识,剔除异常数据。分类标示可参照《国家环境空气监测网环境空气挥发性有机物连续自动监测质量控制技术规定(试行)》附件2相关要求执行。</w:t>
      </w:r>
    </w:p>
    <w:p w14:paraId="49530CAE">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2. 数据重积分及补录</w:t>
      </w:r>
    </w:p>
    <w:p w14:paraId="48BE85EC">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系统受气象因素变化和系统本身因素导致的峰漂，或其他特殊情况导致自动积分有误时，及时进行重积分后补录数据。</w:t>
      </w:r>
    </w:p>
    <w:p w14:paraId="17D26847">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3. 数据补遗</w:t>
      </w:r>
    </w:p>
    <w:p w14:paraId="5F131528">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监测数据因通讯等连接问题导致上位端平台数据缺失时，应对缺失时段数据进行补遗。</w:t>
      </w:r>
    </w:p>
    <w:p w14:paraId="7FFBA55C">
      <w:pPr>
        <w:pStyle w:val="26"/>
        <w:ind w:firstLine="560" w:firstLineChars="200"/>
        <w:jc w:val="both"/>
        <w:rPr>
          <w:rFonts w:hint="eastAsia" w:hAnsi="宋体" w:cs="Times New Roman"/>
          <w:color w:val="auto"/>
          <w:sz w:val="28"/>
          <w:szCs w:val="28"/>
        </w:rPr>
      </w:pPr>
      <w:r>
        <w:rPr>
          <w:rFonts w:hint="eastAsia" w:hAnsi="宋体" w:cs="Times New Roman"/>
          <w:color w:val="auto"/>
          <w:sz w:val="28"/>
          <w:szCs w:val="28"/>
        </w:rPr>
        <w:t>4. 有效数据率</w:t>
      </w:r>
    </w:p>
    <w:p w14:paraId="37CF4942">
      <w:pPr>
        <w:pStyle w:val="26"/>
        <w:ind w:firstLine="560" w:firstLineChars="200"/>
        <w:jc w:val="both"/>
        <w:rPr>
          <w:rFonts w:hAnsi="宋体" w:cs="Times New Roman"/>
          <w:color w:val="auto"/>
          <w:sz w:val="28"/>
          <w:szCs w:val="28"/>
        </w:rPr>
      </w:pPr>
      <w:r>
        <w:rPr>
          <w:rFonts w:hint="eastAsia" w:hAnsi="宋体" w:cs="Times New Roman"/>
          <w:color w:val="auto"/>
          <w:sz w:val="28"/>
          <w:szCs w:val="28"/>
        </w:rPr>
        <w:t>运维单位应最大限度保证系统连续运行,有效数据率不低于90%，数据缺失时，应尽快解决问题并恢复正常运行;重大活动保障和重污染时段，设备不得无故停机。</w:t>
      </w:r>
    </w:p>
    <w:p w14:paraId="0E54F5E9">
      <w:pPr>
        <w:pStyle w:val="26"/>
        <w:numPr>
          <w:ilvl w:val="0"/>
          <w:numId w:val="2"/>
        </w:numPr>
        <w:ind w:firstLine="560" w:firstLineChars="200"/>
        <w:jc w:val="both"/>
        <w:rPr>
          <w:rFonts w:hint="eastAsia" w:hAnsi="宋体" w:cs="Times New Roman"/>
          <w:color w:val="auto"/>
          <w:sz w:val="28"/>
          <w:szCs w:val="28"/>
        </w:rPr>
      </w:pPr>
      <w:r>
        <w:rPr>
          <w:rFonts w:hint="eastAsia" w:hAnsi="宋体" w:cs="Times New Roman"/>
          <w:color w:val="auto"/>
          <w:sz w:val="28"/>
          <w:szCs w:val="28"/>
        </w:rPr>
        <w:t>运维耗材</w:t>
      </w:r>
    </w:p>
    <w:p w14:paraId="52464031">
      <w:pPr>
        <w:spacing w:line="360" w:lineRule="auto"/>
        <w:ind w:firstLine="560" w:firstLineChars="200"/>
        <w:rPr>
          <w:rFonts w:hint="eastAsia" w:ascii="宋体" w:hAnsi="宋体"/>
          <w:sz w:val="28"/>
          <w:szCs w:val="28"/>
        </w:rPr>
      </w:pPr>
      <w:r>
        <w:rPr>
          <w:rFonts w:hint="eastAsia" w:ascii="宋体" w:hAnsi="宋体"/>
          <w:sz w:val="28"/>
          <w:szCs w:val="28"/>
        </w:rPr>
        <w:t>为保证非甲烷总烃自动监测站日常正常运行，中标单位需定期更换运行耗材，耗材内容及更换频次如下（包括不限于）：</w:t>
      </w:r>
    </w:p>
    <w:tbl>
      <w:tblPr>
        <w:tblStyle w:val="29"/>
        <w:tblW w:w="831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909"/>
        <w:gridCol w:w="1009"/>
        <w:gridCol w:w="1673"/>
        <w:gridCol w:w="981"/>
      </w:tblGrid>
      <w:tr w14:paraId="65E61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trPr>
        <w:tc>
          <w:tcPr>
            <w:tcW w:w="744" w:type="dxa"/>
            <w:vAlign w:val="center"/>
          </w:tcPr>
          <w:p w14:paraId="38265ECF">
            <w:pPr>
              <w:spacing w:line="221"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6"/>
                <w:kern w:val="2"/>
                <w:sz w:val="24"/>
                <w:szCs w:val="24"/>
                <w:lang w:eastAsia="en-US"/>
              </w:rPr>
              <w:t>序号</w:t>
            </w:r>
          </w:p>
        </w:tc>
        <w:tc>
          <w:tcPr>
            <w:tcW w:w="3909" w:type="dxa"/>
            <w:vAlign w:val="center"/>
          </w:tcPr>
          <w:p w14:paraId="569B715C">
            <w:pPr>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项目</w:t>
            </w:r>
          </w:p>
        </w:tc>
        <w:tc>
          <w:tcPr>
            <w:tcW w:w="1009" w:type="dxa"/>
            <w:vAlign w:val="center"/>
          </w:tcPr>
          <w:p w14:paraId="4EC76C3F">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3"/>
                <w:kern w:val="2"/>
                <w:sz w:val="24"/>
                <w:szCs w:val="24"/>
                <w:lang w:eastAsia="en-US"/>
              </w:rPr>
              <w:t>数量</w:t>
            </w:r>
          </w:p>
        </w:tc>
        <w:tc>
          <w:tcPr>
            <w:tcW w:w="1673" w:type="dxa"/>
            <w:vAlign w:val="center"/>
          </w:tcPr>
          <w:p w14:paraId="610E9711">
            <w:pPr>
              <w:spacing w:line="219"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建议更换周期</w:t>
            </w:r>
          </w:p>
        </w:tc>
        <w:tc>
          <w:tcPr>
            <w:tcW w:w="981" w:type="dxa"/>
            <w:vAlign w:val="center"/>
          </w:tcPr>
          <w:p w14:paraId="32631F9F">
            <w:pPr>
              <w:spacing w:line="219" w:lineRule="auto"/>
              <w:jc w:val="center"/>
              <w:rPr>
                <w:rFonts w:hint="eastAsia" w:ascii="宋体" w:hAnsi="宋体" w:cs="宋体" w:eastAsiaTheme="minorEastAsia"/>
                <w:spacing w:val="-3"/>
                <w:kern w:val="2"/>
                <w:sz w:val="24"/>
                <w:szCs w:val="24"/>
              </w:rPr>
            </w:pPr>
            <w:r>
              <w:rPr>
                <w:rFonts w:hint="eastAsia" w:ascii="宋体" w:hAnsi="宋体" w:cs="宋体" w:eastAsiaTheme="minorEastAsia"/>
                <w:spacing w:val="-3"/>
                <w:kern w:val="2"/>
                <w:sz w:val="24"/>
                <w:szCs w:val="24"/>
              </w:rPr>
              <w:t>备注</w:t>
            </w:r>
          </w:p>
        </w:tc>
      </w:tr>
      <w:tr w14:paraId="345F0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744" w:type="dxa"/>
            <w:vAlign w:val="center"/>
          </w:tcPr>
          <w:p w14:paraId="4C0F6978">
            <w:pPr>
              <w:spacing w:line="184"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1</w:t>
            </w:r>
          </w:p>
        </w:tc>
        <w:tc>
          <w:tcPr>
            <w:tcW w:w="3909" w:type="dxa"/>
            <w:vAlign w:val="center"/>
          </w:tcPr>
          <w:p w14:paraId="6EE8C8CA">
            <w:pPr>
              <w:spacing w:line="220"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3"/>
                <w:kern w:val="2"/>
                <w:sz w:val="24"/>
                <w:szCs w:val="24"/>
                <w:lang w:eastAsia="en-US"/>
              </w:rPr>
              <w:t>色谱柱</w:t>
            </w:r>
          </w:p>
        </w:tc>
        <w:tc>
          <w:tcPr>
            <w:tcW w:w="1009" w:type="dxa"/>
            <w:vAlign w:val="center"/>
          </w:tcPr>
          <w:p w14:paraId="121FAF2C">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1根</w:t>
            </w:r>
          </w:p>
        </w:tc>
        <w:tc>
          <w:tcPr>
            <w:tcW w:w="1673" w:type="dxa"/>
            <w:vAlign w:val="center"/>
          </w:tcPr>
          <w:p w14:paraId="4AF25E10">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一年</w:t>
            </w:r>
          </w:p>
        </w:tc>
        <w:tc>
          <w:tcPr>
            <w:tcW w:w="981" w:type="dxa"/>
            <w:vAlign w:val="center"/>
          </w:tcPr>
          <w:p w14:paraId="1F4A89D7">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2F977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744" w:type="dxa"/>
            <w:vAlign w:val="center"/>
          </w:tcPr>
          <w:p w14:paraId="0A778BCB">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2</w:t>
            </w:r>
          </w:p>
        </w:tc>
        <w:tc>
          <w:tcPr>
            <w:tcW w:w="3909" w:type="dxa"/>
            <w:vAlign w:val="center"/>
          </w:tcPr>
          <w:p w14:paraId="69E643D4">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1"/>
                <w:kern w:val="2"/>
                <w:sz w:val="24"/>
                <w:szCs w:val="24"/>
                <w:lang w:eastAsia="en-US"/>
              </w:rPr>
              <w:t>FID信号板</w:t>
            </w:r>
          </w:p>
        </w:tc>
        <w:tc>
          <w:tcPr>
            <w:tcW w:w="1009" w:type="dxa"/>
            <w:vAlign w:val="center"/>
          </w:tcPr>
          <w:p w14:paraId="40167500">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lang w:eastAsia="en-US"/>
              </w:rPr>
              <w:t>1</w:t>
            </w:r>
            <w:r>
              <w:rPr>
                <w:rFonts w:hint="eastAsia" w:ascii="宋体" w:hAnsi="宋体" w:cs="宋体" w:eastAsiaTheme="minorEastAsia"/>
                <w:kern w:val="2"/>
                <w:sz w:val="24"/>
                <w:szCs w:val="24"/>
              </w:rPr>
              <w:t>个</w:t>
            </w:r>
          </w:p>
        </w:tc>
        <w:tc>
          <w:tcPr>
            <w:tcW w:w="1673" w:type="dxa"/>
            <w:vAlign w:val="center"/>
          </w:tcPr>
          <w:p w14:paraId="724501CF">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一年</w:t>
            </w:r>
          </w:p>
        </w:tc>
        <w:tc>
          <w:tcPr>
            <w:tcW w:w="981" w:type="dxa"/>
            <w:vAlign w:val="center"/>
          </w:tcPr>
          <w:p w14:paraId="62AA34EF">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065E9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744" w:type="dxa"/>
            <w:vAlign w:val="center"/>
          </w:tcPr>
          <w:p w14:paraId="2E73E30F">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3</w:t>
            </w:r>
          </w:p>
        </w:tc>
        <w:tc>
          <w:tcPr>
            <w:tcW w:w="3909" w:type="dxa"/>
            <w:vAlign w:val="center"/>
          </w:tcPr>
          <w:p w14:paraId="61FF1F00">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5"/>
                <w:kern w:val="2"/>
                <w:sz w:val="24"/>
                <w:szCs w:val="24"/>
              </w:rPr>
              <w:t xml:space="preserve">FID </w:t>
            </w:r>
            <w:r>
              <w:rPr>
                <w:rFonts w:hint="eastAsia" w:ascii="宋体" w:hAnsi="宋体" w:cs="宋体" w:eastAsiaTheme="minorEastAsia"/>
                <w:spacing w:val="5"/>
                <w:kern w:val="2"/>
                <w:sz w:val="24"/>
                <w:szCs w:val="24"/>
                <w:lang w:eastAsia="en-US"/>
              </w:rPr>
              <w:t>点火线圈</w:t>
            </w:r>
          </w:p>
        </w:tc>
        <w:tc>
          <w:tcPr>
            <w:tcW w:w="1009" w:type="dxa"/>
            <w:vAlign w:val="center"/>
          </w:tcPr>
          <w:p w14:paraId="436B607D">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lang w:eastAsia="en-US"/>
              </w:rPr>
              <w:t>1</w:t>
            </w:r>
            <w:r>
              <w:rPr>
                <w:rFonts w:hint="eastAsia" w:ascii="宋体" w:hAnsi="宋体" w:cs="宋体" w:eastAsiaTheme="minorEastAsia"/>
                <w:kern w:val="2"/>
                <w:sz w:val="24"/>
                <w:szCs w:val="24"/>
              </w:rPr>
              <w:t>件</w:t>
            </w:r>
          </w:p>
        </w:tc>
        <w:tc>
          <w:tcPr>
            <w:tcW w:w="1673" w:type="dxa"/>
            <w:vAlign w:val="center"/>
          </w:tcPr>
          <w:p w14:paraId="5129E04C">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一年</w:t>
            </w:r>
          </w:p>
        </w:tc>
        <w:tc>
          <w:tcPr>
            <w:tcW w:w="981" w:type="dxa"/>
            <w:vAlign w:val="center"/>
          </w:tcPr>
          <w:p w14:paraId="0D4516C4">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11AFD5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744" w:type="dxa"/>
            <w:vAlign w:val="center"/>
          </w:tcPr>
          <w:p w14:paraId="418B6152">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4</w:t>
            </w:r>
          </w:p>
        </w:tc>
        <w:tc>
          <w:tcPr>
            <w:tcW w:w="3909" w:type="dxa"/>
            <w:vAlign w:val="center"/>
          </w:tcPr>
          <w:p w14:paraId="2AF1641F">
            <w:pPr>
              <w:spacing w:line="220" w:lineRule="auto"/>
              <w:jc w:val="center"/>
              <w:rPr>
                <w:rFonts w:hint="eastAsia" w:ascii="宋体" w:hAnsi="宋体" w:cs="宋体" w:eastAsiaTheme="minorEastAsia"/>
                <w:spacing w:val="3"/>
                <w:kern w:val="2"/>
                <w:sz w:val="24"/>
                <w:szCs w:val="24"/>
                <w:lang w:eastAsia="en-US"/>
              </w:rPr>
            </w:pPr>
            <w:r>
              <w:rPr>
                <w:rFonts w:hint="eastAsia" w:ascii="宋体" w:hAnsi="宋体" w:cs="宋体" w:eastAsiaTheme="minorEastAsia"/>
                <w:kern w:val="2"/>
                <w:sz w:val="24"/>
                <w:szCs w:val="24"/>
              </w:rPr>
              <w:t>十四通阀</w:t>
            </w:r>
          </w:p>
        </w:tc>
        <w:tc>
          <w:tcPr>
            <w:tcW w:w="1009" w:type="dxa"/>
            <w:vAlign w:val="center"/>
          </w:tcPr>
          <w:p w14:paraId="00F60DA7">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1件</w:t>
            </w:r>
          </w:p>
        </w:tc>
        <w:tc>
          <w:tcPr>
            <w:tcW w:w="1673" w:type="dxa"/>
            <w:vAlign w:val="center"/>
          </w:tcPr>
          <w:p w14:paraId="3D47D476">
            <w:pPr>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一年</w:t>
            </w:r>
          </w:p>
        </w:tc>
        <w:tc>
          <w:tcPr>
            <w:tcW w:w="981" w:type="dxa"/>
            <w:vAlign w:val="center"/>
          </w:tcPr>
          <w:p w14:paraId="7EF95E72">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5F0D22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744" w:type="dxa"/>
            <w:vAlign w:val="center"/>
          </w:tcPr>
          <w:p w14:paraId="0046BAAB">
            <w:pPr>
              <w:spacing w:line="182"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5</w:t>
            </w:r>
          </w:p>
        </w:tc>
        <w:tc>
          <w:tcPr>
            <w:tcW w:w="3909" w:type="dxa"/>
            <w:vAlign w:val="center"/>
          </w:tcPr>
          <w:p w14:paraId="0D17FF1D">
            <w:pPr>
              <w:spacing w:line="220"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3"/>
                <w:kern w:val="2"/>
                <w:sz w:val="24"/>
                <w:szCs w:val="24"/>
                <w:lang w:eastAsia="en-US"/>
              </w:rPr>
              <w:t>一级标气</w:t>
            </w:r>
          </w:p>
        </w:tc>
        <w:tc>
          <w:tcPr>
            <w:tcW w:w="1009" w:type="dxa"/>
            <w:vAlign w:val="center"/>
          </w:tcPr>
          <w:p w14:paraId="220DD967">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lang w:eastAsia="en-US"/>
              </w:rPr>
              <w:t>1</w:t>
            </w:r>
            <w:r>
              <w:rPr>
                <w:rFonts w:hint="eastAsia" w:ascii="宋体" w:hAnsi="宋体" w:cs="宋体" w:eastAsiaTheme="minorEastAsia"/>
                <w:kern w:val="2"/>
                <w:sz w:val="24"/>
                <w:szCs w:val="24"/>
              </w:rPr>
              <w:t>瓶</w:t>
            </w:r>
          </w:p>
        </w:tc>
        <w:tc>
          <w:tcPr>
            <w:tcW w:w="1673" w:type="dxa"/>
            <w:vAlign w:val="center"/>
          </w:tcPr>
          <w:p w14:paraId="14D8F6F0">
            <w:pPr>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一年</w:t>
            </w:r>
          </w:p>
        </w:tc>
        <w:tc>
          <w:tcPr>
            <w:tcW w:w="981" w:type="dxa"/>
            <w:vAlign w:val="center"/>
          </w:tcPr>
          <w:p w14:paraId="472B018D">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0DB82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744" w:type="dxa"/>
            <w:vAlign w:val="center"/>
          </w:tcPr>
          <w:p w14:paraId="1CCF1A1C">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6</w:t>
            </w:r>
          </w:p>
        </w:tc>
        <w:tc>
          <w:tcPr>
            <w:tcW w:w="3909" w:type="dxa"/>
            <w:vAlign w:val="center"/>
          </w:tcPr>
          <w:p w14:paraId="117E5045">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2"/>
                <w:kern w:val="2"/>
                <w:sz w:val="24"/>
                <w:szCs w:val="24"/>
                <w:lang w:eastAsia="en-US"/>
              </w:rPr>
              <w:t>真空采样泵</w:t>
            </w:r>
          </w:p>
        </w:tc>
        <w:tc>
          <w:tcPr>
            <w:tcW w:w="1009" w:type="dxa"/>
            <w:vAlign w:val="center"/>
          </w:tcPr>
          <w:p w14:paraId="12160004">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4件</w:t>
            </w:r>
          </w:p>
        </w:tc>
        <w:tc>
          <w:tcPr>
            <w:tcW w:w="1673" w:type="dxa"/>
            <w:vAlign w:val="center"/>
          </w:tcPr>
          <w:p w14:paraId="1F0A2070">
            <w:pPr>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三个月</w:t>
            </w:r>
          </w:p>
        </w:tc>
        <w:tc>
          <w:tcPr>
            <w:tcW w:w="981" w:type="dxa"/>
            <w:vAlign w:val="center"/>
          </w:tcPr>
          <w:p w14:paraId="05156101">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38AF7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744" w:type="dxa"/>
            <w:vAlign w:val="center"/>
          </w:tcPr>
          <w:p w14:paraId="58060C84">
            <w:pPr>
              <w:spacing w:line="182"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7</w:t>
            </w:r>
          </w:p>
        </w:tc>
        <w:tc>
          <w:tcPr>
            <w:tcW w:w="3909" w:type="dxa"/>
            <w:vAlign w:val="center"/>
          </w:tcPr>
          <w:p w14:paraId="7E1E43D5">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2"/>
                <w:kern w:val="2"/>
                <w:sz w:val="24"/>
                <w:szCs w:val="24"/>
                <w:lang w:eastAsia="en-US"/>
              </w:rPr>
              <w:t>氢气发生器</w:t>
            </w:r>
            <w:r>
              <w:rPr>
                <w:rFonts w:hint="eastAsia" w:ascii="宋体" w:hAnsi="宋体" w:cs="宋体" w:eastAsiaTheme="minorEastAsia"/>
                <w:spacing w:val="-2"/>
                <w:kern w:val="2"/>
                <w:sz w:val="24"/>
                <w:szCs w:val="24"/>
              </w:rPr>
              <w:t xml:space="preserve"> 纯水</w:t>
            </w:r>
          </w:p>
        </w:tc>
        <w:tc>
          <w:tcPr>
            <w:tcW w:w="1009" w:type="dxa"/>
            <w:vAlign w:val="center"/>
          </w:tcPr>
          <w:p w14:paraId="0ADA9939">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spacing w:val="-3"/>
                <w:kern w:val="2"/>
                <w:sz w:val="24"/>
                <w:szCs w:val="24"/>
                <w:lang w:eastAsia="en-US"/>
              </w:rPr>
              <w:t>26</w:t>
            </w:r>
            <w:r>
              <w:rPr>
                <w:rFonts w:hint="eastAsia" w:ascii="宋体" w:hAnsi="宋体" w:cs="宋体" w:eastAsiaTheme="minorEastAsia"/>
                <w:spacing w:val="-3"/>
                <w:kern w:val="2"/>
                <w:sz w:val="24"/>
                <w:szCs w:val="24"/>
              </w:rPr>
              <w:t>件</w:t>
            </w:r>
          </w:p>
        </w:tc>
        <w:tc>
          <w:tcPr>
            <w:tcW w:w="1673" w:type="dxa"/>
            <w:vAlign w:val="center"/>
          </w:tcPr>
          <w:p w14:paraId="09FD3D04">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半个月</w:t>
            </w:r>
          </w:p>
        </w:tc>
        <w:tc>
          <w:tcPr>
            <w:tcW w:w="981" w:type="dxa"/>
            <w:vAlign w:val="center"/>
          </w:tcPr>
          <w:p w14:paraId="72696A5D">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4AC53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744" w:type="dxa"/>
            <w:vAlign w:val="center"/>
          </w:tcPr>
          <w:p w14:paraId="7D6A48BA">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8</w:t>
            </w:r>
          </w:p>
        </w:tc>
        <w:tc>
          <w:tcPr>
            <w:tcW w:w="3909" w:type="dxa"/>
            <w:vAlign w:val="center"/>
          </w:tcPr>
          <w:p w14:paraId="6AF88930">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氢氧化钾</w:t>
            </w:r>
          </w:p>
        </w:tc>
        <w:tc>
          <w:tcPr>
            <w:tcW w:w="1009" w:type="dxa"/>
            <w:vAlign w:val="center"/>
          </w:tcPr>
          <w:p w14:paraId="56669071">
            <w:pPr>
              <w:spacing w:line="184"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1</w:t>
            </w:r>
          </w:p>
        </w:tc>
        <w:tc>
          <w:tcPr>
            <w:tcW w:w="1673" w:type="dxa"/>
            <w:vAlign w:val="center"/>
          </w:tcPr>
          <w:p w14:paraId="61892C4D">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一年</w:t>
            </w:r>
          </w:p>
        </w:tc>
        <w:tc>
          <w:tcPr>
            <w:tcW w:w="981" w:type="dxa"/>
            <w:vAlign w:val="center"/>
          </w:tcPr>
          <w:p w14:paraId="6D17A091">
            <w:pPr>
              <w:spacing w:line="183" w:lineRule="auto"/>
              <w:jc w:val="center"/>
              <w:rPr>
                <w:rFonts w:hint="eastAsia" w:ascii="宋体" w:hAnsi="宋体" w:cs="宋体" w:eastAsiaTheme="minorEastAsia"/>
                <w:spacing w:val="-3"/>
                <w:kern w:val="2"/>
                <w:sz w:val="24"/>
                <w:szCs w:val="24"/>
              </w:rPr>
            </w:pPr>
            <w:r>
              <w:rPr>
                <w:rFonts w:hint="eastAsia" w:ascii="宋体" w:hAnsi="宋体" w:cs="宋体" w:eastAsiaTheme="minorEastAsia"/>
                <w:kern w:val="2"/>
                <w:sz w:val="24"/>
                <w:szCs w:val="24"/>
              </w:rPr>
              <w:t>耗材</w:t>
            </w:r>
          </w:p>
        </w:tc>
      </w:tr>
      <w:tr w14:paraId="7A0E8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744" w:type="dxa"/>
            <w:vAlign w:val="center"/>
          </w:tcPr>
          <w:p w14:paraId="222B313D">
            <w:pPr>
              <w:spacing w:line="183"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9</w:t>
            </w:r>
          </w:p>
        </w:tc>
        <w:tc>
          <w:tcPr>
            <w:tcW w:w="3909" w:type="dxa"/>
            <w:vAlign w:val="center"/>
          </w:tcPr>
          <w:p w14:paraId="1CC4C31C">
            <w:pPr>
              <w:spacing w:line="220"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3"/>
                <w:kern w:val="2"/>
                <w:sz w:val="24"/>
                <w:szCs w:val="24"/>
                <w:lang w:eastAsia="en-US"/>
              </w:rPr>
              <w:t>滤膜</w:t>
            </w:r>
          </w:p>
        </w:tc>
        <w:tc>
          <w:tcPr>
            <w:tcW w:w="1009" w:type="dxa"/>
            <w:vAlign w:val="center"/>
          </w:tcPr>
          <w:p w14:paraId="1E52C33C">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lang w:eastAsia="en-US"/>
              </w:rPr>
              <w:t>3</w:t>
            </w:r>
            <w:r>
              <w:rPr>
                <w:rFonts w:hint="eastAsia" w:ascii="宋体" w:hAnsi="宋体" w:cs="宋体" w:eastAsiaTheme="minorEastAsia"/>
                <w:kern w:val="2"/>
                <w:sz w:val="24"/>
                <w:szCs w:val="24"/>
              </w:rPr>
              <w:t>盒</w:t>
            </w:r>
          </w:p>
        </w:tc>
        <w:tc>
          <w:tcPr>
            <w:tcW w:w="1673" w:type="dxa"/>
            <w:vAlign w:val="center"/>
          </w:tcPr>
          <w:p w14:paraId="78B8AE2D">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半个月</w:t>
            </w:r>
          </w:p>
        </w:tc>
        <w:tc>
          <w:tcPr>
            <w:tcW w:w="981" w:type="dxa"/>
            <w:vAlign w:val="center"/>
          </w:tcPr>
          <w:p w14:paraId="3DF61F13">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4526F2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744" w:type="dxa"/>
            <w:vAlign w:val="center"/>
          </w:tcPr>
          <w:p w14:paraId="70AD9C35">
            <w:pPr>
              <w:spacing w:line="184"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6"/>
                <w:kern w:val="2"/>
                <w:sz w:val="24"/>
                <w:szCs w:val="24"/>
                <w:lang w:eastAsia="en-US"/>
              </w:rPr>
              <w:t>10</w:t>
            </w:r>
          </w:p>
        </w:tc>
        <w:tc>
          <w:tcPr>
            <w:tcW w:w="3909" w:type="dxa"/>
            <w:vAlign w:val="center"/>
          </w:tcPr>
          <w:p w14:paraId="15F84050">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2"/>
                <w:kern w:val="2"/>
                <w:sz w:val="24"/>
                <w:szCs w:val="24"/>
                <w:lang w:eastAsia="en-US"/>
              </w:rPr>
              <w:t>干燥剂</w:t>
            </w:r>
          </w:p>
        </w:tc>
        <w:tc>
          <w:tcPr>
            <w:tcW w:w="1009" w:type="dxa"/>
            <w:vAlign w:val="center"/>
          </w:tcPr>
          <w:p w14:paraId="79D611FB">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spacing w:val="-3"/>
                <w:kern w:val="2"/>
                <w:sz w:val="24"/>
                <w:szCs w:val="24"/>
                <w:lang w:eastAsia="en-US"/>
              </w:rPr>
              <w:t>26</w:t>
            </w:r>
            <w:r>
              <w:rPr>
                <w:rFonts w:hint="eastAsia" w:ascii="宋体" w:hAnsi="宋体" w:cs="宋体" w:eastAsiaTheme="minorEastAsia"/>
                <w:spacing w:val="-3"/>
                <w:kern w:val="2"/>
                <w:sz w:val="24"/>
                <w:szCs w:val="24"/>
              </w:rPr>
              <w:t>瓶</w:t>
            </w:r>
          </w:p>
        </w:tc>
        <w:tc>
          <w:tcPr>
            <w:tcW w:w="1673" w:type="dxa"/>
            <w:vAlign w:val="center"/>
          </w:tcPr>
          <w:p w14:paraId="63A59098">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半个月</w:t>
            </w:r>
          </w:p>
        </w:tc>
        <w:tc>
          <w:tcPr>
            <w:tcW w:w="981" w:type="dxa"/>
            <w:vAlign w:val="center"/>
          </w:tcPr>
          <w:p w14:paraId="5A2ABE60">
            <w:pPr>
              <w:spacing w:line="183" w:lineRule="auto"/>
              <w:jc w:val="center"/>
              <w:rPr>
                <w:rFonts w:hint="eastAsia" w:ascii="宋体" w:hAnsi="宋体" w:cs="宋体" w:eastAsiaTheme="minorEastAsia"/>
                <w:spacing w:val="-3"/>
                <w:kern w:val="2"/>
                <w:sz w:val="24"/>
                <w:szCs w:val="24"/>
              </w:rPr>
            </w:pPr>
            <w:r>
              <w:rPr>
                <w:rFonts w:hint="eastAsia" w:ascii="宋体" w:hAnsi="宋体" w:cs="宋体" w:eastAsiaTheme="minorEastAsia"/>
                <w:kern w:val="2"/>
                <w:sz w:val="24"/>
                <w:szCs w:val="24"/>
              </w:rPr>
              <w:t>耗材</w:t>
            </w:r>
          </w:p>
        </w:tc>
      </w:tr>
      <w:tr w14:paraId="5AA2E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744" w:type="dxa"/>
            <w:vAlign w:val="center"/>
          </w:tcPr>
          <w:p w14:paraId="764338BD">
            <w:pPr>
              <w:spacing w:line="183"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11</w:t>
            </w:r>
          </w:p>
        </w:tc>
        <w:tc>
          <w:tcPr>
            <w:tcW w:w="3909" w:type="dxa"/>
            <w:vAlign w:val="center"/>
          </w:tcPr>
          <w:p w14:paraId="7647302B">
            <w:pPr>
              <w:spacing w:line="219"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1"/>
                <w:kern w:val="2"/>
                <w:sz w:val="24"/>
                <w:szCs w:val="24"/>
                <w:lang w:eastAsia="en-US"/>
              </w:rPr>
              <w:t>空压机</w:t>
            </w:r>
            <w:r>
              <w:rPr>
                <w:rFonts w:hint="eastAsia" w:ascii="宋体" w:hAnsi="宋体" w:cs="宋体" w:eastAsiaTheme="minorEastAsia"/>
                <w:spacing w:val="1"/>
                <w:kern w:val="2"/>
                <w:sz w:val="24"/>
                <w:szCs w:val="24"/>
              </w:rPr>
              <w:t xml:space="preserve"> </w:t>
            </w:r>
            <w:r>
              <w:rPr>
                <w:rFonts w:hint="eastAsia" w:ascii="宋体" w:hAnsi="宋体" w:cs="宋体" w:eastAsiaTheme="minorEastAsia"/>
                <w:spacing w:val="1"/>
                <w:kern w:val="2"/>
                <w:sz w:val="24"/>
                <w:szCs w:val="24"/>
                <w:lang w:eastAsia="en-US"/>
              </w:rPr>
              <w:t>气缸皮碗</w:t>
            </w:r>
          </w:p>
        </w:tc>
        <w:tc>
          <w:tcPr>
            <w:tcW w:w="1009" w:type="dxa"/>
            <w:vAlign w:val="center"/>
          </w:tcPr>
          <w:p w14:paraId="0544C74C">
            <w:pPr>
              <w:spacing w:line="184"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1</w:t>
            </w:r>
          </w:p>
        </w:tc>
        <w:tc>
          <w:tcPr>
            <w:tcW w:w="1673" w:type="dxa"/>
            <w:vAlign w:val="center"/>
          </w:tcPr>
          <w:p w14:paraId="49D9E31A">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一年</w:t>
            </w:r>
          </w:p>
        </w:tc>
        <w:tc>
          <w:tcPr>
            <w:tcW w:w="981" w:type="dxa"/>
            <w:vAlign w:val="center"/>
          </w:tcPr>
          <w:p w14:paraId="4EA61159">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耗材</w:t>
            </w:r>
          </w:p>
        </w:tc>
      </w:tr>
      <w:tr w14:paraId="602025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744" w:type="dxa"/>
            <w:vAlign w:val="center"/>
          </w:tcPr>
          <w:p w14:paraId="3BCBA671">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12</w:t>
            </w:r>
          </w:p>
        </w:tc>
        <w:tc>
          <w:tcPr>
            <w:tcW w:w="3909" w:type="dxa"/>
            <w:vAlign w:val="center"/>
          </w:tcPr>
          <w:p w14:paraId="68F4A9D5">
            <w:pPr>
              <w:spacing w:line="220"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spacing w:val="1"/>
                <w:kern w:val="2"/>
                <w:sz w:val="24"/>
                <w:szCs w:val="24"/>
                <w:lang w:eastAsia="en-US"/>
              </w:rPr>
              <w:t>质控辅助设备维护</w:t>
            </w:r>
          </w:p>
        </w:tc>
        <w:tc>
          <w:tcPr>
            <w:tcW w:w="1009" w:type="dxa"/>
            <w:vAlign w:val="center"/>
          </w:tcPr>
          <w:p w14:paraId="70373F02">
            <w:pPr>
              <w:spacing w:line="184" w:lineRule="auto"/>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lang w:eastAsia="en-US"/>
              </w:rPr>
              <w:t>1</w:t>
            </w:r>
          </w:p>
        </w:tc>
        <w:tc>
          <w:tcPr>
            <w:tcW w:w="1673" w:type="dxa"/>
            <w:vAlign w:val="center"/>
          </w:tcPr>
          <w:p w14:paraId="1B540FC2">
            <w:pPr>
              <w:jc w:val="center"/>
              <w:rPr>
                <w:rFonts w:hint="eastAsia" w:ascii="宋体" w:hAnsi="宋体" w:cs="宋体" w:eastAsiaTheme="minorEastAsia"/>
                <w:kern w:val="2"/>
                <w:sz w:val="24"/>
                <w:szCs w:val="24"/>
                <w:lang w:eastAsia="en-US"/>
              </w:rPr>
            </w:pPr>
            <w:r>
              <w:rPr>
                <w:rFonts w:hint="eastAsia" w:ascii="宋体" w:hAnsi="宋体" w:cs="宋体" w:eastAsiaTheme="minorEastAsia"/>
                <w:kern w:val="2"/>
                <w:sz w:val="24"/>
                <w:szCs w:val="24"/>
              </w:rPr>
              <w:t>一年</w:t>
            </w:r>
          </w:p>
        </w:tc>
        <w:tc>
          <w:tcPr>
            <w:tcW w:w="981" w:type="dxa"/>
            <w:vAlign w:val="center"/>
          </w:tcPr>
          <w:p w14:paraId="6E880386">
            <w:pPr>
              <w:spacing w:line="184" w:lineRule="auto"/>
              <w:jc w:val="center"/>
              <w:rPr>
                <w:rFonts w:hint="eastAsia" w:ascii="宋体" w:hAnsi="宋体" w:cs="宋体" w:eastAsiaTheme="minorEastAsia"/>
                <w:kern w:val="2"/>
                <w:sz w:val="24"/>
                <w:szCs w:val="24"/>
              </w:rPr>
            </w:pPr>
            <w:r>
              <w:rPr>
                <w:rFonts w:hint="eastAsia" w:ascii="宋体" w:hAnsi="宋体" w:cs="宋体" w:eastAsiaTheme="minorEastAsia"/>
                <w:kern w:val="2"/>
                <w:sz w:val="24"/>
                <w:szCs w:val="24"/>
              </w:rPr>
              <w:t>/</w:t>
            </w:r>
          </w:p>
        </w:tc>
      </w:tr>
    </w:tbl>
    <w:p w14:paraId="53B1AD09">
      <w:pPr>
        <w:pStyle w:val="26"/>
        <w:numPr>
          <w:ilvl w:val="0"/>
          <w:numId w:val="2"/>
        </w:numPr>
        <w:ind w:firstLine="560" w:firstLineChars="200"/>
        <w:jc w:val="both"/>
        <w:rPr>
          <w:rFonts w:hint="eastAsia" w:hAnsi="宋体" w:cs="Times New Roman"/>
          <w:color w:val="auto"/>
          <w:sz w:val="28"/>
          <w:szCs w:val="28"/>
        </w:rPr>
      </w:pPr>
      <w:r>
        <w:rPr>
          <w:rFonts w:hint="eastAsia" w:hAnsi="宋体" w:cs="Times New Roman"/>
          <w:color w:val="auto"/>
          <w:sz w:val="28"/>
          <w:szCs w:val="28"/>
        </w:rPr>
        <w:t>运维服务成果提交</w:t>
      </w:r>
    </w:p>
    <w:p w14:paraId="3D0E8751">
      <w:pPr>
        <w:spacing w:line="360" w:lineRule="auto"/>
        <w:ind w:firstLine="560" w:firstLineChars="200"/>
        <w:rPr>
          <w:rFonts w:hint="eastAsia" w:ascii="宋体" w:hAnsi="宋体"/>
          <w:sz w:val="28"/>
          <w:szCs w:val="28"/>
        </w:rPr>
      </w:pPr>
      <w:r>
        <w:rPr>
          <w:rFonts w:hint="eastAsia" w:ascii="宋体" w:hAnsi="宋体"/>
          <w:sz w:val="28"/>
          <w:szCs w:val="28"/>
        </w:rPr>
        <w:t>运维单位应按以下要求及时上报运维服务成果：</w:t>
      </w:r>
    </w:p>
    <w:p w14:paraId="177D8AE4">
      <w:pPr>
        <w:numPr>
          <w:ilvl w:val="0"/>
          <w:numId w:val="3"/>
        </w:numPr>
        <w:spacing w:line="360" w:lineRule="auto"/>
        <w:ind w:firstLine="560" w:firstLineChars="200"/>
        <w:rPr>
          <w:rFonts w:hint="eastAsia" w:ascii="宋体" w:hAnsi="宋体"/>
          <w:sz w:val="28"/>
          <w:szCs w:val="28"/>
        </w:rPr>
      </w:pPr>
      <w:r>
        <w:rPr>
          <w:rFonts w:hint="eastAsia" w:ascii="宋体" w:hAnsi="宋体"/>
          <w:sz w:val="28"/>
          <w:szCs w:val="28"/>
        </w:rPr>
        <w:t>每月维护结束后10日内提交维护状况汇总统计表报告。</w:t>
      </w:r>
    </w:p>
    <w:p w14:paraId="2ED87A01">
      <w:pPr>
        <w:numPr>
          <w:ilvl w:val="0"/>
          <w:numId w:val="3"/>
        </w:numPr>
        <w:spacing w:line="360" w:lineRule="auto"/>
        <w:ind w:firstLine="560" w:firstLineChars="200"/>
        <w:rPr>
          <w:rFonts w:hint="eastAsia" w:ascii="宋体" w:hAnsi="宋体"/>
          <w:sz w:val="28"/>
          <w:szCs w:val="28"/>
        </w:rPr>
      </w:pPr>
      <w:r>
        <w:rPr>
          <w:rFonts w:hint="eastAsia" w:ascii="宋体" w:hAnsi="宋体"/>
          <w:sz w:val="28"/>
          <w:szCs w:val="28"/>
        </w:rPr>
        <w:t>每季维护结束后15日内提交季度维护报告。</w:t>
      </w:r>
    </w:p>
    <w:p w14:paraId="77426FE3">
      <w:pPr>
        <w:numPr>
          <w:ilvl w:val="0"/>
          <w:numId w:val="3"/>
        </w:numPr>
        <w:spacing w:line="360" w:lineRule="auto"/>
        <w:ind w:firstLine="560" w:firstLineChars="200"/>
        <w:rPr>
          <w:rFonts w:hint="eastAsia" w:ascii="宋体" w:hAnsi="宋体"/>
          <w:sz w:val="28"/>
          <w:szCs w:val="28"/>
        </w:rPr>
      </w:pPr>
      <w:r>
        <w:rPr>
          <w:rFonts w:hint="eastAsia" w:ascii="宋体" w:hAnsi="宋体"/>
          <w:sz w:val="28"/>
          <w:szCs w:val="28"/>
        </w:rPr>
        <w:t>半年维护结束后15日内提交半年维护报告。</w:t>
      </w:r>
    </w:p>
    <w:p w14:paraId="3E7B5C8D">
      <w:pPr>
        <w:numPr>
          <w:ilvl w:val="0"/>
          <w:numId w:val="3"/>
        </w:numPr>
        <w:spacing w:line="360" w:lineRule="auto"/>
        <w:ind w:firstLine="560" w:firstLineChars="200"/>
        <w:rPr>
          <w:rFonts w:hint="eastAsia" w:ascii="宋体" w:hAnsi="宋体"/>
          <w:sz w:val="28"/>
          <w:szCs w:val="28"/>
        </w:rPr>
      </w:pPr>
      <w:r>
        <w:rPr>
          <w:rFonts w:hint="eastAsia" w:ascii="宋体" w:hAnsi="宋体"/>
          <w:sz w:val="28"/>
          <w:szCs w:val="28"/>
        </w:rPr>
        <w:t>年维护结束后15日内提交年度维护报告。</w:t>
      </w:r>
    </w:p>
    <w:p w14:paraId="2A6B39C4">
      <w:pPr>
        <w:pStyle w:val="26"/>
        <w:numPr>
          <w:ilvl w:val="0"/>
          <w:numId w:val="4"/>
        </w:numPr>
        <w:ind w:firstLine="560" w:firstLineChars="200"/>
        <w:rPr>
          <w:rFonts w:hint="eastAsia" w:hAnsi="宋体" w:cs="Times New Roman"/>
          <w:color w:val="auto"/>
          <w:sz w:val="28"/>
          <w:szCs w:val="28"/>
        </w:rPr>
      </w:pPr>
      <w:r>
        <w:rPr>
          <w:rFonts w:hint="eastAsia" w:hAnsi="宋体" w:cs="Times New Roman"/>
          <w:color w:val="auto"/>
          <w:sz w:val="28"/>
          <w:szCs w:val="28"/>
        </w:rPr>
        <w:t>项目验收</w:t>
      </w:r>
    </w:p>
    <w:p w14:paraId="21675DED">
      <w:pPr>
        <w:pStyle w:val="26"/>
        <w:ind w:firstLine="640"/>
        <w:rPr>
          <w:rFonts w:hint="eastAsia" w:hAnsi="宋体" w:cs="Times New Roman"/>
          <w:color w:val="auto"/>
          <w:sz w:val="28"/>
          <w:szCs w:val="28"/>
        </w:rPr>
      </w:pPr>
      <w:r>
        <w:rPr>
          <w:rFonts w:hint="eastAsia" w:hAnsi="宋体" w:cs="Times New Roman"/>
          <w:color w:val="auto"/>
          <w:sz w:val="28"/>
          <w:szCs w:val="28"/>
        </w:rPr>
        <w:t>根据数据有效获取率情况支付相应的款项，具体标准如下：</w:t>
      </w:r>
    </w:p>
    <w:p w14:paraId="71BADE9D">
      <w:pPr>
        <w:pStyle w:val="26"/>
        <w:ind w:firstLine="640"/>
        <w:rPr>
          <w:rFonts w:hint="eastAsia" w:hAnsi="宋体" w:cs="Times New Roman"/>
          <w:color w:val="auto"/>
          <w:sz w:val="28"/>
          <w:szCs w:val="28"/>
        </w:rPr>
      </w:pPr>
      <w:r>
        <w:rPr>
          <w:rFonts w:hint="eastAsia" w:hAnsi="宋体" w:cs="Times New Roman"/>
          <w:color w:val="auto"/>
          <w:sz w:val="28"/>
          <w:szCs w:val="28"/>
        </w:rPr>
        <w:t>1.数据有效获取率≧90%，支付合同金额的100%。</w:t>
      </w:r>
    </w:p>
    <w:p w14:paraId="6D5AB6E5">
      <w:pPr>
        <w:pStyle w:val="26"/>
        <w:ind w:firstLine="640"/>
        <w:rPr>
          <w:rFonts w:hint="eastAsia" w:hAnsi="宋体" w:cs="Times New Roman"/>
          <w:color w:val="auto"/>
          <w:sz w:val="28"/>
          <w:szCs w:val="28"/>
        </w:rPr>
      </w:pPr>
      <w:r>
        <w:rPr>
          <w:rFonts w:hint="eastAsia" w:hAnsi="宋体" w:cs="Times New Roman"/>
          <w:color w:val="auto"/>
          <w:sz w:val="28"/>
          <w:szCs w:val="28"/>
        </w:rPr>
        <w:t>2.80%≦数据有效获取率&lt;90%，支付合同金额的90%。</w:t>
      </w:r>
    </w:p>
    <w:p w14:paraId="7EFAED91">
      <w:pPr>
        <w:pStyle w:val="26"/>
        <w:ind w:firstLine="640"/>
        <w:rPr>
          <w:rFonts w:hint="eastAsia" w:hAnsi="宋体" w:cs="Times New Roman"/>
          <w:color w:val="auto"/>
          <w:sz w:val="28"/>
          <w:szCs w:val="28"/>
        </w:rPr>
      </w:pPr>
      <w:r>
        <w:rPr>
          <w:rFonts w:hint="eastAsia" w:hAnsi="宋体" w:cs="Times New Roman"/>
          <w:color w:val="auto"/>
          <w:sz w:val="28"/>
          <w:szCs w:val="28"/>
        </w:rPr>
        <w:t>3.70%≦数据有效获取率&lt;80%，支付合同金额的70%。</w:t>
      </w:r>
    </w:p>
    <w:p w14:paraId="0A087DF3">
      <w:pPr>
        <w:pStyle w:val="26"/>
        <w:ind w:firstLine="640"/>
        <w:rPr>
          <w:rFonts w:hint="eastAsia" w:hAnsi="宋体" w:cs="Times New Roman"/>
          <w:color w:val="auto"/>
          <w:sz w:val="28"/>
          <w:szCs w:val="28"/>
        </w:rPr>
      </w:pPr>
      <w:r>
        <w:rPr>
          <w:rFonts w:hint="eastAsia" w:hAnsi="宋体" w:cs="Times New Roman"/>
          <w:color w:val="auto"/>
          <w:sz w:val="28"/>
          <w:szCs w:val="28"/>
        </w:rPr>
        <w:t>4.数据有效获取率&lt;70%，支付合同金额的50%。</w:t>
      </w:r>
    </w:p>
    <w:p w14:paraId="0A9AD8C4">
      <w:pPr>
        <w:pStyle w:val="26"/>
        <w:numPr>
          <w:ilvl w:val="0"/>
          <w:numId w:val="4"/>
        </w:numPr>
        <w:ind w:firstLine="560" w:firstLineChars="200"/>
        <w:rPr>
          <w:rFonts w:hint="eastAsia" w:hAnsi="宋体" w:cs="Times New Roman"/>
          <w:color w:val="auto"/>
          <w:sz w:val="28"/>
          <w:szCs w:val="28"/>
        </w:rPr>
      </w:pPr>
      <w:r>
        <w:rPr>
          <w:rFonts w:hint="eastAsia" w:hAnsi="宋体" w:cs="Times New Roman"/>
          <w:color w:val="auto"/>
          <w:sz w:val="28"/>
          <w:szCs w:val="28"/>
        </w:rPr>
        <w:t>付款方式</w:t>
      </w:r>
    </w:p>
    <w:p w14:paraId="16267239">
      <w:pPr>
        <w:spacing w:line="360" w:lineRule="auto"/>
        <w:ind w:firstLine="560" w:firstLineChars="200"/>
        <w:rPr>
          <w:rFonts w:hint="eastAsia" w:ascii="宋体" w:hAnsi="宋体"/>
          <w:sz w:val="28"/>
          <w:szCs w:val="28"/>
        </w:rPr>
      </w:pPr>
      <w:r>
        <w:rPr>
          <w:rFonts w:hint="eastAsia" w:ascii="宋体" w:hAnsi="宋体"/>
          <w:sz w:val="28"/>
          <w:szCs w:val="28"/>
        </w:rPr>
        <w:t>项目中标价格为运维服务过程中所有可能发生的费用，包括且不限于标准气体、耗材、易耗件、备品备件、子站电费、交通费、维修费、保险费、人工费等所有与完成本项目有关的费用。</w:t>
      </w:r>
    </w:p>
    <w:p w14:paraId="7E467D48">
      <w:pPr>
        <w:pStyle w:val="26"/>
        <w:ind w:firstLine="640"/>
        <w:rPr>
          <w:rFonts w:hint="eastAsia" w:hAnsi="宋体" w:cs="Times New Roman"/>
          <w:color w:val="auto"/>
          <w:sz w:val="28"/>
          <w:szCs w:val="28"/>
        </w:rPr>
      </w:pPr>
      <w:r>
        <w:rPr>
          <w:rFonts w:hint="eastAsia" w:hAnsi="宋体" w:cs="Times New Roman"/>
          <w:color w:val="auto"/>
          <w:sz w:val="28"/>
          <w:szCs w:val="28"/>
        </w:rPr>
        <w:t>项目费用分两期支付：</w:t>
      </w:r>
    </w:p>
    <w:p w14:paraId="463D6732">
      <w:pPr>
        <w:pStyle w:val="26"/>
        <w:numPr>
          <w:ilvl w:val="0"/>
          <w:numId w:val="5"/>
        </w:numPr>
        <w:ind w:firstLine="640"/>
        <w:rPr>
          <w:rFonts w:hint="eastAsia" w:hAnsi="宋体" w:cs="Times New Roman"/>
          <w:color w:val="auto"/>
          <w:sz w:val="28"/>
          <w:szCs w:val="28"/>
        </w:rPr>
      </w:pPr>
      <w:r>
        <w:rPr>
          <w:rFonts w:hint="eastAsia" w:hAnsi="宋体" w:cs="Times New Roman"/>
          <w:color w:val="auto"/>
          <w:sz w:val="28"/>
          <w:szCs w:val="28"/>
        </w:rPr>
        <w:t>合同签订后，中标人开具正式发票，向中标人支付合同金额的50%；</w:t>
      </w:r>
    </w:p>
    <w:p w14:paraId="1F529A8F">
      <w:pPr>
        <w:pStyle w:val="26"/>
        <w:numPr>
          <w:ilvl w:val="0"/>
          <w:numId w:val="5"/>
        </w:numPr>
        <w:ind w:firstLine="640"/>
        <w:rPr>
          <w:rFonts w:hint="eastAsia" w:hAnsi="宋体" w:cs="Times New Roman"/>
          <w:color w:val="auto"/>
          <w:sz w:val="28"/>
          <w:szCs w:val="28"/>
        </w:rPr>
      </w:pPr>
      <w:r>
        <w:rPr>
          <w:rFonts w:hint="eastAsia" w:hAnsi="宋体" w:cs="Times New Roman"/>
          <w:color w:val="auto"/>
          <w:sz w:val="28"/>
          <w:szCs w:val="28"/>
        </w:rPr>
        <w:t>服务期满后，采购人根据年度验收情况向中标人支付相应的尾款。</w:t>
      </w:r>
    </w:p>
    <w:p w14:paraId="53463057">
      <w:pPr>
        <w:spacing w:before="156" w:beforeLines="50" w:after="156" w:afterLines="50" w:line="520" w:lineRule="exact"/>
        <w:rPr>
          <w:rFonts w:hint="eastAsia" w:ascii="宋体" w:hAnsi="宋体" w:cs="宋体"/>
          <w:b/>
          <w:bCs/>
          <w:color w:val="000000"/>
          <w:sz w:val="30"/>
          <w:szCs w:val="30"/>
        </w:rPr>
      </w:pPr>
      <w:r>
        <w:rPr>
          <w:rFonts w:hint="eastAsia" w:ascii="宋体" w:hAnsi="宋体" w:cs="宋体"/>
          <w:b/>
          <w:bCs/>
          <w:color w:val="000000"/>
          <w:sz w:val="30"/>
          <w:szCs w:val="30"/>
        </w:rPr>
        <w:t>六、</w:t>
      </w:r>
      <w:r>
        <w:rPr>
          <w:rFonts w:hint="eastAsia"/>
          <w:b/>
          <w:bCs/>
          <w:sz w:val="28"/>
          <w:szCs w:val="28"/>
          <w:vertAlign w:val="baseline"/>
          <w:lang w:val="en-US" w:eastAsia="zh-CN"/>
        </w:rPr>
        <w:t>资质要求（下列复印件</w:t>
      </w:r>
      <w:r>
        <w:rPr>
          <w:rFonts w:hint="default"/>
          <w:b/>
          <w:bCs/>
          <w:sz w:val="28"/>
          <w:szCs w:val="28"/>
          <w:vertAlign w:val="baseline"/>
          <w:lang w:val="en-US" w:eastAsia="zh-CN"/>
        </w:rPr>
        <w:t>须盖单位公章</w:t>
      </w:r>
      <w:r>
        <w:rPr>
          <w:rFonts w:hint="eastAsia"/>
          <w:b/>
          <w:bCs/>
          <w:sz w:val="28"/>
          <w:szCs w:val="28"/>
          <w:vertAlign w:val="baseline"/>
          <w:lang w:val="en-US" w:eastAsia="zh-CN"/>
        </w:rPr>
        <w:t>）</w:t>
      </w:r>
    </w:p>
    <w:p w14:paraId="7D19FC0C">
      <w:pPr>
        <w:spacing w:line="360" w:lineRule="auto"/>
        <w:ind w:firstLine="560" w:firstLineChars="200"/>
        <w:rPr>
          <w:rFonts w:hint="eastAsia" w:ascii="宋体" w:hAnsi="宋体"/>
          <w:sz w:val="28"/>
          <w:szCs w:val="28"/>
        </w:rPr>
      </w:pPr>
      <w:r>
        <w:rPr>
          <w:rFonts w:hint="eastAsia" w:ascii="宋体" w:hAnsi="宋体"/>
          <w:sz w:val="28"/>
          <w:szCs w:val="28"/>
        </w:rPr>
        <w:t>营业执照等证明文件：①</w:t>
      </w:r>
      <w:r>
        <w:rPr>
          <w:rFonts w:hint="eastAsia" w:ascii="宋体" w:hAnsi="宋体"/>
          <w:sz w:val="28"/>
          <w:szCs w:val="28"/>
          <w:lang w:eastAsia="zh-CN"/>
        </w:rPr>
        <w:t>报价</w:t>
      </w:r>
      <w:r>
        <w:rPr>
          <w:rFonts w:hint="eastAsia" w:ascii="宋体" w:hAnsi="宋体"/>
          <w:sz w:val="28"/>
          <w:szCs w:val="28"/>
        </w:rPr>
        <w:t>人为企业的，提供有效的营业执照复印件；</w:t>
      </w:r>
      <w:r>
        <w:rPr>
          <w:rFonts w:hint="eastAsia" w:ascii="宋体" w:hAnsi="宋体"/>
          <w:sz w:val="28"/>
          <w:szCs w:val="28"/>
          <w:lang w:eastAsia="zh-CN"/>
        </w:rPr>
        <w:t>报价</w:t>
      </w:r>
      <w:r>
        <w:rPr>
          <w:rFonts w:hint="eastAsia" w:ascii="宋体" w:hAnsi="宋体"/>
          <w:sz w:val="28"/>
          <w:szCs w:val="28"/>
        </w:rPr>
        <w:t>人为事业单位的，提供有效的事业单位法人证书复印件；</w:t>
      </w:r>
      <w:r>
        <w:rPr>
          <w:rFonts w:hint="eastAsia" w:ascii="宋体" w:hAnsi="宋体"/>
          <w:sz w:val="28"/>
          <w:szCs w:val="28"/>
          <w:lang w:eastAsia="zh-CN"/>
        </w:rPr>
        <w:t>报价</w:t>
      </w:r>
      <w:r>
        <w:rPr>
          <w:rFonts w:hint="eastAsia" w:ascii="宋体" w:hAnsi="宋体"/>
          <w:sz w:val="28"/>
          <w:szCs w:val="28"/>
        </w:rPr>
        <w:t>人为社会团体的，提供有效的社会团体法人登记证书复印件；</w:t>
      </w:r>
      <w:r>
        <w:rPr>
          <w:rFonts w:hint="eastAsia" w:ascii="宋体" w:hAnsi="宋体"/>
          <w:sz w:val="28"/>
          <w:szCs w:val="28"/>
          <w:lang w:eastAsia="zh-CN"/>
        </w:rPr>
        <w:t>报价</w:t>
      </w:r>
      <w:r>
        <w:rPr>
          <w:rFonts w:hint="eastAsia" w:ascii="宋体" w:hAnsi="宋体"/>
          <w:sz w:val="28"/>
          <w:szCs w:val="28"/>
        </w:rPr>
        <w:t>人为合伙企业、个体工商户的，提供有效的营业执照复印件；</w:t>
      </w:r>
      <w:r>
        <w:rPr>
          <w:rFonts w:hint="eastAsia" w:ascii="宋体" w:hAnsi="宋体"/>
          <w:sz w:val="28"/>
          <w:szCs w:val="28"/>
          <w:lang w:eastAsia="zh-CN"/>
        </w:rPr>
        <w:t>报价</w:t>
      </w:r>
      <w:r>
        <w:rPr>
          <w:rFonts w:hint="eastAsia" w:ascii="宋体" w:hAnsi="宋体"/>
          <w:sz w:val="28"/>
          <w:szCs w:val="28"/>
        </w:rPr>
        <w:t>人为非企业专业服务机构的，提供有效的执业许可证等证明材料复印件；</w:t>
      </w:r>
      <w:r>
        <w:rPr>
          <w:rFonts w:hint="eastAsia" w:ascii="宋体" w:hAnsi="宋体"/>
          <w:sz w:val="28"/>
          <w:szCs w:val="28"/>
          <w:lang w:eastAsia="zh-CN"/>
        </w:rPr>
        <w:t>报价</w:t>
      </w:r>
      <w:r>
        <w:rPr>
          <w:rFonts w:hint="eastAsia" w:ascii="宋体" w:hAnsi="宋体"/>
          <w:sz w:val="28"/>
          <w:szCs w:val="28"/>
        </w:rPr>
        <w:t>人为自然人的，提供有效的自然人身份证件复印件；其他</w:t>
      </w:r>
      <w:r>
        <w:rPr>
          <w:rFonts w:hint="eastAsia" w:ascii="宋体" w:hAnsi="宋体"/>
          <w:sz w:val="28"/>
          <w:szCs w:val="28"/>
          <w:lang w:eastAsia="zh-CN"/>
        </w:rPr>
        <w:t>报价</w:t>
      </w:r>
      <w:r>
        <w:rPr>
          <w:rFonts w:hint="eastAsia" w:ascii="宋体" w:hAnsi="宋体"/>
          <w:sz w:val="28"/>
          <w:szCs w:val="28"/>
        </w:rPr>
        <w:t>人应按照有关法律、法规和规章规定，提供有效的相应具体证照复印件。</w:t>
      </w:r>
    </w:p>
    <w:p w14:paraId="6B9CADE0">
      <w:pPr>
        <w:spacing w:line="360" w:lineRule="auto"/>
        <w:jc w:val="left"/>
        <w:rPr>
          <w:rFonts w:hint="eastAsia" w:ascii="宋体" w:hAnsi="宋体"/>
          <w:b/>
          <w:bCs/>
          <w:color w:val="000000"/>
          <w:sz w:val="28"/>
          <w:szCs w:val="28"/>
        </w:rPr>
      </w:pPr>
      <w:r>
        <w:rPr>
          <w:rFonts w:hint="eastAsia" w:ascii="宋体" w:hAnsi="宋体"/>
          <w:b/>
          <w:bCs/>
          <w:color w:val="000000"/>
          <w:sz w:val="28"/>
          <w:szCs w:val="28"/>
          <w:lang w:eastAsia="zh-CN"/>
        </w:rPr>
        <w:t>七</w:t>
      </w:r>
      <w:r>
        <w:rPr>
          <w:rFonts w:hint="eastAsia" w:ascii="宋体" w:hAnsi="宋体"/>
          <w:b/>
          <w:bCs/>
          <w:color w:val="000000"/>
          <w:sz w:val="28"/>
          <w:szCs w:val="28"/>
        </w:rPr>
        <w:t>、评审办法（</w:t>
      </w:r>
      <w:r>
        <w:rPr>
          <w:rFonts w:hint="eastAsia" w:ascii="仿宋" w:hAnsi="仿宋" w:eastAsia="仿宋" w:cs="仿宋"/>
          <w:b/>
          <w:bCs/>
          <w:sz w:val="28"/>
          <w:szCs w:val="32"/>
        </w:rPr>
        <w:t>综合评分</w:t>
      </w:r>
      <w:r>
        <w:rPr>
          <w:rFonts w:hint="eastAsia" w:ascii="宋体" w:hAnsi="宋体"/>
          <w:b/>
          <w:bCs/>
          <w:color w:val="000000"/>
          <w:sz w:val="28"/>
          <w:szCs w:val="28"/>
        </w:rPr>
        <w:t>）</w:t>
      </w:r>
    </w:p>
    <w:p w14:paraId="2A879A17">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磋商小组将采用综合评分法对提交最后报价的合格供应商的响应文件和最后报价进行综合评分磋商小组将对提交最后报价的合格供应商从技术、商务及报价部分分别进行评议并评分，并汇总出技术、商务及报价部分的综合得分。综合得分最高的供应商将被推荐为第一成交候选供应商，综合得分第二高的供应商将被推荐为第二成交候选供应商，综合得分第三高的供应商将被推荐为第三成交候选供应商。如果出现相同的综合得分，则最后报价低的供应商排序在前优先推荐；如果最后报价仍相同，则技术部分得分高的供应商优先排序在前推荐。</w:t>
      </w:r>
    </w:p>
    <w:p w14:paraId="55D5A4E3">
      <w:pPr>
        <w:spacing w:line="360" w:lineRule="auto"/>
        <w:ind w:firstLine="480" w:firstLineChars="200"/>
        <w:jc w:val="left"/>
        <w:rPr>
          <w:rFonts w:hint="eastAsia" w:ascii="仿宋" w:hAnsi="仿宋" w:eastAsia="仿宋" w:cs="仿宋"/>
          <w:sz w:val="24"/>
        </w:rPr>
      </w:pPr>
      <w:r>
        <w:rPr>
          <w:rFonts w:hint="eastAsia" w:ascii="宋体" w:hAnsi="宋体" w:eastAsia="宋体" w:cs="宋体"/>
          <w:sz w:val="24"/>
        </w:rPr>
        <w:t>每个供应商的评审总得分FA＝F1＋F2＋F3，其中：F1指价格项评审因素得分、F2指技术项评审因素得分、F3指商务项评审因素得分，F1＋F2＋F3=100分（满分时）。</w:t>
      </w:r>
    </w:p>
    <w:p w14:paraId="2B0DA8D5">
      <w:pPr>
        <w:spacing w:line="360" w:lineRule="auto"/>
        <w:ind w:firstLine="482" w:firstLineChars="200"/>
        <w:jc w:val="left"/>
        <w:rPr>
          <w:rFonts w:hint="eastAsia" w:ascii="宋体" w:hAnsi="宋体" w:eastAsia="宋体" w:cs="宋体"/>
          <w:sz w:val="24"/>
        </w:rPr>
      </w:pPr>
      <w:r>
        <w:rPr>
          <w:rFonts w:hint="eastAsia" w:ascii="仿宋" w:hAnsi="仿宋" w:eastAsia="仿宋" w:cs="仿宋"/>
          <w:b/>
          <w:bCs/>
          <w:sz w:val="24"/>
        </w:rPr>
        <w:t>报价部分评分F1</w:t>
      </w:r>
      <w:r>
        <w:rPr>
          <w:rFonts w:hint="eastAsia" w:ascii="仿宋" w:hAnsi="仿宋" w:eastAsia="仿宋" w:cs="仿宋"/>
          <w:b/>
          <w:bCs/>
          <w:sz w:val="24"/>
          <w:lang w:val="en-US" w:eastAsia="zh-CN"/>
        </w:rPr>
        <w:t xml:space="preserve">      </w:t>
      </w:r>
      <w:r>
        <w:rPr>
          <w:rFonts w:hint="eastAsia" w:ascii="仿宋" w:hAnsi="仿宋" w:eastAsia="仿宋" w:cs="仿宋"/>
          <w:b/>
          <w:bCs/>
          <w:sz w:val="24"/>
        </w:rPr>
        <w:t xml:space="preserve"> 满分</w:t>
      </w:r>
      <w:r>
        <w:rPr>
          <w:rFonts w:hint="eastAsia" w:ascii="仿宋" w:hAnsi="仿宋" w:eastAsia="仿宋" w:cs="仿宋"/>
          <w:b/>
          <w:bCs/>
          <w:sz w:val="24"/>
          <w:u w:val="single"/>
        </w:rPr>
        <w:t>30</w:t>
      </w:r>
      <w:r>
        <w:rPr>
          <w:rFonts w:hint="eastAsia" w:ascii="仿宋" w:hAnsi="仿宋" w:eastAsia="仿宋" w:cs="仿宋"/>
          <w:b/>
          <w:bCs/>
          <w:sz w:val="24"/>
        </w:rPr>
        <w:t>分</w:t>
      </w:r>
    </w:p>
    <w:p w14:paraId="09DB10C5">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价格分采用低价优先法计算，即满足磋商文件要求且最后报价最低的供应商的价格为磋商基准价，其价格分为满分。其他供应商的价格分统一按照下列公式计算：磋商报价得分=（磋商基准价／最后磋商报价）×价格权值。</w:t>
      </w:r>
    </w:p>
    <w:p w14:paraId="21196976">
      <w:pPr>
        <w:spacing w:line="360" w:lineRule="auto"/>
        <w:ind w:firstLine="482" w:firstLineChars="200"/>
        <w:jc w:val="left"/>
        <w:rPr>
          <w:rFonts w:hint="eastAsia" w:ascii="仿宋" w:hAnsi="仿宋" w:eastAsia="仿宋" w:cs="仿宋"/>
          <w:sz w:val="24"/>
        </w:rPr>
      </w:pPr>
      <w:r>
        <w:rPr>
          <w:rFonts w:hint="eastAsia" w:ascii="仿宋" w:hAnsi="仿宋" w:eastAsia="仿宋" w:cs="仿宋"/>
          <w:b/>
          <w:bCs/>
          <w:sz w:val="24"/>
        </w:rPr>
        <w:t>技术部分评分F2           </w:t>
      </w:r>
      <w:r>
        <w:rPr>
          <w:rFonts w:hint="eastAsia" w:ascii="仿宋" w:hAnsi="仿宋" w:eastAsia="仿宋" w:cs="仿宋"/>
          <w:b/>
          <w:bCs/>
          <w:sz w:val="24"/>
          <w:lang w:val="en-US" w:eastAsia="zh-CN"/>
        </w:rPr>
        <w:t xml:space="preserve"> </w:t>
      </w:r>
      <w:r>
        <w:rPr>
          <w:rFonts w:hint="eastAsia" w:ascii="仿宋" w:hAnsi="仿宋" w:eastAsia="仿宋" w:cs="仿宋"/>
          <w:b/>
          <w:bCs/>
          <w:sz w:val="24"/>
        </w:rPr>
        <w:t>满分</w:t>
      </w:r>
      <w:r>
        <w:rPr>
          <w:rFonts w:hint="eastAsia" w:ascii="仿宋" w:hAnsi="仿宋" w:eastAsia="仿宋" w:cs="仿宋"/>
          <w:b/>
          <w:bCs/>
          <w:sz w:val="24"/>
          <w:u w:val="single"/>
        </w:rPr>
        <w:t>45</w:t>
      </w:r>
      <w:r>
        <w:rPr>
          <w:rFonts w:hint="eastAsia" w:ascii="仿宋" w:hAnsi="仿宋" w:eastAsia="仿宋" w:cs="仿宋"/>
          <w:b/>
          <w:bCs/>
          <w:sz w:val="24"/>
        </w:rPr>
        <w:t>分</w:t>
      </w:r>
    </w:p>
    <w:tbl>
      <w:tblPr>
        <w:tblStyle w:val="11"/>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58"/>
        <w:gridCol w:w="852"/>
        <w:gridCol w:w="7012"/>
      </w:tblGrid>
      <w:tr w14:paraId="1C4CEA0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96" w:type="dxa"/>
            <w:vAlign w:val="center"/>
          </w:tcPr>
          <w:p w14:paraId="44FCB2F3">
            <w:pPr>
              <w:spacing w:line="360" w:lineRule="auto"/>
              <w:jc w:val="center"/>
              <w:rPr>
                <w:rFonts w:hint="eastAsia" w:ascii="仿宋" w:hAnsi="仿宋" w:eastAsia="仿宋" w:cs="仿宋"/>
                <w:sz w:val="24"/>
              </w:rPr>
            </w:pPr>
            <w:r>
              <w:rPr>
                <w:rFonts w:hint="eastAsia" w:ascii="仿宋" w:hAnsi="仿宋" w:eastAsia="仿宋" w:cs="仿宋"/>
                <w:sz w:val="24"/>
              </w:rPr>
              <w:t>评标项目</w:t>
            </w:r>
          </w:p>
        </w:tc>
        <w:tc>
          <w:tcPr>
            <w:tcW w:w="926" w:type="dxa"/>
            <w:vAlign w:val="center"/>
          </w:tcPr>
          <w:p w14:paraId="33BDEAAA">
            <w:pPr>
              <w:spacing w:line="360" w:lineRule="auto"/>
              <w:jc w:val="center"/>
              <w:rPr>
                <w:rFonts w:hint="eastAsia" w:ascii="仿宋" w:hAnsi="仿宋" w:eastAsia="仿宋" w:cs="仿宋"/>
                <w:sz w:val="24"/>
              </w:rPr>
            </w:pPr>
            <w:r>
              <w:rPr>
                <w:rFonts w:hint="eastAsia" w:ascii="仿宋" w:hAnsi="仿宋" w:eastAsia="仿宋" w:cs="仿宋"/>
                <w:sz w:val="24"/>
              </w:rPr>
              <w:t>评标分值</w:t>
            </w:r>
          </w:p>
        </w:tc>
        <w:tc>
          <w:tcPr>
            <w:tcW w:w="8151" w:type="dxa"/>
            <w:vAlign w:val="center"/>
          </w:tcPr>
          <w:p w14:paraId="7BA7F180">
            <w:pPr>
              <w:spacing w:line="360" w:lineRule="auto"/>
              <w:jc w:val="center"/>
              <w:rPr>
                <w:rFonts w:hint="eastAsia" w:ascii="仿宋" w:hAnsi="仿宋" w:eastAsia="仿宋" w:cs="仿宋"/>
                <w:sz w:val="24"/>
              </w:rPr>
            </w:pPr>
            <w:r>
              <w:rPr>
                <w:rFonts w:hint="eastAsia" w:ascii="仿宋" w:hAnsi="仿宋" w:eastAsia="仿宋" w:cs="仿宋"/>
                <w:sz w:val="24"/>
              </w:rPr>
              <w:t>评标方法描述</w:t>
            </w:r>
          </w:p>
        </w:tc>
      </w:tr>
      <w:tr w14:paraId="513FA7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96" w:type="dxa"/>
            <w:vAlign w:val="center"/>
          </w:tcPr>
          <w:p w14:paraId="3B90CB74">
            <w:pPr>
              <w:widowControl/>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926" w:type="dxa"/>
            <w:vAlign w:val="center"/>
          </w:tcPr>
          <w:p w14:paraId="17576A6E">
            <w:pPr>
              <w:spacing w:line="360" w:lineRule="auto"/>
              <w:jc w:val="center"/>
              <w:rPr>
                <w:rFonts w:hint="eastAsia" w:ascii="仿宋" w:hAnsi="仿宋" w:eastAsia="仿宋" w:cs="仿宋"/>
                <w:sz w:val="24"/>
              </w:rPr>
            </w:pPr>
            <w:r>
              <w:rPr>
                <w:rFonts w:hint="eastAsia" w:ascii="仿宋" w:hAnsi="仿宋" w:eastAsia="仿宋" w:cs="仿宋"/>
                <w:sz w:val="24"/>
              </w:rPr>
              <w:t>30</w:t>
            </w:r>
          </w:p>
        </w:tc>
        <w:tc>
          <w:tcPr>
            <w:tcW w:w="8151" w:type="dxa"/>
            <w:vAlign w:val="center"/>
          </w:tcPr>
          <w:p w14:paraId="55D9D247">
            <w:pPr>
              <w:spacing w:line="360" w:lineRule="auto"/>
              <w:rPr>
                <w:rFonts w:hint="eastAsia" w:ascii="仿宋" w:hAnsi="仿宋" w:eastAsia="仿宋" w:cs="仿宋"/>
                <w:sz w:val="24"/>
              </w:rPr>
            </w:pPr>
            <w:r>
              <w:rPr>
                <w:rFonts w:hint="eastAsia" w:ascii="Times New Roman" w:hAnsi="Times New Roman" w:eastAsia="仿宋_GB2312"/>
                <w:sz w:val="24"/>
                <w:szCs w:val="24"/>
              </w:rPr>
              <w:t>根据</w:t>
            </w:r>
            <w:r>
              <w:rPr>
                <w:rFonts w:hint="eastAsia" w:ascii="仿宋" w:hAnsi="仿宋" w:eastAsia="仿宋" w:cs="仿宋"/>
                <w:sz w:val="24"/>
              </w:rPr>
              <w:t>供应商</w:t>
            </w:r>
            <w:r>
              <w:rPr>
                <w:rFonts w:hint="eastAsia" w:ascii="Times New Roman" w:hAnsi="Times New Roman" w:eastAsia="仿宋_GB2312"/>
                <w:sz w:val="24"/>
                <w:szCs w:val="24"/>
              </w:rPr>
              <w:t>针对磋商文件“厦门市环境空气非甲烷总烃自动监测站运维服务采购内容说明”中“三、运维要求”的逐项响应情况进行评分，若有一项不满足扣1分，扣完为止（满分30分）。</w:t>
            </w:r>
          </w:p>
        </w:tc>
      </w:tr>
      <w:tr w14:paraId="0F7377D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96" w:type="dxa"/>
            <w:vAlign w:val="center"/>
          </w:tcPr>
          <w:p w14:paraId="6585D8FE">
            <w:pPr>
              <w:widowControl/>
              <w:spacing w:line="360" w:lineRule="auto"/>
              <w:jc w:val="center"/>
              <w:rPr>
                <w:rFonts w:hint="eastAsia" w:ascii="仿宋" w:hAnsi="仿宋" w:eastAsia="仿宋" w:cs="仿宋"/>
                <w:sz w:val="24"/>
              </w:rPr>
            </w:pPr>
            <w:r>
              <w:rPr>
                <w:rFonts w:hint="eastAsia" w:ascii="仿宋" w:hAnsi="仿宋" w:eastAsia="仿宋" w:cs="仿宋"/>
                <w:sz w:val="24"/>
              </w:rPr>
              <w:t>1-2</w:t>
            </w:r>
          </w:p>
        </w:tc>
        <w:tc>
          <w:tcPr>
            <w:tcW w:w="926" w:type="dxa"/>
            <w:vAlign w:val="center"/>
          </w:tcPr>
          <w:p w14:paraId="7C85007A">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8151" w:type="dxa"/>
            <w:vAlign w:val="center"/>
          </w:tcPr>
          <w:p w14:paraId="0F3195C3">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根据</w:t>
            </w:r>
            <w:r>
              <w:rPr>
                <w:rFonts w:hint="eastAsia" w:ascii="仿宋" w:hAnsi="仿宋" w:eastAsia="仿宋" w:cs="仿宋"/>
                <w:sz w:val="24"/>
              </w:rPr>
              <w:t>供应商</w:t>
            </w:r>
            <w:r>
              <w:rPr>
                <w:rFonts w:hint="eastAsia" w:ascii="Times New Roman" w:hAnsi="Times New Roman" w:eastAsia="仿宋_GB2312"/>
                <w:sz w:val="24"/>
                <w:szCs w:val="24"/>
              </w:rPr>
              <w:t>针对项目制定的工作计划安排进行评议并打分：</w:t>
            </w:r>
          </w:p>
          <w:p w14:paraId="21A8FE31">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①工作计划安排全面、重点突出、分工明确、科学可行的得3分；</w:t>
            </w:r>
          </w:p>
          <w:p w14:paraId="485CD835">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②工作计划安排较完整，但总体内容可行、适用、科学合理的得2分；</w:t>
            </w:r>
          </w:p>
          <w:p w14:paraId="3A888869">
            <w:pPr>
              <w:spacing w:line="360" w:lineRule="auto"/>
              <w:rPr>
                <w:rFonts w:hint="eastAsia" w:ascii="仿宋" w:hAnsi="仿宋" w:eastAsia="仿宋" w:cs="仿宋"/>
                <w:sz w:val="24"/>
              </w:rPr>
            </w:pPr>
            <w:r>
              <w:rPr>
                <w:rFonts w:hint="eastAsia" w:ascii="Times New Roman" w:hAnsi="Times New Roman" w:eastAsia="仿宋_GB2312"/>
                <w:sz w:val="24"/>
                <w:szCs w:val="24"/>
              </w:rPr>
              <w:t>③工作计划安排过于简单的和未提供工作计划安排的不得分。</w:t>
            </w:r>
          </w:p>
        </w:tc>
      </w:tr>
      <w:tr w14:paraId="64FC814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96" w:type="dxa"/>
            <w:vAlign w:val="center"/>
          </w:tcPr>
          <w:p w14:paraId="5D56DD09">
            <w:pPr>
              <w:widowControl/>
              <w:spacing w:line="360" w:lineRule="auto"/>
              <w:jc w:val="center"/>
              <w:rPr>
                <w:rFonts w:hint="eastAsia" w:ascii="仿宋" w:hAnsi="仿宋" w:eastAsia="仿宋" w:cs="仿宋"/>
                <w:sz w:val="24"/>
              </w:rPr>
            </w:pPr>
            <w:r>
              <w:rPr>
                <w:rFonts w:hint="eastAsia" w:ascii="仿宋" w:hAnsi="仿宋" w:eastAsia="仿宋" w:cs="仿宋"/>
                <w:sz w:val="24"/>
              </w:rPr>
              <w:t>1-3</w:t>
            </w:r>
          </w:p>
        </w:tc>
        <w:tc>
          <w:tcPr>
            <w:tcW w:w="926" w:type="dxa"/>
            <w:vAlign w:val="center"/>
          </w:tcPr>
          <w:p w14:paraId="4591AB1D">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8151" w:type="dxa"/>
            <w:vAlign w:val="center"/>
          </w:tcPr>
          <w:p w14:paraId="2ABCF01E">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根据供应商针对本项目提出的问题解决方案（包括但不限于①运维过程中发生的问题拟采取的措施；②对运维过程中可能发生的疑难问题分析到位且针对性解决方案）进行评分：</w:t>
            </w:r>
          </w:p>
          <w:p w14:paraId="66C97B2E">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方案内容全面，应对措施可靠、合理的得3分；</w:t>
            </w:r>
          </w:p>
          <w:p w14:paraId="5C3F4989">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方案包含以上所有内容但存在部分不适用的得2分；</w:t>
            </w:r>
          </w:p>
          <w:p w14:paraId="7D2A491B">
            <w:pPr>
              <w:spacing w:line="360" w:lineRule="auto"/>
              <w:rPr>
                <w:rFonts w:hint="eastAsia" w:ascii="仿宋" w:hAnsi="仿宋" w:eastAsia="仿宋" w:cs="仿宋"/>
                <w:sz w:val="24"/>
              </w:rPr>
            </w:pPr>
            <w:r>
              <w:rPr>
                <w:rFonts w:hint="eastAsia" w:ascii="Times New Roman" w:hAnsi="Times New Roman" w:eastAsia="仿宋_GB2312"/>
                <w:sz w:val="24"/>
                <w:szCs w:val="24"/>
              </w:rPr>
              <w:t>其余不得分。</w:t>
            </w:r>
          </w:p>
        </w:tc>
      </w:tr>
      <w:tr w14:paraId="6ECDC4C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696" w:type="dxa"/>
            <w:vAlign w:val="center"/>
          </w:tcPr>
          <w:p w14:paraId="06422523">
            <w:pPr>
              <w:widowControl/>
              <w:spacing w:line="360" w:lineRule="auto"/>
              <w:jc w:val="center"/>
              <w:rPr>
                <w:rFonts w:hint="eastAsia" w:ascii="仿宋" w:hAnsi="仿宋" w:eastAsia="仿宋" w:cs="仿宋"/>
                <w:sz w:val="24"/>
              </w:rPr>
            </w:pPr>
            <w:r>
              <w:rPr>
                <w:rFonts w:hint="eastAsia" w:ascii="仿宋" w:hAnsi="仿宋" w:eastAsia="仿宋" w:cs="仿宋"/>
                <w:sz w:val="24"/>
              </w:rPr>
              <w:t>1-4</w:t>
            </w:r>
          </w:p>
        </w:tc>
        <w:tc>
          <w:tcPr>
            <w:tcW w:w="926" w:type="dxa"/>
            <w:vAlign w:val="center"/>
          </w:tcPr>
          <w:p w14:paraId="7C00B2AF">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8151" w:type="dxa"/>
            <w:vAlign w:val="center"/>
          </w:tcPr>
          <w:p w14:paraId="2F56F998">
            <w:pPr>
              <w:widowControl/>
              <w:spacing w:line="360" w:lineRule="exact"/>
              <w:jc w:val="left"/>
              <w:rPr>
                <w:rFonts w:ascii="Times New Roman" w:hAnsi="Times New Roman" w:eastAsia="仿宋_GB2312"/>
                <w:sz w:val="24"/>
                <w:szCs w:val="24"/>
              </w:rPr>
            </w:pPr>
            <w:r>
              <w:rPr>
                <w:rFonts w:hint="eastAsia" w:ascii="仿宋" w:hAnsi="仿宋" w:eastAsia="仿宋" w:cs="仿宋"/>
                <w:sz w:val="24"/>
              </w:rPr>
              <w:t>供应商</w:t>
            </w:r>
            <w:r>
              <w:rPr>
                <w:rFonts w:hint="eastAsia" w:ascii="Times New Roman" w:hAnsi="Times New Roman" w:eastAsia="仿宋_GB2312"/>
                <w:sz w:val="24"/>
                <w:szCs w:val="24"/>
              </w:rPr>
              <w:t>拟配备的项目运维成员具有中国环境监测总站颁发的与项目相关的运维证书加3分。</w:t>
            </w:r>
          </w:p>
          <w:p w14:paraId="3F43A96F">
            <w:pPr>
              <w:spacing w:line="360" w:lineRule="auto"/>
              <w:rPr>
                <w:rFonts w:hint="eastAsia" w:ascii="仿宋" w:hAnsi="仿宋" w:eastAsia="仿宋" w:cs="仿宋"/>
                <w:sz w:val="24"/>
              </w:rPr>
            </w:pPr>
            <w:r>
              <w:rPr>
                <w:rFonts w:hint="eastAsia" w:ascii="Times New Roman" w:hAnsi="Times New Roman" w:eastAsia="仿宋_GB2312"/>
                <w:sz w:val="24"/>
                <w:szCs w:val="24"/>
              </w:rPr>
              <w:t>须提供身份证、证书，上述证明材料须提供复印件并加盖</w:t>
            </w:r>
            <w:r>
              <w:rPr>
                <w:rFonts w:hint="eastAsia" w:ascii="仿宋" w:hAnsi="仿宋" w:eastAsia="仿宋" w:cs="仿宋"/>
                <w:sz w:val="24"/>
              </w:rPr>
              <w:t>供应商</w:t>
            </w:r>
            <w:r>
              <w:rPr>
                <w:rFonts w:hint="eastAsia" w:ascii="Times New Roman" w:hAnsi="Times New Roman" w:eastAsia="仿宋_GB2312"/>
                <w:sz w:val="24"/>
                <w:szCs w:val="24"/>
              </w:rPr>
              <w:t>公章，未提供相关证明材料或提供不全的不得分。</w:t>
            </w:r>
          </w:p>
        </w:tc>
      </w:tr>
      <w:tr w14:paraId="19577C9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70" w:hRule="atLeast"/>
          <w:jc w:val="center"/>
        </w:trPr>
        <w:tc>
          <w:tcPr>
            <w:tcW w:w="696" w:type="dxa"/>
            <w:vAlign w:val="center"/>
          </w:tcPr>
          <w:p w14:paraId="1E0BAF43">
            <w:pPr>
              <w:widowControl/>
              <w:spacing w:line="360" w:lineRule="auto"/>
              <w:jc w:val="center"/>
              <w:rPr>
                <w:rFonts w:hint="eastAsia" w:ascii="仿宋" w:hAnsi="仿宋" w:eastAsia="仿宋" w:cs="仿宋"/>
                <w:sz w:val="24"/>
                <w:szCs w:val="24"/>
              </w:rPr>
            </w:pPr>
            <w:r>
              <w:rPr>
                <w:rFonts w:hint="eastAsia" w:ascii="仿宋" w:hAnsi="仿宋" w:eastAsia="仿宋" w:cs="仿宋"/>
                <w:sz w:val="24"/>
              </w:rPr>
              <w:t>1-5</w:t>
            </w:r>
          </w:p>
        </w:tc>
        <w:tc>
          <w:tcPr>
            <w:tcW w:w="926" w:type="dxa"/>
            <w:vAlign w:val="center"/>
          </w:tcPr>
          <w:p w14:paraId="4667192D">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8151" w:type="dxa"/>
            <w:vAlign w:val="center"/>
          </w:tcPr>
          <w:p w14:paraId="367D8896">
            <w:pPr>
              <w:spacing w:line="360" w:lineRule="auto"/>
              <w:rPr>
                <w:rFonts w:hint="eastAsia" w:ascii="仿宋" w:hAnsi="仿宋" w:eastAsia="仿宋" w:cs="仿宋"/>
                <w:sz w:val="24"/>
              </w:rPr>
            </w:pPr>
            <w:r>
              <w:rPr>
                <w:rFonts w:hint="eastAsia" w:ascii="仿宋" w:hAnsi="仿宋" w:eastAsia="仿宋" w:cs="仿宋"/>
                <w:sz w:val="24"/>
              </w:rPr>
              <w:t>供应商</w:t>
            </w:r>
            <w:r>
              <w:rPr>
                <w:rFonts w:hint="eastAsia" w:ascii="Times New Roman" w:hAnsi="Times New Roman" w:eastAsia="仿宋_GB2312"/>
                <w:sz w:val="24"/>
                <w:szCs w:val="24"/>
              </w:rPr>
              <w:t>承诺在合同签订后并于2025年7月31日前跟原运维完成交接得3分，未能承诺不得分。（</w:t>
            </w:r>
            <w:r>
              <w:rPr>
                <w:rFonts w:hint="eastAsia" w:ascii="仿宋" w:hAnsi="仿宋" w:eastAsia="仿宋" w:cs="仿宋"/>
                <w:sz w:val="24"/>
              </w:rPr>
              <w:t>供应商</w:t>
            </w:r>
            <w:r>
              <w:rPr>
                <w:rFonts w:hint="eastAsia" w:ascii="Times New Roman" w:hAnsi="Times New Roman" w:eastAsia="仿宋_GB2312"/>
                <w:sz w:val="24"/>
                <w:szCs w:val="24"/>
              </w:rPr>
              <w:t>须提供承诺书，格式自拟）</w:t>
            </w:r>
          </w:p>
        </w:tc>
      </w:tr>
      <w:tr w14:paraId="24530CA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96" w:type="dxa"/>
            <w:vAlign w:val="center"/>
          </w:tcPr>
          <w:p w14:paraId="4C58D42B">
            <w:pPr>
              <w:widowControl/>
              <w:spacing w:line="360" w:lineRule="auto"/>
              <w:jc w:val="center"/>
              <w:rPr>
                <w:rFonts w:hint="eastAsia" w:ascii="仿宋" w:hAnsi="仿宋" w:eastAsia="仿宋" w:cs="仿宋"/>
                <w:sz w:val="24"/>
                <w:szCs w:val="24"/>
              </w:rPr>
            </w:pPr>
            <w:r>
              <w:rPr>
                <w:rFonts w:hint="eastAsia" w:ascii="仿宋" w:hAnsi="仿宋" w:eastAsia="仿宋" w:cs="仿宋"/>
                <w:sz w:val="24"/>
              </w:rPr>
              <w:t>1-6</w:t>
            </w:r>
          </w:p>
        </w:tc>
        <w:tc>
          <w:tcPr>
            <w:tcW w:w="926" w:type="dxa"/>
            <w:vAlign w:val="center"/>
          </w:tcPr>
          <w:p w14:paraId="0A5E0091">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8151" w:type="dxa"/>
            <w:vAlign w:val="center"/>
          </w:tcPr>
          <w:p w14:paraId="4DE2FC71">
            <w:pPr>
              <w:spacing w:line="360" w:lineRule="auto"/>
              <w:rPr>
                <w:rFonts w:hint="eastAsia" w:ascii="仿宋" w:hAnsi="仿宋" w:eastAsia="仿宋" w:cs="仿宋"/>
                <w:sz w:val="24"/>
              </w:rPr>
            </w:pPr>
            <w:r>
              <w:rPr>
                <w:rFonts w:hint="eastAsia" w:ascii="Times New Roman" w:hAnsi="Times New Roman" w:eastAsia="仿宋_GB2312"/>
                <w:sz w:val="24"/>
                <w:szCs w:val="24"/>
              </w:rPr>
              <w:t>仪器发生故障或站点数据异常时，成交供应商需6小时内现场响应，提供2小时内现场响应承诺得3分，提供4小时内现场响应承诺得2分，提供6小时内响应承诺得1分，未能承诺不得分。（供应商须提供承诺书，格式自拟）</w:t>
            </w:r>
          </w:p>
        </w:tc>
      </w:tr>
    </w:tbl>
    <w:p w14:paraId="23CA5877">
      <w:pPr>
        <w:spacing w:line="360" w:lineRule="auto"/>
        <w:ind w:firstLine="482" w:firstLineChars="200"/>
        <w:jc w:val="left"/>
        <w:rPr>
          <w:rFonts w:hint="eastAsia" w:ascii="仿宋" w:hAnsi="仿宋" w:eastAsia="仿宋" w:cs="仿宋"/>
          <w:b/>
          <w:bCs/>
          <w:sz w:val="24"/>
        </w:rPr>
      </w:pPr>
      <w:r>
        <w:rPr>
          <w:rFonts w:hint="eastAsia" w:ascii="仿宋" w:hAnsi="仿宋" w:eastAsia="仿宋" w:cs="仿宋"/>
          <w:b/>
          <w:bCs/>
          <w:sz w:val="24"/>
        </w:rPr>
        <w:t>商务部分评分F3          满分</w:t>
      </w:r>
      <w:r>
        <w:rPr>
          <w:rFonts w:hint="eastAsia" w:ascii="仿宋" w:hAnsi="仿宋" w:eastAsia="仿宋" w:cs="仿宋"/>
          <w:b/>
          <w:bCs/>
          <w:sz w:val="24"/>
          <w:u w:val="single"/>
        </w:rPr>
        <w:t>25</w:t>
      </w:r>
      <w:r>
        <w:rPr>
          <w:rFonts w:hint="eastAsia" w:ascii="仿宋" w:hAnsi="仿宋" w:eastAsia="仿宋" w:cs="仿宋"/>
          <w:b/>
          <w:bCs/>
          <w:sz w:val="24"/>
        </w:rPr>
        <w:t>分</w:t>
      </w:r>
    </w:p>
    <w:tbl>
      <w:tblPr>
        <w:tblStyle w:val="11"/>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0"/>
        <w:gridCol w:w="754"/>
        <w:gridCol w:w="7098"/>
      </w:tblGrid>
      <w:tr w14:paraId="0EE5D08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709" w:type="dxa"/>
            <w:vAlign w:val="center"/>
          </w:tcPr>
          <w:p w14:paraId="6D6255B5">
            <w:pPr>
              <w:spacing w:line="360" w:lineRule="auto"/>
              <w:jc w:val="center"/>
              <w:rPr>
                <w:rFonts w:hint="eastAsia" w:ascii="仿宋" w:hAnsi="仿宋" w:eastAsia="仿宋" w:cs="仿宋"/>
                <w:sz w:val="24"/>
              </w:rPr>
            </w:pPr>
            <w:r>
              <w:rPr>
                <w:rFonts w:hint="eastAsia" w:ascii="仿宋" w:hAnsi="仿宋" w:eastAsia="仿宋" w:cs="仿宋"/>
                <w:sz w:val="24"/>
              </w:rPr>
              <w:t>评标项目</w:t>
            </w:r>
          </w:p>
        </w:tc>
        <w:tc>
          <w:tcPr>
            <w:tcW w:w="809" w:type="dxa"/>
            <w:vAlign w:val="center"/>
          </w:tcPr>
          <w:p w14:paraId="3F392831">
            <w:pPr>
              <w:spacing w:line="360" w:lineRule="auto"/>
              <w:jc w:val="center"/>
              <w:rPr>
                <w:rFonts w:hint="eastAsia" w:ascii="仿宋" w:hAnsi="仿宋" w:eastAsia="仿宋" w:cs="仿宋"/>
                <w:sz w:val="24"/>
              </w:rPr>
            </w:pPr>
            <w:r>
              <w:rPr>
                <w:rFonts w:hint="eastAsia" w:ascii="仿宋" w:hAnsi="仿宋" w:eastAsia="仿宋" w:cs="仿宋"/>
                <w:sz w:val="24"/>
              </w:rPr>
              <w:t>评标分值</w:t>
            </w:r>
          </w:p>
        </w:tc>
        <w:tc>
          <w:tcPr>
            <w:tcW w:w="8227" w:type="dxa"/>
            <w:vAlign w:val="center"/>
          </w:tcPr>
          <w:p w14:paraId="23DFD906">
            <w:pPr>
              <w:spacing w:line="360" w:lineRule="auto"/>
              <w:jc w:val="center"/>
              <w:rPr>
                <w:rFonts w:hint="eastAsia" w:ascii="仿宋" w:hAnsi="仿宋" w:eastAsia="仿宋" w:cs="仿宋"/>
                <w:sz w:val="24"/>
              </w:rPr>
            </w:pPr>
            <w:r>
              <w:rPr>
                <w:rFonts w:hint="eastAsia" w:ascii="仿宋" w:hAnsi="仿宋" w:eastAsia="仿宋" w:cs="仿宋"/>
                <w:sz w:val="24"/>
              </w:rPr>
              <w:t>评标方法描述</w:t>
            </w:r>
          </w:p>
        </w:tc>
      </w:tr>
      <w:tr w14:paraId="476A6B5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709" w:type="dxa"/>
            <w:vAlign w:val="center"/>
          </w:tcPr>
          <w:p w14:paraId="409420BF">
            <w:pPr>
              <w:widowControl/>
              <w:spacing w:line="400" w:lineRule="exact"/>
              <w:jc w:val="center"/>
              <w:rPr>
                <w:rFonts w:hint="eastAsia" w:ascii="仿宋" w:hAnsi="仿宋" w:eastAsia="仿宋" w:cs="仿宋"/>
                <w:sz w:val="24"/>
              </w:rPr>
            </w:pPr>
            <w:r>
              <w:rPr>
                <w:rFonts w:hint="eastAsia" w:ascii="仿宋" w:hAnsi="仿宋" w:eastAsia="仿宋" w:cs="仿宋"/>
                <w:sz w:val="24"/>
              </w:rPr>
              <w:t>2-1</w:t>
            </w:r>
          </w:p>
        </w:tc>
        <w:tc>
          <w:tcPr>
            <w:tcW w:w="809" w:type="dxa"/>
            <w:vAlign w:val="center"/>
          </w:tcPr>
          <w:p w14:paraId="25BDD128">
            <w:pPr>
              <w:spacing w:line="360" w:lineRule="auto"/>
              <w:jc w:val="center"/>
              <w:rPr>
                <w:rFonts w:hint="eastAsia" w:ascii="仿宋" w:hAnsi="仿宋" w:eastAsia="仿宋" w:cs="仿宋"/>
                <w:sz w:val="24"/>
              </w:rPr>
            </w:pPr>
            <w:r>
              <w:rPr>
                <w:rFonts w:hint="eastAsia" w:ascii="仿宋" w:hAnsi="仿宋" w:eastAsia="仿宋" w:cs="仿宋"/>
                <w:sz w:val="24"/>
              </w:rPr>
              <w:t>5</w:t>
            </w:r>
          </w:p>
        </w:tc>
        <w:tc>
          <w:tcPr>
            <w:tcW w:w="8227" w:type="dxa"/>
          </w:tcPr>
          <w:p w14:paraId="25CEC285">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1、供应商具有有效的质量管理体系认证证书、环境管理体系认证证书每个得1分，满分2分。注：提供有效证书复印件并加盖投标人公章，未提供不得分。</w:t>
            </w:r>
          </w:p>
          <w:p w14:paraId="22656EC5">
            <w:pPr>
              <w:spacing w:line="360" w:lineRule="auto"/>
              <w:rPr>
                <w:rFonts w:hint="eastAsia" w:ascii="仿宋" w:hAnsi="仿宋" w:eastAsia="仿宋" w:cs="仿宋"/>
                <w:sz w:val="24"/>
              </w:rPr>
            </w:pPr>
            <w:r>
              <w:rPr>
                <w:rFonts w:hint="eastAsia" w:ascii="Times New Roman" w:hAnsi="Times New Roman" w:eastAsia="仿宋_GB2312"/>
                <w:sz w:val="24"/>
                <w:szCs w:val="24"/>
              </w:rPr>
              <w:t>2、供应商须承诺,供应商自身及其子公司自成立以来不存在受到监管类别降级、吊销资质或因质量问题引起责任赔偿、被法院判决败诉，或因问题被行政处罚，发生过爆炸、火灾、人员伤亡等恶性安全责任事故等情况，未受到相关政府部门的通报批评的,满足要求的得3分。（须对此作出书面承诺(承诺函格式自拟)并加盖供应商公章，未提供承诺书或虚假承诺的本项不得分。</w:t>
            </w:r>
          </w:p>
        </w:tc>
      </w:tr>
      <w:tr w14:paraId="0FE2ACF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0" w:type="auto"/>
            <w:vAlign w:val="center"/>
          </w:tcPr>
          <w:p w14:paraId="40AE0E23">
            <w:pPr>
              <w:widowControl/>
              <w:spacing w:line="400" w:lineRule="exact"/>
              <w:jc w:val="center"/>
              <w:rPr>
                <w:rFonts w:hint="eastAsia" w:ascii="仿宋" w:hAnsi="仿宋" w:eastAsia="仿宋" w:cs="仿宋"/>
                <w:sz w:val="24"/>
              </w:rPr>
            </w:pPr>
            <w:r>
              <w:rPr>
                <w:rFonts w:hint="eastAsia" w:ascii="仿宋" w:hAnsi="仿宋" w:eastAsia="仿宋" w:cs="仿宋"/>
                <w:sz w:val="24"/>
              </w:rPr>
              <w:t>2-2</w:t>
            </w:r>
          </w:p>
        </w:tc>
        <w:tc>
          <w:tcPr>
            <w:tcW w:w="809" w:type="dxa"/>
            <w:vAlign w:val="center"/>
          </w:tcPr>
          <w:p w14:paraId="444A5603">
            <w:pPr>
              <w:spacing w:line="360" w:lineRule="auto"/>
              <w:jc w:val="center"/>
              <w:rPr>
                <w:rFonts w:hint="eastAsia" w:ascii="仿宋" w:hAnsi="仿宋" w:eastAsia="仿宋" w:cs="仿宋"/>
                <w:sz w:val="24"/>
              </w:rPr>
            </w:pPr>
            <w:r>
              <w:rPr>
                <w:rFonts w:hint="eastAsia" w:ascii="仿宋" w:hAnsi="仿宋" w:eastAsia="仿宋" w:cs="仿宋"/>
                <w:sz w:val="24"/>
              </w:rPr>
              <w:t>6</w:t>
            </w:r>
          </w:p>
        </w:tc>
        <w:tc>
          <w:tcPr>
            <w:tcW w:w="8227" w:type="dxa"/>
          </w:tcPr>
          <w:p w14:paraId="0C10EC50">
            <w:pPr>
              <w:spacing w:line="360" w:lineRule="auto"/>
              <w:rPr>
                <w:rFonts w:ascii="Times New Roman" w:hAnsi="Times New Roman" w:eastAsia="仿宋_GB2312"/>
                <w:sz w:val="24"/>
                <w:szCs w:val="24"/>
              </w:rPr>
            </w:pPr>
            <w:r>
              <w:rPr>
                <w:rFonts w:hint="eastAsia" w:ascii="Times New Roman" w:hAnsi="Times New Roman" w:eastAsia="仿宋_GB2312"/>
                <w:sz w:val="24"/>
                <w:szCs w:val="24"/>
              </w:rPr>
              <w:t>供应商负责过非甲烷总烃自动监测站运维项目服务的每提供一个项目得2分，未负责过该类项目服务的不得分。满分6分。</w:t>
            </w:r>
          </w:p>
          <w:p w14:paraId="01AA7FF4">
            <w:pPr>
              <w:spacing w:line="360" w:lineRule="auto"/>
              <w:rPr>
                <w:rFonts w:hint="eastAsia" w:ascii="仿宋" w:hAnsi="仿宋" w:eastAsia="仿宋" w:cs="仿宋"/>
                <w:color w:val="FF0000"/>
                <w:sz w:val="24"/>
              </w:rPr>
            </w:pPr>
            <w:r>
              <w:rPr>
                <w:rFonts w:hint="eastAsia" w:ascii="Times New Roman" w:hAnsi="Times New Roman" w:eastAsia="仿宋_GB2312"/>
                <w:sz w:val="24"/>
                <w:szCs w:val="24"/>
              </w:rPr>
              <w:t>供应商提供业绩项目中标公告(提供相关网站中标公告的下载网页并注明网址)或中标通知书复印件或采购合同文本复印件上述证明材料须加盖供应商公章。</w:t>
            </w:r>
          </w:p>
        </w:tc>
      </w:tr>
      <w:tr w14:paraId="0AE257A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0" w:type="auto"/>
            <w:vAlign w:val="center"/>
          </w:tcPr>
          <w:p w14:paraId="590356C7">
            <w:pPr>
              <w:widowControl/>
              <w:spacing w:line="400" w:lineRule="exact"/>
              <w:jc w:val="center"/>
              <w:rPr>
                <w:rFonts w:hint="eastAsia" w:ascii="仿宋" w:hAnsi="仿宋" w:eastAsia="仿宋" w:cs="仿宋"/>
                <w:sz w:val="24"/>
              </w:rPr>
            </w:pPr>
            <w:r>
              <w:rPr>
                <w:rFonts w:hint="eastAsia" w:ascii="仿宋" w:hAnsi="仿宋" w:eastAsia="仿宋" w:cs="仿宋"/>
                <w:sz w:val="24"/>
              </w:rPr>
              <w:t>2-3</w:t>
            </w:r>
          </w:p>
        </w:tc>
        <w:tc>
          <w:tcPr>
            <w:tcW w:w="809" w:type="dxa"/>
            <w:vAlign w:val="center"/>
          </w:tcPr>
          <w:p w14:paraId="39DD5FFD">
            <w:pPr>
              <w:spacing w:line="360" w:lineRule="auto"/>
              <w:jc w:val="center"/>
              <w:rPr>
                <w:rFonts w:hint="eastAsia" w:ascii="仿宋" w:hAnsi="仿宋" w:eastAsia="仿宋" w:cs="仿宋"/>
                <w:sz w:val="24"/>
              </w:rPr>
            </w:pPr>
            <w:r>
              <w:rPr>
                <w:rFonts w:hint="eastAsia" w:ascii="仿宋" w:hAnsi="仿宋" w:eastAsia="仿宋" w:cs="仿宋"/>
                <w:sz w:val="24"/>
              </w:rPr>
              <w:t>6</w:t>
            </w:r>
          </w:p>
        </w:tc>
        <w:tc>
          <w:tcPr>
            <w:tcW w:w="8227" w:type="dxa"/>
          </w:tcPr>
          <w:p w14:paraId="6CEAE3C4">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根据</w:t>
            </w:r>
            <w:r>
              <w:rPr>
                <w:rFonts w:hint="eastAsia" w:ascii="仿宋" w:hAnsi="仿宋" w:eastAsia="仿宋" w:cs="仿宋"/>
                <w:sz w:val="24"/>
              </w:rPr>
              <w:t>供应商</w:t>
            </w:r>
            <w:r>
              <w:rPr>
                <w:rFonts w:hint="eastAsia" w:ascii="Times New Roman" w:hAnsi="Times New Roman" w:eastAsia="仿宋_GB2312"/>
                <w:sz w:val="24"/>
                <w:szCs w:val="24"/>
              </w:rPr>
              <w:t>提供的服务方案（包括但不限于是否设置客户服务机构、与客户沟通交流渠道是否方便、畅通、客户服务机构回应是否及时、应急处理能力、服务水平、对投诉和抱怨的处理客户是否满意，是否允许客户到现场监督检查情况）由评委进行评分（满分3分）：</w:t>
            </w:r>
          </w:p>
          <w:p w14:paraId="294EC4E0">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1.方案全面、完整、详细、可行性强的得6分；</w:t>
            </w:r>
          </w:p>
          <w:p w14:paraId="36FCCAFB">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2.方案较全面完整详细、可行性较强的得4分；</w:t>
            </w:r>
          </w:p>
          <w:p w14:paraId="5B699F6A">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3.方案基本详细、可行性一般的得2分；</w:t>
            </w:r>
          </w:p>
          <w:p w14:paraId="69DD77AC">
            <w:pPr>
              <w:spacing w:line="360" w:lineRule="auto"/>
              <w:rPr>
                <w:rFonts w:hint="eastAsia" w:ascii="仿宋" w:hAnsi="仿宋" w:eastAsia="仿宋" w:cs="仿宋"/>
                <w:sz w:val="24"/>
              </w:rPr>
            </w:pPr>
            <w:r>
              <w:rPr>
                <w:rFonts w:hint="eastAsia" w:ascii="Times New Roman" w:hAnsi="Times New Roman" w:eastAsia="仿宋_GB2312"/>
                <w:sz w:val="24"/>
                <w:szCs w:val="24"/>
              </w:rPr>
              <w:t>4.未提供不得分。</w:t>
            </w:r>
          </w:p>
        </w:tc>
      </w:tr>
      <w:tr w14:paraId="2B78B0D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0" w:type="auto"/>
            <w:vAlign w:val="center"/>
          </w:tcPr>
          <w:p w14:paraId="41F522AF">
            <w:pPr>
              <w:widowControl/>
              <w:spacing w:line="400" w:lineRule="exact"/>
              <w:jc w:val="center"/>
              <w:rPr>
                <w:rFonts w:hint="eastAsia" w:ascii="仿宋" w:hAnsi="仿宋" w:eastAsia="仿宋" w:cs="仿宋"/>
                <w:sz w:val="24"/>
              </w:rPr>
            </w:pPr>
            <w:r>
              <w:rPr>
                <w:rFonts w:hint="eastAsia" w:ascii="仿宋" w:hAnsi="仿宋" w:eastAsia="仿宋" w:cs="仿宋"/>
                <w:sz w:val="24"/>
              </w:rPr>
              <w:t>2-4</w:t>
            </w:r>
          </w:p>
        </w:tc>
        <w:tc>
          <w:tcPr>
            <w:tcW w:w="809" w:type="dxa"/>
            <w:vAlign w:val="center"/>
          </w:tcPr>
          <w:p w14:paraId="5BD077A8">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8227" w:type="dxa"/>
          </w:tcPr>
          <w:p w14:paraId="57DE1032">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根据</w:t>
            </w:r>
            <w:r>
              <w:rPr>
                <w:rFonts w:hint="eastAsia" w:ascii="仿宋" w:hAnsi="仿宋" w:eastAsia="仿宋" w:cs="仿宋"/>
                <w:sz w:val="24"/>
              </w:rPr>
              <w:t>供应商</w:t>
            </w:r>
            <w:r>
              <w:rPr>
                <w:rFonts w:hint="eastAsia" w:ascii="Times New Roman" w:hAnsi="Times New Roman" w:eastAsia="仿宋_GB2312"/>
                <w:sz w:val="24"/>
                <w:szCs w:val="24"/>
              </w:rPr>
              <w:t>所提供的响应文件是否能正确回应磋商文件要求、内容是否明确、条理是否清晰、提供资料是否齐全、文字综合表述能力等情况，由评委进行横向评议并在0-3分之间评分（满分3分）；</w:t>
            </w:r>
          </w:p>
          <w:p w14:paraId="791CF4D5">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1.响应文件方案全面、完整、详细、可行性强、提供资料齐全、文字综合表述能力清楚的得3分；</w:t>
            </w:r>
          </w:p>
          <w:p w14:paraId="6ACC9B47">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2.方案较全面完整详细、可行性较强、提供资料较齐全、文字综合表述能力较清楚的得2分；</w:t>
            </w:r>
          </w:p>
          <w:p w14:paraId="5CA26D97">
            <w:pPr>
              <w:widowControl/>
              <w:spacing w:line="360" w:lineRule="exact"/>
              <w:jc w:val="left"/>
              <w:rPr>
                <w:rFonts w:ascii="Times New Roman" w:hAnsi="Times New Roman" w:eastAsia="仿宋_GB2312"/>
                <w:sz w:val="24"/>
                <w:szCs w:val="24"/>
              </w:rPr>
            </w:pPr>
            <w:r>
              <w:rPr>
                <w:rFonts w:hint="eastAsia" w:ascii="Times New Roman" w:hAnsi="Times New Roman" w:eastAsia="仿宋_GB2312"/>
                <w:sz w:val="24"/>
                <w:szCs w:val="24"/>
              </w:rPr>
              <w:t>3.方案基本详细、可行性一般全面完整详细、可行性较强、提供资料一般、文字综合表述能力一般的得1分；</w:t>
            </w:r>
          </w:p>
          <w:p w14:paraId="48CBAF38">
            <w:pPr>
              <w:spacing w:line="360" w:lineRule="auto"/>
              <w:rPr>
                <w:rFonts w:hint="eastAsia" w:ascii="仿宋" w:hAnsi="仿宋" w:eastAsia="仿宋" w:cs="仿宋"/>
                <w:sz w:val="24"/>
              </w:rPr>
            </w:pPr>
            <w:r>
              <w:rPr>
                <w:rFonts w:hint="eastAsia" w:ascii="Times New Roman" w:hAnsi="Times New Roman" w:eastAsia="仿宋_GB2312"/>
                <w:sz w:val="24"/>
                <w:szCs w:val="24"/>
              </w:rPr>
              <w:t>4.未提供不得分。</w:t>
            </w:r>
          </w:p>
        </w:tc>
      </w:tr>
      <w:tr w14:paraId="65D1DBE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0" w:type="auto"/>
            <w:vAlign w:val="center"/>
          </w:tcPr>
          <w:p w14:paraId="0D2ACF57">
            <w:pPr>
              <w:widowControl/>
              <w:spacing w:line="400" w:lineRule="exact"/>
              <w:jc w:val="center"/>
              <w:rPr>
                <w:rFonts w:hint="eastAsia" w:ascii="仿宋" w:hAnsi="仿宋" w:eastAsia="仿宋" w:cs="仿宋"/>
                <w:sz w:val="24"/>
              </w:rPr>
            </w:pPr>
            <w:r>
              <w:rPr>
                <w:rFonts w:hint="eastAsia" w:ascii="仿宋" w:hAnsi="仿宋" w:eastAsia="仿宋" w:cs="仿宋"/>
                <w:sz w:val="24"/>
              </w:rPr>
              <w:t>2-5</w:t>
            </w:r>
          </w:p>
        </w:tc>
        <w:tc>
          <w:tcPr>
            <w:tcW w:w="809" w:type="dxa"/>
            <w:vAlign w:val="center"/>
          </w:tcPr>
          <w:p w14:paraId="74D54B66">
            <w:pPr>
              <w:spacing w:line="360" w:lineRule="auto"/>
              <w:jc w:val="center"/>
              <w:rPr>
                <w:rFonts w:hint="eastAsia" w:ascii="仿宋" w:hAnsi="仿宋" w:eastAsia="仿宋" w:cs="仿宋"/>
                <w:sz w:val="24"/>
              </w:rPr>
            </w:pPr>
            <w:r>
              <w:rPr>
                <w:rFonts w:hint="eastAsia" w:ascii="仿宋" w:hAnsi="仿宋" w:eastAsia="仿宋" w:cs="仿宋"/>
                <w:sz w:val="24"/>
              </w:rPr>
              <w:t>5</w:t>
            </w:r>
          </w:p>
        </w:tc>
        <w:tc>
          <w:tcPr>
            <w:tcW w:w="8227" w:type="dxa"/>
          </w:tcPr>
          <w:p w14:paraId="0952B4E3">
            <w:pPr>
              <w:widowControl/>
              <w:spacing w:line="360" w:lineRule="auto"/>
              <w:textAlignment w:val="top"/>
              <w:rPr>
                <w:rFonts w:hint="eastAsia" w:ascii="仿宋" w:hAnsi="仿宋" w:eastAsia="仿宋" w:cs="仿宋"/>
                <w:sz w:val="24"/>
              </w:rPr>
            </w:pPr>
            <w:r>
              <w:rPr>
                <w:rFonts w:hint="eastAsia" w:ascii="Times New Roman" w:hAnsi="Times New Roman" w:eastAsia="仿宋_GB2312"/>
                <w:sz w:val="24"/>
                <w:szCs w:val="24"/>
              </w:rPr>
              <w:t>运维期间运维人员安全由成交供应商负责（供应商须提供承诺书，格式自拟）</w:t>
            </w:r>
          </w:p>
        </w:tc>
      </w:tr>
    </w:tbl>
    <w:p w14:paraId="66FF856C">
      <w:pPr>
        <w:widowControl/>
        <w:spacing w:line="360" w:lineRule="auto"/>
        <w:ind w:firstLine="0" w:firstLineChars="0"/>
        <w:jc w:val="left"/>
        <w:rPr>
          <w:rFonts w:hint="default" w:ascii="Calibri" w:hAnsi="Calibri" w:eastAsia="宋体" w:cs="Times New Roman"/>
          <w:sz w:val="24"/>
          <w:szCs w:val="24"/>
        </w:rPr>
      </w:pPr>
      <w:r>
        <w:rPr>
          <w:rFonts w:hint="default" w:ascii="Calibri" w:hAnsi="Calibri" w:eastAsia="宋体" w:cs="Times New Roman"/>
          <w:sz w:val="24"/>
          <w:szCs w:val="24"/>
        </w:rPr>
        <w:t>成交候选供应商排列规则顺序和并列相同时的处理约定如下：</w:t>
      </w:r>
    </w:p>
    <w:p w14:paraId="7FD53BF6">
      <w:pPr>
        <w:widowControl/>
        <w:spacing w:line="360" w:lineRule="auto"/>
        <w:ind w:firstLine="0" w:firstLineChars="0"/>
        <w:jc w:val="left"/>
        <w:rPr>
          <w:rFonts w:hint="default" w:ascii="Calibri" w:hAnsi="Calibri" w:eastAsia="宋体" w:cs="Times New Roman"/>
          <w:sz w:val="24"/>
          <w:szCs w:val="24"/>
        </w:rPr>
      </w:pPr>
      <w:r>
        <w:rPr>
          <w:rFonts w:hint="default" w:ascii="Calibri" w:hAnsi="Calibri" w:eastAsia="宋体" w:cs="Times New Roman"/>
          <w:sz w:val="24"/>
          <w:szCs w:val="24"/>
        </w:rPr>
        <w:t>a.成交候选供应商按照综合评审总得分（FA）由高到低顺序排列推荐。</w:t>
      </w:r>
    </w:p>
    <w:p w14:paraId="3E870CC6">
      <w:pPr>
        <w:widowControl/>
        <w:spacing w:line="360" w:lineRule="auto"/>
        <w:ind w:firstLine="0" w:firstLineChars="0"/>
        <w:jc w:val="left"/>
        <w:rPr>
          <w:rFonts w:hint="default" w:ascii="Calibri" w:hAnsi="Calibri" w:eastAsia="宋体" w:cs="Times New Roman"/>
          <w:sz w:val="24"/>
          <w:szCs w:val="24"/>
        </w:rPr>
      </w:pPr>
      <w:r>
        <w:rPr>
          <w:rFonts w:hint="default" w:ascii="Calibri" w:hAnsi="Calibri" w:eastAsia="宋体" w:cs="Times New Roman"/>
          <w:sz w:val="24"/>
          <w:szCs w:val="24"/>
        </w:rPr>
        <w:t>b.综合评审总得分（FA）相同的，按照经评审最后磋商报价由低到高顺序推荐。</w:t>
      </w:r>
    </w:p>
    <w:p w14:paraId="43DE64BA">
      <w:pPr>
        <w:widowControl/>
        <w:spacing w:line="360" w:lineRule="auto"/>
        <w:ind w:firstLine="0" w:firstLineChars="0"/>
        <w:jc w:val="left"/>
        <w:rPr>
          <w:rFonts w:hint="default" w:ascii="Calibri" w:hAnsi="Calibri" w:eastAsia="宋体" w:cs="Times New Roman"/>
          <w:sz w:val="24"/>
          <w:szCs w:val="24"/>
        </w:rPr>
      </w:pPr>
      <w:r>
        <w:rPr>
          <w:rFonts w:hint="default" w:ascii="Calibri" w:hAnsi="Calibri" w:eastAsia="宋体" w:cs="Times New Roman"/>
          <w:sz w:val="24"/>
          <w:szCs w:val="24"/>
        </w:rPr>
        <w:t>c.综合评审总得分（FA）且经评审最后磋商报价仍然相同的，按照技术指标优劣顺序推荐。</w:t>
      </w:r>
    </w:p>
    <w:p w14:paraId="27A8C256">
      <w:pPr>
        <w:spacing w:line="360" w:lineRule="auto"/>
        <w:ind w:firstLine="480" w:firstLineChars="200"/>
        <w:jc w:val="left"/>
        <w:rPr>
          <w:rFonts w:hint="eastAsia" w:ascii="仿宋" w:hAnsi="仿宋" w:eastAsia="仿宋" w:cs="仿宋"/>
          <w:sz w:val="24"/>
        </w:rPr>
      </w:pPr>
    </w:p>
    <w:p w14:paraId="36A06623">
      <w:pPr>
        <w:pStyle w:val="2"/>
        <w:rPr>
          <w:rFonts w:hint="eastAsia" w:ascii="仿宋" w:hAnsi="仿宋" w:eastAsia="仿宋" w:cs="仿宋"/>
          <w:sz w:val="24"/>
        </w:rPr>
      </w:pPr>
    </w:p>
    <w:p w14:paraId="2E155FAF">
      <w:pPr>
        <w:rPr>
          <w:rFonts w:hint="eastAsia" w:ascii="仿宋" w:hAnsi="仿宋" w:eastAsia="仿宋" w:cs="仿宋"/>
          <w:sz w:val="24"/>
        </w:rPr>
      </w:pPr>
    </w:p>
    <w:p w14:paraId="2186594C">
      <w:pPr>
        <w:pStyle w:val="2"/>
        <w:rPr>
          <w:rFonts w:hint="eastAsia" w:ascii="仿宋" w:hAnsi="仿宋" w:eastAsia="仿宋" w:cs="仿宋"/>
          <w:sz w:val="24"/>
        </w:rPr>
      </w:pPr>
    </w:p>
    <w:p w14:paraId="751F2CCC">
      <w:pPr>
        <w:rPr>
          <w:rFonts w:hint="eastAsia" w:ascii="仿宋" w:hAnsi="仿宋" w:eastAsia="仿宋" w:cs="仿宋"/>
          <w:sz w:val="24"/>
        </w:rPr>
      </w:pPr>
    </w:p>
    <w:p w14:paraId="1D974DF8">
      <w:pPr>
        <w:pStyle w:val="2"/>
        <w:rPr>
          <w:rFonts w:hint="eastAsia" w:ascii="仿宋" w:hAnsi="仿宋" w:eastAsia="仿宋" w:cs="仿宋"/>
          <w:sz w:val="24"/>
        </w:rPr>
      </w:pPr>
    </w:p>
    <w:p w14:paraId="02DC961B">
      <w:pPr>
        <w:rPr>
          <w:rFonts w:hint="eastAsia" w:ascii="仿宋" w:hAnsi="仿宋" w:eastAsia="仿宋" w:cs="仿宋"/>
          <w:sz w:val="24"/>
        </w:rPr>
      </w:pPr>
    </w:p>
    <w:p w14:paraId="4B00B359">
      <w:pPr>
        <w:pStyle w:val="2"/>
        <w:rPr>
          <w:rFonts w:hint="eastAsia" w:ascii="仿宋" w:hAnsi="仿宋" w:eastAsia="仿宋" w:cs="仿宋"/>
          <w:sz w:val="24"/>
        </w:rPr>
      </w:pPr>
    </w:p>
    <w:p w14:paraId="0B8BF188">
      <w:pPr>
        <w:rPr>
          <w:rFonts w:hint="eastAsia"/>
        </w:rPr>
      </w:pPr>
    </w:p>
    <w:p w14:paraId="2BB6F5CD">
      <w:pPr>
        <w:pStyle w:val="2"/>
      </w:pPr>
    </w:p>
    <w:p w14:paraId="4F4F0678">
      <w:pPr>
        <w:spacing w:line="360" w:lineRule="auto"/>
        <w:ind w:firstLine="560" w:firstLineChars="200"/>
        <w:jc w:val="left"/>
        <w:rPr>
          <w:rFonts w:hint="eastAsia" w:ascii="宋体" w:hAnsi="宋体" w:cs="仿宋"/>
          <w:color w:val="000000"/>
          <w:sz w:val="28"/>
          <w:szCs w:val="36"/>
        </w:rPr>
      </w:pPr>
    </w:p>
    <w:p w14:paraId="5B40531E">
      <w:pPr>
        <w:spacing w:line="360" w:lineRule="auto"/>
        <w:jc w:val="center"/>
        <w:rPr>
          <w:rFonts w:hint="eastAsia" w:ascii="宋体" w:hAnsi="宋体"/>
          <w:b/>
          <w:sz w:val="72"/>
        </w:rPr>
      </w:pPr>
      <w:r>
        <w:rPr>
          <w:rFonts w:hint="eastAsia" w:ascii="宋体" w:hAnsi="宋体"/>
          <w:b/>
          <w:sz w:val="72"/>
        </w:rPr>
        <w:t>报 价 文 件</w:t>
      </w:r>
    </w:p>
    <w:p w14:paraId="4132BBF7">
      <w:pPr>
        <w:spacing w:line="360" w:lineRule="auto"/>
        <w:jc w:val="center"/>
        <w:rPr>
          <w:rFonts w:hint="eastAsia" w:ascii="宋体" w:hAnsi="宋体"/>
          <w:b/>
          <w:sz w:val="36"/>
        </w:rPr>
      </w:pPr>
    </w:p>
    <w:p w14:paraId="03182AC8">
      <w:pPr>
        <w:spacing w:line="360" w:lineRule="auto"/>
        <w:jc w:val="center"/>
        <w:rPr>
          <w:rFonts w:hint="eastAsia" w:ascii="宋体" w:hAnsi="宋体"/>
          <w:b/>
          <w:sz w:val="36"/>
        </w:rPr>
      </w:pPr>
    </w:p>
    <w:p w14:paraId="2C38115F">
      <w:pPr>
        <w:spacing w:line="360" w:lineRule="auto"/>
        <w:jc w:val="center"/>
        <w:rPr>
          <w:rFonts w:hint="eastAsia" w:ascii="宋体" w:hAnsi="宋体"/>
          <w:b/>
          <w:sz w:val="36"/>
        </w:rPr>
      </w:pPr>
    </w:p>
    <w:p w14:paraId="0CAD70F7">
      <w:pPr>
        <w:spacing w:line="360" w:lineRule="auto"/>
        <w:ind w:left="3607" w:leftChars="513" w:hanging="2530" w:hangingChars="700"/>
        <w:jc w:val="left"/>
        <w:rPr>
          <w:rFonts w:hint="eastAsia" w:ascii="宋体" w:hAnsi="宋体"/>
          <w:b/>
          <w:sz w:val="36"/>
          <w:u w:val="single"/>
        </w:rPr>
      </w:pPr>
      <w:r>
        <w:rPr>
          <w:rFonts w:hint="eastAsia" w:ascii="宋体" w:hAnsi="宋体"/>
          <w:b/>
          <w:sz w:val="36"/>
        </w:rPr>
        <w:t>项 目 名 称：</w:t>
      </w:r>
      <w:r>
        <w:rPr>
          <w:rFonts w:hint="eastAsia" w:ascii="宋体" w:hAnsi="宋体"/>
          <w:b/>
          <w:sz w:val="36"/>
          <w:u w:val="single"/>
        </w:rPr>
        <w:t xml:space="preserve"> 厦门市环境空气非甲烷总烃 自动监测站运维服务采购</w:t>
      </w:r>
      <w:r>
        <w:rPr>
          <w:rFonts w:hint="eastAsia" w:ascii="宋体" w:hAnsi="宋体"/>
          <w:b/>
          <w:sz w:val="36"/>
        </w:rPr>
        <w:t xml:space="preserve"> </w:t>
      </w:r>
      <w:r>
        <w:rPr>
          <w:rFonts w:hint="eastAsia" w:ascii="宋体" w:hAnsi="宋体"/>
          <w:b/>
          <w:sz w:val="36"/>
          <w:u w:val="single"/>
        </w:rPr>
        <w:t xml:space="preserve">  </w:t>
      </w:r>
    </w:p>
    <w:p w14:paraId="3AEF1208">
      <w:pPr>
        <w:spacing w:line="360" w:lineRule="auto"/>
        <w:ind w:firstLine="1084" w:firstLineChars="300"/>
        <w:rPr>
          <w:rFonts w:hint="eastAsia" w:ascii="宋体" w:hAnsi="宋体"/>
          <w:b/>
          <w:sz w:val="36"/>
          <w:u w:val="single"/>
        </w:rPr>
      </w:pPr>
      <w:r>
        <w:rPr>
          <w:rFonts w:hint="eastAsia" w:ascii="宋体" w:hAnsi="宋体"/>
          <w:b/>
          <w:sz w:val="36"/>
        </w:rPr>
        <w:t>项 目 编 号：</w:t>
      </w:r>
      <w:r>
        <w:rPr>
          <w:rFonts w:hint="eastAsia" w:ascii="宋体" w:hAnsi="宋体"/>
          <w:b/>
          <w:sz w:val="36"/>
          <w:u w:val="single"/>
        </w:rPr>
        <w:t xml:space="preserve"> XMZXZ[YB]2025003 </w:t>
      </w:r>
    </w:p>
    <w:p w14:paraId="7F018C9C">
      <w:pPr>
        <w:spacing w:line="360" w:lineRule="auto"/>
        <w:rPr>
          <w:rFonts w:hint="eastAsia" w:ascii="宋体" w:hAnsi="宋体"/>
          <w:b/>
          <w:sz w:val="36"/>
        </w:rPr>
      </w:pPr>
    </w:p>
    <w:p w14:paraId="1709DEB1">
      <w:pPr>
        <w:spacing w:line="360" w:lineRule="auto"/>
        <w:rPr>
          <w:rFonts w:hint="eastAsia" w:ascii="宋体" w:hAnsi="宋体"/>
          <w:b/>
          <w:sz w:val="36"/>
        </w:rPr>
      </w:pPr>
    </w:p>
    <w:p w14:paraId="1BF258E6">
      <w:pPr>
        <w:spacing w:line="360" w:lineRule="auto"/>
        <w:rPr>
          <w:rFonts w:hint="eastAsia" w:ascii="宋体" w:hAnsi="宋体"/>
          <w:b/>
          <w:sz w:val="36"/>
        </w:rPr>
      </w:pPr>
    </w:p>
    <w:p w14:paraId="7C299EEE">
      <w:pPr>
        <w:spacing w:line="360" w:lineRule="auto"/>
        <w:rPr>
          <w:rFonts w:hint="eastAsia" w:ascii="宋体" w:hAnsi="宋体"/>
          <w:b/>
          <w:sz w:val="36"/>
        </w:rPr>
      </w:pPr>
    </w:p>
    <w:p w14:paraId="09EDB035">
      <w:pPr>
        <w:spacing w:line="360" w:lineRule="auto"/>
        <w:rPr>
          <w:rFonts w:hint="eastAsia" w:ascii="宋体" w:hAnsi="宋体"/>
          <w:b/>
          <w:sz w:val="36"/>
          <w:u w:val="single"/>
        </w:rPr>
      </w:pPr>
      <w:r>
        <w:rPr>
          <w:rFonts w:hint="eastAsia" w:ascii="宋体" w:hAnsi="宋体"/>
          <w:b/>
          <w:sz w:val="36"/>
        </w:rPr>
        <w:t xml:space="preserve">       供应商名称 ：</w:t>
      </w:r>
      <w:r>
        <w:rPr>
          <w:rFonts w:hint="eastAsia" w:ascii="宋体" w:hAnsi="宋体"/>
          <w:b/>
          <w:sz w:val="36"/>
          <w:u w:val="single"/>
        </w:rPr>
        <w:t xml:space="preserve">               </w:t>
      </w:r>
    </w:p>
    <w:p w14:paraId="5EDF70E8">
      <w:pPr>
        <w:spacing w:line="360" w:lineRule="auto"/>
        <w:rPr>
          <w:rFonts w:hint="eastAsia" w:ascii="宋体" w:hAnsi="宋体"/>
          <w:b/>
          <w:sz w:val="36"/>
        </w:rPr>
      </w:pPr>
      <w:r>
        <w:rPr>
          <w:rFonts w:hint="eastAsia" w:ascii="宋体" w:hAnsi="宋体"/>
          <w:b/>
          <w:sz w:val="36"/>
        </w:rPr>
        <w:t xml:space="preserve">       </w:t>
      </w:r>
    </w:p>
    <w:p w14:paraId="3C873A88">
      <w:pPr>
        <w:spacing w:line="360" w:lineRule="auto"/>
        <w:ind w:firstLine="1247" w:firstLineChars="345"/>
        <w:rPr>
          <w:rFonts w:hint="eastAsia" w:ascii="宋体" w:hAnsi="宋体"/>
          <w:b/>
          <w:sz w:val="36"/>
          <w:u w:val="single"/>
        </w:rPr>
      </w:pPr>
      <w:r>
        <w:rPr>
          <w:rFonts w:hint="eastAsia" w:ascii="宋体" w:hAnsi="宋体"/>
          <w:b/>
          <w:sz w:val="36"/>
        </w:rPr>
        <w:t>日      期 ：</w:t>
      </w:r>
      <w:r>
        <w:rPr>
          <w:rFonts w:hint="eastAsia" w:ascii="宋体" w:hAnsi="宋体"/>
          <w:b/>
          <w:sz w:val="36"/>
          <w:u w:val="single"/>
        </w:rPr>
        <w:t xml:space="preserve">               </w:t>
      </w:r>
    </w:p>
    <w:p w14:paraId="3426A020">
      <w:pPr>
        <w:ind w:firstLine="723" w:firstLineChars="200"/>
        <w:jc w:val="left"/>
        <w:rPr>
          <w:rFonts w:hint="eastAsia" w:ascii="宋体" w:hAnsi="宋体" w:cs="仿宋"/>
          <w:color w:val="000000"/>
          <w:sz w:val="28"/>
          <w:szCs w:val="28"/>
        </w:rPr>
      </w:pPr>
      <w:r>
        <w:rPr>
          <w:rFonts w:ascii="宋体" w:hAnsi="宋体"/>
          <w:b/>
          <w:sz w:val="36"/>
          <w:u w:val="single"/>
        </w:rPr>
        <w:br w:type="page"/>
      </w:r>
    </w:p>
    <w:p w14:paraId="7CFEEE95">
      <w:pPr>
        <w:spacing w:line="360" w:lineRule="auto"/>
        <w:jc w:val="center"/>
        <w:rPr>
          <w:rFonts w:hint="eastAsia" w:hAnsi="宋体"/>
          <w:b/>
          <w:bCs/>
          <w:sz w:val="32"/>
        </w:rPr>
      </w:pPr>
      <w:r>
        <w:rPr>
          <w:rFonts w:hAnsi="宋体"/>
          <w:b/>
          <w:bCs/>
          <w:sz w:val="32"/>
        </w:rPr>
        <w:t>目    录</w:t>
      </w:r>
    </w:p>
    <w:p w14:paraId="40D88185">
      <w:pPr>
        <w:spacing w:line="360" w:lineRule="auto"/>
        <w:rPr>
          <w:rFonts w:hint="eastAsia" w:ascii="宋体" w:hAnsi="宋体"/>
          <w:sz w:val="24"/>
        </w:rPr>
      </w:pPr>
    </w:p>
    <w:p w14:paraId="2E014C8C">
      <w:pPr>
        <w:spacing w:line="360" w:lineRule="auto"/>
        <w:rPr>
          <w:rFonts w:hint="eastAsia" w:ascii="宋体" w:hAnsi="宋体"/>
          <w:sz w:val="24"/>
        </w:rPr>
      </w:pPr>
      <w:r>
        <w:rPr>
          <w:rFonts w:hint="eastAsia" w:ascii="宋体" w:hAnsi="宋体"/>
          <w:sz w:val="24"/>
        </w:rPr>
        <w:t>1、报价响应函、报价一览表</w:t>
      </w:r>
    </w:p>
    <w:p w14:paraId="003F20A8">
      <w:pPr>
        <w:spacing w:line="360" w:lineRule="auto"/>
        <w:rPr>
          <w:rFonts w:hint="eastAsia" w:ascii="宋体" w:hAnsi="宋体"/>
          <w:sz w:val="24"/>
        </w:rPr>
      </w:pPr>
      <w:r>
        <w:rPr>
          <w:rFonts w:hint="eastAsia" w:ascii="宋体" w:hAnsi="宋体"/>
          <w:sz w:val="24"/>
        </w:rPr>
        <w:t>2、法人营业执照复印件</w:t>
      </w:r>
    </w:p>
    <w:p w14:paraId="6A3B8F94">
      <w:pPr>
        <w:spacing w:line="360" w:lineRule="auto"/>
        <w:rPr>
          <w:rFonts w:hint="eastAsia" w:ascii="宋体" w:hAnsi="宋体"/>
          <w:sz w:val="24"/>
        </w:rPr>
      </w:pPr>
      <w:r>
        <w:rPr>
          <w:rFonts w:hint="eastAsia" w:ascii="宋体" w:hAnsi="宋体"/>
          <w:sz w:val="24"/>
        </w:rPr>
        <w:t>3、法人代表证明及法人身份证复印件</w:t>
      </w:r>
    </w:p>
    <w:p w14:paraId="2872C1FB">
      <w:pPr>
        <w:spacing w:line="360" w:lineRule="auto"/>
        <w:rPr>
          <w:rFonts w:hint="eastAsia" w:ascii="宋体" w:hAnsi="宋体"/>
          <w:sz w:val="24"/>
        </w:rPr>
      </w:pPr>
      <w:r>
        <w:rPr>
          <w:rFonts w:hint="eastAsia" w:ascii="宋体" w:hAnsi="宋体"/>
          <w:sz w:val="24"/>
        </w:rPr>
        <w:t>4、授权委托书及授权委托人身份证复印件</w:t>
      </w:r>
    </w:p>
    <w:p w14:paraId="5493EB9B">
      <w:pPr>
        <w:spacing w:line="360" w:lineRule="auto"/>
        <w:rPr>
          <w:rFonts w:hint="eastAsia" w:ascii="宋体" w:hAnsi="宋体"/>
          <w:sz w:val="24"/>
        </w:rPr>
      </w:pPr>
      <w:r>
        <w:rPr>
          <w:rFonts w:hint="eastAsia" w:ascii="宋体" w:hAnsi="宋体"/>
          <w:sz w:val="24"/>
        </w:rPr>
        <w:t>5、近三年内在经营活动中没有重大违法记录、无行贿犯罪记录的书面声明</w:t>
      </w:r>
    </w:p>
    <w:p w14:paraId="3D1A6913">
      <w:pPr>
        <w:spacing w:line="360" w:lineRule="auto"/>
        <w:rPr>
          <w:rFonts w:hint="eastAsia" w:ascii="宋体" w:hAnsi="宋体"/>
          <w:sz w:val="24"/>
        </w:rPr>
      </w:pPr>
      <w:r>
        <w:rPr>
          <w:rFonts w:hint="eastAsia" w:ascii="宋体" w:hAnsi="宋体"/>
          <w:sz w:val="24"/>
        </w:rPr>
        <w:t>6、承诺完整履行服务内容的承诺函（服务承诺书）</w:t>
      </w:r>
    </w:p>
    <w:p w14:paraId="23682403">
      <w:pPr>
        <w:spacing w:line="360" w:lineRule="auto"/>
        <w:rPr>
          <w:rFonts w:hint="eastAsia" w:ascii="宋体" w:hAnsi="宋体"/>
          <w:sz w:val="24"/>
        </w:rPr>
      </w:pPr>
    </w:p>
    <w:p w14:paraId="143BFE2A">
      <w:pPr>
        <w:spacing w:line="360" w:lineRule="auto"/>
        <w:rPr>
          <w:rFonts w:hint="eastAsia" w:ascii="宋体" w:hAnsi="宋体"/>
          <w:sz w:val="24"/>
        </w:rPr>
      </w:pPr>
    </w:p>
    <w:p w14:paraId="7B5BEFF3">
      <w:pPr>
        <w:spacing w:line="360" w:lineRule="auto"/>
        <w:rPr>
          <w:rFonts w:hint="eastAsia" w:ascii="宋体" w:hAnsi="宋体"/>
          <w:sz w:val="24"/>
        </w:rPr>
      </w:pPr>
    </w:p>
    <w:p w14:paraId="54EE5153">
      <w:pPr>
        <w:jc w:val="center"/>
        <w:rPr>
          <w:b/>
          <w:sz w:val="36"/>
          <w:szCs w:val="36"/>
        </w:rPr>
      </w:pPr>
      <w:r>
        <w:rPr>
          <w:b/>
          <w:sz w:val="36"/>
          <w:szCs w:val="36"/>
        </w:rPr>
        <w:br w:type="page"/>
      </w:r>
      <w:r>
        <w:rPr>
          <w:rFonts w:hint="eastAsia"/>
          <w:b/>
          <w:sz w:val="36"/>
          <w:szCs w:val="36"/>
        </w:rPr>
        <w:t>报价</w:t>
      </w:r>
      <w:r>
        <w:rPr>
          <w:b/>
          <w:sz w:val="36"/>
          <w:szCs w:val="36"/>
        </w:rPr>
        <w:t>响应函</w:t>
      </w:r>
    </w:p>
    <w:p w14:paraId="763C4582">
      <w:pPr>
        <w:spacing w:line="360" w:lineRule="auto"/>
        <w:rPr>
          <w:rFonts w:hint="eastAsia" w:ascii="宋体" w:hAnsi="宋体"/>
          <w:sz w:val="24"/>
          <w:szCs w:val="24"/>
        </w:rPr>
      </w:pPr>
      <w:r>
        <w:rPr>
          <w:rFonts w:hint="eastAsia" w:ascii="宋体" w:hAnsi="宋体"/>
          <w:sz w:val="24"/>
          <w:szCs w:val="24"/>
        </w:rPr>
        <w:t xml:space="preserve">致： </w:t>
      </w:r>
      <w:r>
        <w:rPr>
          <w:rFonts w:hint="eastAsia" w:ascii="宋体" w:hAnsi="宋体"/>
          <w:sz w:val="24"/>
          <w:szCs w:val="24"/>
          <w:u w:val="single"/>
        </w:rPr>
        <w:t>福建省厦门环境监测中心站</w:t>
      </w:r>
      <w:r>
        <w:rPr>
          <w:rFonts w:hint="eastAsia" w:ascii="宋体" w:hAnsi="宋体"/>
          <w:sz w:val="24"/>
          <w:szCs w:val="24"/>
        </w:rPr>
        <w:t xml:space="preserve"> </w:t>
      </w:r>
    </w:p>
    <w:p w14:paraId="6094A223">
      <w:pPr>
        <w:spacing w:line="360" w:lineRule="auto"/>
        <w:rPr>
          <w:rFonts w:hint="eastAsia" w:ascii="宋体" w:hAnsi="宋体"/>
          <w:sz w:val="24"/>
          <w:szCs w:val="24"/>
        </w:rPr>
      </w:pPr>
      <w:r>
        <w:rPr>
          <w:rFonts w:hint="eastAsia" w:ascii="宋体" w:hAnsi="宋体"/>
          <w:sz w:val="24"/>
          <w:szCs w:val="24"/>
        </w:rPr>
        <w:t xml:space="preserve">    根据贵单位为</w:t>
      </w:r>
      <w:r>
        <w:rPr>
          <w:rFonts w:hint="eastAsia" w:ascii="宋体" w:hAnsi="宋体"/>
          <w:sz w:val="24"/>
          <w:szCs w:val="24"/>
          <w:u w:val="single"/>
        </w:rPr>
        <w:t xml:space="preserve"> 厦门市环境空气非甲烷总烃自动监测站运维服务采购</w:t>
      </w:r>
      <w:r>
        <w:rPr>
          <w:rFonts w:hint="eastAsia" w:ascii="宋体" w:hAnsi="宋体"/>
          <w:sz w:val="24"/>
          <w:szCs w:val="24"/>
        </w:rPr>
        <w:t>项目的采购邀请</w:t>
      </w:r>
      <w:r>
        <w:rPr>
          <w:rFonts w:hint="eastAsia" w:ascii="宋体" w:hAnsi="宋体"/>
          <w:sz w:val="24"/>
          <w:szCs w:val="24"/>
          <w:u w:val="single"/>
        </w:rPr>
        <w:t>（项目编号： XMZXZ[YB]2025003）</w:t>
      </w:r>
      <w:r>
        <w:rPr>
          <w:rFonts w:hint="eastAsia" w:ascii="宋体" w:hAnsi="宋体"/>
          <w:sz w:val="24"/>
          <w:szCs w:val="24"/>
        </w:rPr>
        <w:t>，本签字代表</w:t>
      </w:r>
      <w:r>
        <w:rPr>
          <w:rFonts w:hint="eastAsia" w:ascii="宋体" w:hAnsi="宋体"/>
          <w:sz w:val="24"/>
          <w:szCs w:val="24"/>
          <w:u w:val="single"/>
        </w:rPr>
        <w:t>（全名、职务）</w:t>
      </w:r>
      <w:r>
        <w:rPr>
          <w:rFonts w:hint="eastAsia" w:ascii="宋体" w:hAnsi="宋体"/>
          <w:sz w:val="24"/>
          <w:szCs w:val="24"/>
        </w:rPr>
        <w:t>代表报价响应供应商</w:t>
      </w:r>
      <w:r>
        <w:rPr>
          <w:rFonts w:hint="eastAsia" w:ascii="宋体" w:hAnsi="宋体"/>
          <w:sz w:val="24"/>
          <w:szCs w:val="24"/>
          <w:u w:val="single"/>
        </w:rPr>
        <w:t>（报价响应供应商名称、地址）</w:t>
      </w:r>
      <w:r>
        <w:rPr>
          <w:rFonts w:hint="eastAsia" w:ascii="宋体" w:hAnsi="宋体"/>
          <w:sz w:val="24"/>
          <w:szCs w:val="24"/>
        </w:rPr>
        <w:t>提交下述文件</w:t>
      </w:r>
      <w:r>
        <w:rPr>
          <w:rFonts w:hint="eastAsia" w:ascii="宋体" w:hAnsi="宋体"/>
          <w:sz w:val="24"/>
          <w:szCs w:val="24"/>
          <w:u w:val="single"/>
        </w:rPr>
        <w:t>一</w:t>
      </w:r>
      <w:r>
        <w:rPr>
          <w:rFonts w:hint="eastAsia" w:ascii="宋体" w:hAnsi="宋体"/>
          <w:sz w:val="24"/>
          <w:szCs w:val="24"/>
        </w:rPr>
        <w:t xml:space="preserve">份。                  </w:t>
      </w:r>
    </w:p>
    <w:p w14:paraId="326A0678">
      <w:pPr>
        <w:spacing w:line="360" w:lineRule="auto"/>
        <w:rPr>
          <w:rFonts w:hint="eastAsia" w:ascii="宋体" w:hAnsi="宋体"/>
          <w:sz w:val="24"/>
          <w:szCs w:val="24"/>
        </w:rPr>
      </w:pPr>
      <w:r>
        <w:rPr>
          <w:rFonts w:hint="eastAsia" w:ascii="宋体" w:hAnsi="宋体"/>
          <w:sz w:val="24"/>
          <w:szCs w:val="24"/>
        </w:rPr>
        <w:t>1、报价响应函</w:t>
      </w:r>
      <w:r>
        <w:rPr>
          <w:rFonts w:hint="eastAsia" w:ascii="宋体" w:hAnsi="宋体"/>
          <w:sz w:val="24"/>
        </w:rPr>
        <w:t>、报价一览表</w:t>
      </w:r>
    </w:p>
    <w:p w14:paraId="1209D77D">
      <w:pPr>
        <w:spacing w:line="360" w:lineRule="auto"/>
        <w:rPr>
          <w:rFonts w:hint="eastAsia" w:ascii="宋体" w:hAnsi="宋体"/>
          <w:sz w:val="24"/>
          <w:szCs w:val="24"/>
        </w:rPr>
      </w:pPr>
      <w:r>
        <w:rPr>
          <w:rFonts w:hint="eastAsia" w:ascii="宋体" w:hAnsi="宋体"/>
          <w:sz w:val="24"/>
          <w:szCs w:val="24"/>
        </w:rPr>
        <w:t>2、法人营业执照复印件</w:t>
      </w:r>
    </w:p>
    <w:p w14:paraId="68841542">
      <w:pPr>
        <w:spacing w:line="360" w:lineRule="auto"/>
        <w:rPr>
          <w:rFonts w:hint="eastAsia" w:ascii="宋体" w:hAnsi="宋体"/>
          <w:sz w:val="24"/>
          <w:szCs w:val="24"/>
        </w:rPr>
      </w:pPr>
      <w:r>
        <w:rPr>
          <w:rFonts w:hint="eastAsia" w:ascii="宋体" w:hAnsi="宋体"/>
          <w:sz w:val="24"/>
          <w:szCs w:val="24"/>
        </w:rPr>
        <w:t>3、法人代表证明及法人身份证复印件</w:t>
      </w:r>
    </w:p>
    <w:p w14:paraId="4E6E0D1F">
      <w:pPr>
        <w:spacing w:line="360" w:lineRule="auto"/>
        <w:rPr>
          <w:rFonts w:hint="eastAsia" w:ascii="宋体" w:hAnsi="宋体"/>
          <w:sz w:val="24"/>
          <w:szCs w:val="24"/>
        </w:rPr>
      </w:pPr>
      <w:r>
        <w:rPr>
          <w:rFonts w:hint="eastAsia" w:ascii="宋体" w:hAnsi="宋体"/>
          <w:sz w:val="24"/>
          <w:szCs w:val="24"/>
        </w:rPr>
        <w:t>4、授权委托书及授权委托人身份证复印件</w:t>
      </w:r>
    </w:p>
    <w:p w14:paraId="7C2C8C57">
      <w:pPr>
        <w:spacing w:line="360" w:lineRule="auto"/>
        <w:rPr>
          <w:rFonts w:hint="eastAsia" w:ascii="宋体" w:hAnsi="宋体"/>
          <w:sz w:val="24"/>
          <w:szCs w:val="24"/>
        </w:rPr>
      </w:pPr>
      <w:r>
        <w:rPr>
          <w:rFonts w:hint="eastAsia" w:ascii="宋体" w:hAnsi="宋体"/>
          <w:sz w:val="24"/>
          <w:szCs w:val="24"/>
        </w:rPr>
        <w:t>5、近三年内在经营活动中没有重大违法记录、无行贿犯罪记录的书面声明</w:t>
      </w:r>
    </w:p>
    <w:p w14:paraId="23A7DB81">
      <w:pPr>
        <w:spacing w:line="360" w:lineRule="auto"/>
        <w:rPr>
          <w:rFonts w:hint="eastAsia" w:ascii="宋体" w:hAnsi="宋体"/>
          <w:sz w:val="24"/>
          <w:szCs w:val="24"/>
        </w:rPr>
      </w:pPr>
      <w:r>
        <w:rPr>
          <w:rFonts w:hint="eastAsia" w:ascii="宋体" w:hAnsi="宋体"/>
          <w:sz w:val="24"/>
          <w:szCs w:val="24"/>
        </w:rPr>
        <w:t>6、承诺完整履行服务内容的承诺函（服务承诺书）</w:t>
      </w:r>
    </w:p>
    <w:p w14:paraId="74DECE0C">
      <w:pPr>
        <w:spacing w:line="360" w:lineRule="auto"/>
        <w:rPr>
          <w:rFonts w:hint="eastAsia" w:ascii="宋体" w:hAnsi="宋体"/>
          <w:sz w:val="24"/>
          <w:szCs w:val="24"/>
        </w:rPr>
      </w:pPr>
      <w:r>
        <w:rPr>
          <w:rFonts w:hint="eastAsia" w:ascii="宋体" w:hAnsi="宋体"/>
          <w:sz w:val="24"/>
          <w:szCs w:val="24"/>
        </w:rPr>
        <w:t>据此函，签字代表宣布同意如下：</w:t>
      </w:r>
    </w:p>
    <w:p w14:paraId="0328A1A4">
      <w:pPr>
        <w:spacing w:line="360" w:lineRule="auto"/>
        <w:rPr>
          <w:rFonts w:hint="eastAsia" w:ascii="宋体" w:hAnsi="宋体"/>
          <w:sz w:val="24"/>
          <w:szCs w:val="24"/>
        </w:rPr>
      </w:pPr>
      <w:r>
        <w:rPr>
          <w:rFonts w:hint="eastAsia" w:ascii="宋体" w:hAnsi="宋体"/>
          <w:sz w:val="24"/>
          <w:szCs w:val="24"/>
        </w:rPr>
        <w:t>1.报价响应供应商已详细审查全部采购文件，包括修改文件（如有的话）和有关附件，将自行承担因对全部采购文件理解不正确或误解而产生的相应后果。</w:t>
      </w:r>
    </w:p>
    <w:p w14:paraId="2D385FE6">
      <w:pPr>
        <w:spacing w:line="360" w:lineRule="auto"/>
        <w:rPr>
          <w:rFonts w:hint="eastAsia" w:ascii="宋体" w:hAnsi="宋体"/>
          <w:sz w:val="24"/>
          <w:szCs w:val="24"/>
        </w:rPr>
      </w:pPr>
      <w:r>
        <w:rPr>
          <w:rFonts w:hint="eastAsia" w:ascii="宋体" w:hAnsi="宋体"/>
          <w:sz w:val="24"/>
          <w:szCs w:val="24"/>
        </w:rPr>
        <w:t>2.报价响应供应商保证遵守采购文件的全部规定，报价响应供应商所提交的材料中所含的信息均为真实、准确、完整，且不具有任何误导性。</w:t>
      </w:r>
    </w:p>
    <w:p w14:paraId="09CFE81B">
      <w:pPr>
        <w:spacing w:line="360" w:lineRule="auto"/>
        <w:rPr>
          <w:rFonts w:hint="eastAsia" w:ascii="宋体" w:hAnsi="宋体"/>
          <w:sz w:val="24"/>
          <w:szCs w:val="24"/>
        </w:rPr>
      </w:pPr>
      <w:r>
        <w:rPr>
          <w:rFonts w:hint="eastAsia" w:ascii="宋体" w:hAnsi="宋体"/>
          <w:sz w:val="24"/>
          <w:szCs w:val="24"/>
        </w:rPr>
        <w:t>3.报价响应供应商将按采购文件的规定履行责任和义务。</w:t>
      </w:r>
    </w:p>
    <w:p w14:paraId="7227A0C6">
      <w:pPr>
        <w:spacing w:line="360" w:lineRule="auto"/>
        <w:rPr>
          <w:rFonts w:hint="eastAsia" w:ascii="宋体" w:hAnsi="宋体"/>
          <w:sz w:val="24"/>
          <w:szCs w:val="24"/>
        </w:rPr>
      </w:pPr>
      <w:r>
        <w:rPr>
          <w:rFonts w:hint="eastAsia" w:ascii="宋体" w:hAnsi="宋体"/>
          <w:sz w:val="24"/>
          <w:szCs w:val="24"/>
        </w:rPr>
        <w:t>4. 与本采购项目有关的一切正式往来通讯请寄：</w:t>
      </w:r>
    </w:p>
    <w:p w14:paraId="4B9BC019">
      <w:pPr>
        <w:spacing w:line="360" w:lineRule="auto"/>
        <w:rPr>
          <w:rFonts w:hint="eastAsia" w:ascii="宋体" w:hAnsi="宋体"/>
          <w:sz w:val="24"/>
          <w:szCs w:val="24"/>
        </w:rPr>
      </w:pPr>
      <w:r>
        <w:rPr>
          <w:rFonts w:hint="eastAsia" w:ascii="宋体" w:hAnsi="宋体"/>
          <w:sz w:val="24"/>
          <w:szCs w:val="24"/>
        </w:rPr>
        <w:t>地址：</w:t>
      </w:r>
      <w:r>
        <w:rPr>
          <w:rFonts w:hint="eastAsia" w:ascii="宋体" w:hAnsi="宋体"/>
          <w:sz w:val="24"/>
          <w:szCs w:val="24"/>
          <w:u w:val="single"/>
        </w:rPr>
        <w:t xml:space="preserve">                                            </w:t>
      </w:r>
      <w:r>
        <w:rPr>
          <w:rFonts w:hint="eastAsia" w:ascii="宋体" w:hAnsi="宋体"/>
          <w:sz w:val="24"/>
          <w:szCs w:val="24"/>
        </w:rPr>
        <w:t>邮编：</w:t>
      </w:r>
      <w:r>
        <w:rPr>
          <w:rFonts w:hint="eastAsia" w:ascii="宋体" w:hAnsi="宋体"/>
          <w:sz w:val="24"/>
          <w:szCs w:val="24"/>
          <w:u w:val="single"/>
        </w:rPr>
        <w:t xml:space="preserve">            </w:t>
      </w:r>
      <w:r>
        <w:rPr>
          <w:rFonts w:hint="eastAsia" w:ascii="宋体" w:hAnsi="宋体"/>
          <w:sz w:val="24"/>
          <w:szCs w:val="24"/>
        </w:rPr>
        <w:t xml:space="preserve">  </w:t>
      </w:r>
    </w:p>
    <w:p w14:paraId="386B9C68">
      <w:pPr>
        <w:spacing w:line="360" w:lineRule="auto"/>
        <w:ind w:firstLine="218" w:firstLineChars="91"/>
        <w:rPr>
          <w:rFonts w:hint="eastAsia" w:ascii="宋体" w:hAnsi="宋体"/>
          <w:sz w:val="24"/>
          <w:szCs w:val="24"/>
        </w:rPr>
      </w:pPr>
      <w:r>
        <w:rPr>
          <w:rFonts w:hint="eastAsia" w:ascii="宋体" w:hAnsi="宋体"/>
          <w:sz w:val="24"/>
          <w:szCs w:val="24"/>
        </w:rPr>
        <w:t xml:space="preserve">电话： </w:t>
      </w:r>
      <w:r>
        <w:rPr>
          <w:rFonts w:hint="eastAsia" w:ascii="宋体" w:hAnsi="宋体"/>
          <w:sz w:val="24"/>
          <w:szCs w:val="24"/>
          <w:u w:val="single"/>
        </w:rPr>
        <w:t xml:space="preserve">                </w:t>
      </w:r>
      <w:r>
        <w:rPr>
          <w:rFonts w:hint="eastAsia" w:ascii="宋体" w:hAnsi="宋体"/>
          <w:sz w:val="24"/>
          <w:szCs w:val="24"/>
        </w:rPr>
        <w:t xml:space="preserve"> 传真：</w:t>
      </w:r>
      <w:r>
        <w:rPr>
          <w:rFonts w:hint="eastAsia" w:ascii="宋体" w:hAnsi="宋体"/>
          <w:sz w:val="24"/>
          <w:szCs w:val="24"/>
          <w:u w:val="single"/>
        </w:rPr>
        <w:t xml:space="preserve">          </w:t>
      </w:r>
      <w:r>
        <w:rPr>
          <w:rFonts w:hint="eastAsia" w:ascii="宋体" w:hAnsi="宋体"/>
          <w:sz w:val="24"/>
          <w:szCs w:val="24"/>
        </w:rPr>
        <w:t xml:space="preserve">           </w:t>
      </w:r>
    </w:p>
    <w:p w14:paraId="28565CE7">
      <w:pPr>
        <w:spacing w:line="360" w:lineRule="auto"/>
        <w:rPr>
          <w:rFonts w:hint="eastAsia" w:ascii="宋体" w:hAnsi="宋体"/>
          <w:sz w:val="24"/>
          <w:szCs w:val="24"/>
        </w:rPr>
      </w:pPr>
      <w:r>
        <w:rPr>
          <w:rFonts w:hint="eastAsia" w:ascii="宋体" w:hAnsi="宋体"/>
          <w:sz w:val="24"/>
          <w:szCs w:val="24"/>
        </w:rPr>
        <w:t xml:space="preserve">      报价响应供应商（全称并加盖公章）：</w:t>
      </w:r>
      <w:r>
        <w:rPr>
          <w:rFonts w:hint="eastAsia" w:ascii="宋体" w:hAnsi="宋体"/>
          <w:sz w:val="24"/>
          <w:szCs w:val="24"/>
          <w:u w:val="single"/>
        </w:rPr>
        <w:t xml:space="preserve">                    </w:t>
      </w:r>
      <w:r>
        <w:rPr>
          <w:rFonts w:hint="eastAsia" w:ascii="宋体" w:hAnsi="宋体"/>
          <w:sz w:val="24"/>
          <w:szCs w:val="24"/>
        </w:rPr>
        <w:t xml:space="preserve">   </w:t>
      </w:r>
    </w:p>
    <w:p w14:paraId="5390A8C5">
      <w:pPr>
        <w:spacing w:line="360" w:lineRule="auto"/>
        <w:rPr>
          <w:rFonts w:hint="eastAsia" w:ascii="宋体" w:hAnsi="宋体"/>
          <w:sz w:val="24"/>
          <w:szCs w:val="24"/>
        </w:rPr>
      </w:pPr>
      <w:r>
        <w:rPr>
          <w:rFonts w:hint="eastAsia" w:ascii="宋体" w:hAnsi="宋体"/>
          <w:sz w:val="24"/>
          <w:szCs w:val="24"/>
        </w:rPr>
        <w:t xml:space="preserve">       报价响应供应商代表签字：</w:t>
      </w:r>
      <w:r>
        <w:rPr>
          <w:rFonts w:hint="eastAsia" w:ascii="宋体" w:hAnsi="宋体"/>
          <w:sz w:val="24"/>
          <w:szCs w:val="24"/>
          <w:u w:val="single"/>
        </w:rPr>
        <w:t xml:space="preserve">          </w:t>
      </w:r>
      <w:r>
        <w:rPr>
          <w:rFonts w:hint="eastAsia" w:ascii="宋体" w:hAnsi="宋体"/>
          <w:sz w:val="24"/>
          <w:szCs w:val="24"/>
        </w:rPr>
        <w:t xml:space="preserve">     </w:t>
      </w:r>
    </w:p>
    <w:p w14:paraId="371A8420">
      <w:pPr>
        <w:spacing w:line="360" w:lineRule="auto"/>
        <w:ind w:firstLine="0" w:firstLineChars="0"/>
        <w:rPr>
          <w:rFonts w:hint="eastAsia" w:ascii="宋体" w:hAnsi="宋体"/>
          <w:sz w:val="24"/>
          <w:szCs w:val="24"/>
        </w:rPr>
      </w:pPr>
      <w:r>
        <w:rPr>
          <w:rFonts w:hint="eastAsia" w:ascii="宋体" w:hAnsi="宋体"/>
          <w:sz w:val="24"/>
          <w:szCs w:val="24"/>
        </w:rPr>
        <w:t xml:space="preserve">      日  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14:paraId="093281C8">
      <w:pPr>
        <w:pStyle w:val="4"/>
        <w:spacing w:before="156" w:beforeLines="50" w:after="156" w:afterLines="50" w:line="240" w:lineRule="auto"/>
        <w:rPr>
          <w:rFonts w:ascii="Calibri" w:hAnsi="Calibri"/>
          <w:sz w:val="36"/>
          <w:szCs w:val="36"/>
        </w:rPr>
      </w:pPr>
      <w:r>
        <w:rPr>
          <w:rFonts w:ascii="宋体" w:hAnsi="宋体"/>
          <w:szCs w:val="21"/>
        </w:rPr>
        <w:br w:type="page"/>
      </w:r>
      <w:r>
        <w:rPr>
          <w:rFonts w:hint="eastAsia" w:ascii="Calibri" w:hAnsi="Calibri"/>
          <w:sz w:val="36"/>
          <w:szCs w:val="36"/>
        </w:rPr>
        <w:t>报价一览表</w:t>
      </w:r>
    </w:p>
    <w:p w14:paraId="48D2E3E8"/>
    <w:p w14:paraId="67E5CA51">
      <w:pPr>
        <w:spacing w:line="360" w:lineRule="auto"/>
        <w:rPr>
          <w:rFonts w:hint="eastAsia" w:ascii="宋体" w:hAnsi="宋体"/>
          <w:sz w:val="24"/>
        </w:rPr>
      </w:pPr>
      <w:r>
        <w:rPr>
          <w:rFonts w:hint="eastAsia" w:ascii="宋体" w:hAnsi="宋体"/>
          <w:sz w:val="24"/>
          <w:szCs w:val="24"/>
        </w:rPr>
        <w:t>报价</w:t>
      </w:r>
      <w:r>
        <w:rPr>
          <w:rFonts w:hint="eastAsia" w:ascii="宋体" w:hAnsi="宋体"/>
          <w:sz w:val="24"/>
        </w:rPr>
        <w:t>响应供应商名称（加盖供应商公章）：</w:t>
      </w:r>
      <w:r>
        <w:rPr>
          <w:rFonts w:hint="eastAsia" w:ascii="宋体" w:hAnsi="宋体"/>
          <w:sz w:val="24"/>
          <w:u w:val="single"/>
        </w:rPr>
        <w:t xml:space="preserve">           　　　　　　　　  　　　　　　　 </w:t>
      </w:r>
    </w:p>
    <w:p w14:paraId="2FEA2596">
      <w:pPr>
        <w:spacing w:line="360" w:lineRule="auto"/>
        <w:rPr>
          <w:rFonts w:hint="eastAsia" w:ascii="宋体" w:hAnsi="宋体"/>
          <w:sz w:val="24"/>
          <w:u w:val="single"/>
        </w:rPr>
      </w:pPr>
      <w:r>
        <w:rPr>
          <w:rFonts w:hint="eastAsia" w:ascii="宋体" w:hAnsi="宋体"/>
          <w:sz w:val="24"/>
        </w:rPr>
        <w:t>采购编号：</w:t>
      </w:r>
      <w:r>
        <w:rPr>
          <w:rFonts w:hint="eastAsia" w:ascii="宋体" w:hAnsi="宋体"/>
          <w:sz w:val="24"/>
          <w:szCs w:val="24"/>
          <w:u w:val="single"/>
        </w:rPr>
        <w:t>XMZXZ[YB]2025003</w:t>
      </w:r>
      <w:r>
        <w:rPr>
          <w:rFonts w:hint="eastAsia" w:ascii="宋体" w:hAnsi="宋体"/>
          <w:sz w:val="24"/>
        </w:rPr>
        <w:t xml:space="preserve">     </w:t>
      </w:r>
      <w:r>
        <w:rPr>
          <w:rFonts w:ascii="宋体" w:hAnsi="宋体"/>
          <w:sz w:val="24"/>
        </w:rPr>
        <w:t xml:space="preserve">                </w:t>
      </w:r>
      <w:r>
        <w:rPr>
          <w:rFonts w:hint="eastAsia" w:ascii="宋体" w:hAnsi="宋体"/>
          <w:sz w:val="24"/>
        </w:rPr>
        <w:t>货币单位：</w:t>
      </w:r>
      <w:r>
        <w:rPr>
          <w:rFonts w:hint="eastAsia" w:ascii="宋体" w:hAnsi="宋体"/>
          <w:sz w:val="24"/>
          <w:u w:val="single"/>
        </w:rPr>
        <w:t xml:space="preserve">人民币 </w:t>
      </w:r>
    </w:p>
    <w:tbl>
      <w:tblPr>
        <w:tblStyle w:val="10"/>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5845"/>
        <w:gridCol w:w="1558"/>
        <w:gridCol w:w="1559"/>
      </w:tblGrid>
      <w:tr w14:paraId="6DF52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9" w:hRule="exact"/>
          <w:jc w:val="center"/>
        </w:trPr>
        <w:tc>
          <w:tcPr>
            <w:tcW w:w="892" w:type="dxa"/>
            <w:vAlign w:val="center"/>
          </w:tcPr>
          <w:p w14:paraId="5909FCBB">
            <w:pPr>
              <w:jc w:val="center"/>
              <w:rPr>
                <w:color w:val="000000"/>
              </w:rPr>
            </w:pPr>
            <w:r>
              <w:rPr>
                <w:rFonts w:hint="eastAsia"/>
                <w:color w:val="000000"/>
              </w:rPr>
              <w:t>序号</w:t>
            </w:r>
          </w:p>
        </w:tc>
        <w:tc>
          <w:tcPr>
            <w:tcW w:w="5845" w:type="dxa"/>
            <w:vAlign w:val="center"/>
          </w:tcPr>
          <w:p w14:paraId="627C3415">
            <w:pPr>
              <w:jc w:val="center"/>
              <w:rPr>
                <w:color w:val="000000"/>
              </w:rPr>
            </w:pPr>
            <w:r>
              <w:rPr>
                <w:rFonts w:hint="eastAsia"/>
                <w:color w:val="000000"/>
              </w:rPr>
              <w:t>项目名称</w:t>
            </w:r>
          </w:p>
        </w:tc>
        <w:tc>
          <w:tcPr>
            <w:tcW w:w="1558" w:type="dxa"/>
            <w:vAlign w:val="center"/>
          </w:tcPr>
          <w:p w14:paraId="1D807E40">
            <w:pPr>
              <w:jc w:val="center"/>
              <w:rPr>
                <w:color w:val="000000"/>
              </w:rPr>
            </w:pPr>
            <w:r>
              <w:rPr>
                <w:rFonts w:hint="eastAsia"/>
                <w:color w:val="000000"/>
              </w:rPr>
              <w:t>数量</w:t>
            </w:r>
          </w:p>
        </w:tc>
        <w:tc>
          <w:tcPr>
            <w:tcW w:w="1559" w:type="dxa"/>
            <w:vAlign w:val="center"/>
          </w:tcPr>
          <w:p w14:paraId="508BC397">
            <w:pPr>
              <w:jc w:val="center"/>
              <w:rPr>
                <w:color w:val="000000"/>
              </w:rPr>
            </w:pPr>
            <w:r>
              <w:rPr>
                <w:rFonts w:hint="eastAsia"/>
                <w:color w:val="000000"/>
              </w:rPr>
              <w:t>价格（元）</w:t>
            </w:r>
          </w:p>
        </w:tc>
      </w:tr>
      <w:tr w14:paraId="7DB74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jc w:val="center"/>
        </w:trPr>
        <w:tc>
          <w:tcPr>
            <w:tcW w:w="892" w:type="dxa"/>
            <w:vAlign w:val="center"/>
          </w:tcPr>
          <w:p w14:paraId="327FCC3E">
            <w:pPr>
              <w:widowControl/>
              <w:jc w:val="center"/>
              <w:textAlignment w:val="center"/>
              <w:rPr>
                <w:rFonts w:hint="eastAsia" w:ascii="宋体" w:hAnsi="宋体" w:cs="Arial"/>
                <w:bCs/>
                <w:sz w:val="24"/>
              </w:rPr>
            </w:pPr>
            <w:r>
              <w:rPr>
                <w:rFonts w:hint="eastAsia" w:ascii="宋体" w:hAnsi="宋体" w:cs="Arial"/>
                <w:bCs/>
                <w:sz w:val="24"/>
              </w:rPr>
              <w:t>1</w:t>
            </w:r>
          </w:p>
        </w:tc>
        <w:tc>
          <w:tcPr>
            <w:tcW w:w="5845" w:type="dxa"/>
            <w:vAlign w:val="center"/>
          </w:tcPr>
          <w:p w14:paraId="4A9CE68B">
            <w:pPr>
              <w:widowControl/>
              <w:jc w:val="center"/>
              <w:textAlignment w:val="center"/>
              <w:rPr>
                <w:rFonts w:hint="eastAsia" w:ascii="宋体" w:hAnsi="宋体" w:cs="Arial"/>
                <w:bCs/>
                <w:sz w:val="24"/>
              </w:rPr>
            </w:pPr>
            <w:r>
              <w:rPr>
                <w:rFonts w:hint="eastAsia" w:ascii="宋体" w:hAnsi="宋体" w:cs="Arial"/>
                <w:bCs/>
                <w:sz w:val="24"/>
              </w:rPr>
              <w:t>厦门市环境空气非甲烷总烃自动监测站运维服务采购</w:t>
            </w:r>
          </w:p>
        </w:tc>
        <w:tc>
          <w:tcPr>
            <w:tcW w:w="1558" w:type="dxa"/>
            <w:vAlign w:val="center"/>
          </w:tcPr>
          <w:p w14:paraId="6244A6B0">
            <w:pPr>
              <w:widowControl/>
              <w:jc w:val="center"/>
              <w:textAlignment w:val="center"/>
              <w:rPr>
                <w:rFonts w:hint="eastAsia" w:ascii="宋体" w:hAnsi="宋体" w:cs="Arial"/>
                <w:bCs/>
                <w:sz w:val="24"/>
              </w:rPr>
            </w:pPr>
            <w:r>
              <w:rPr>
                <w:rFonts w:hint="eastAsia" w:ascii="宋体" w:hAnsi="宋体" w:cs="Arial"/>
                <w:bCs/>
                <w:sz w:val="24"/>
              </w:rPr>
              <w:t>1项</w:t>
            </w:r>
          </w:p>
        </w:tc>
        <w:tc>
          <w:tcPr>
            <w:tcW w:w="1559" w:type="dxa"/>
            <w:vAlign w:val="center"/>
          </w:tcPr>
          <w:p w14:paraId="50B6F556">
            <w:pPr>
              <w:jc w:val="center"/>
              <w:rPr>
                <w:rFonts w:hint="eastAsia" w:ascii="宋体" w:hAnsi="宋体" w:cs="宋体"/>
                <w:color w:val="000000"/>
                <w:sz w:val="20"/>
                <w:szCs w:val="20"/>
              </w:rPr>
            </w:pPr>
          </w:p>
        </w:tc>
      </w:tr>
      <w:tr w14:paraId="5AA23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3" w:hRule="atLeast"/>
          <w:jc w:val="center"/>
        </w:trPr>
        <w:tc>
          <w:tcPr>
            <w:tcW w:w="6737" w:type="dxa"/>
            <w:gridSpan w:val="2"/>
            <w:vAlign w:val="center"/>
          </w:tcPr>
          <w:p w14:paraId="1F53F974">
            <w:pPr>
              <w:widowControl/>
              <w:jc w:val="center"/>
              <w:textAlignment w:val="center"/>
              <w:rPr>
                <w:rFonts w:hint="eastAsia" w:ascii="宋体" w:hAnsi="宋体" w:cs="Arial"/>
                <w:bCs/>
                <w:color w:val="auto"/>
                <w:kern w:val="0"/>
                <w:sz w:val="24"/>
                <w:lang w:bidi="he-IL"/>
              </w:rPr>
            </w:pPr>
            <w:r>
              <w:rPr>
                <w:rFonts w:hint="eastAsia" w:ascii="宋体" w:hAnsi="宋体" w:cs="Arial"/>
                <w:bCs/>
                <w:sz w:val="24"/>
              </w:rPr>
              <w:t>维护时间</w:t>
            </w:r>
          </w:p>
        </w:tc>
        <w:tc>
          <w:tcPr>
            <w:tcW w:w="3117" w:type="dxa"/>
            <w:gridSpan w:val="2"/>
            <w:vAlign w:val="center"/>
          </w:tcPr>
          <w:p w14:paraId="747CA38C">
            <w:pPr>
              <w:widowControl/>
              <w:spacing w:line="240" w:lineRule="auto"/>
              <w:ind w:firstLine="0" w:firstLineChars="0"/>
              <w:jc w:val="center"/>
              <w:textAlignment w:val="center"/>
              <w:rPr>
                <w:rFonts w:hint="eastAsia" w:ascii="宋体" w:hAnsi="宋体" w:cs="Arial"/>
                <w:bCs/>
                <w:sz w:val="24"/>
                <w:szCs w:val="22"/>
              </w:rPr>
            </w:pPr>
            <w:r>
              <w:rPr>
                <w:rFonts w:hint="eastAsia" w:ascii="宋体" w:hAnsi="宋体" w:cs="Arial"/>
                <w:bCs/>
                <w:sz w:val="24"/>
                <w:szCs w:val="22"/>
              </w:rPr>
              <w:t>2025年8月1日-2026年7月31日，</w:t>
            </w:r>
            <w:r>
              <w:rPr>
                <w:rFonts w:hint="eastAsia" w:ascii="宋体" w:hAnsi="宋体" w:cs="Arial"/>
                <w:bCs/>
                <w:sz w:val="24"/>
                <w:szCs w:val="22"/>
                <w:lang w:eastAsia="zh-CN"/>
              </w:rPr>
              <w:t>本</w:t>
            </w:r>
            <w:r>
              <w:rPr>
                <w:rFonts w:hint="eastAsia" w:ascii="宋体" w:hAnsi="宋体" w:cs="Arial"/>
                <w:bCs/>
                <w:sz w:val="24"/>
                <w:szCs w:val="22"/>
              </w:rPr>
              <w:t>公司于2025年7月30日起与现运维公司进行运维交接工作，并在2日内完成交接。</w:t>
            </w:r>
          </w:p>
          <w:p w14:paraId="4D58484A">
            <w:pPr>
              <w:widowControl/>
              <w:jc w:val="center"/>
              <w:textAlignment w:val="center"/>
              <w:rPr>
                <w:rFonts w:hint="eastAsia" w:ascii="宋体" w:hAnsi="宋体" w:cs="Arial"/>
                <w:bCs/>
                <w:sz w:val="24"/>
              </w:rPr>
            </w:pPr>
          </w:p>
        </w:tc>
      </w:tr>
      <w:tr w14:paraId="1E71B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3" w:hRule="atLeast"/>
          <w:jc w:val="center"/>
        </w:trPr>
        <w:tc>
          <w:tcPr>
            <w:tcW w:w="6737" w:type="dxa"/>
            <w:gridSpan w:val="2"/>
            <w:vAlign w:val="center"/>
          </w:tcPr>
          <w:p w14:paraId="3164ADAC">
            <w:pPr>
              <w:widowControl/>
              <w:jc w:val="center"/>
              <w:textAlignment w:val="center"/>
              <w:rPr>
                <w:rFonts w:hint="eastAsia" w:ascii="宋体" w:hAnsi="宋体" w:cs="Arial"/>
                <w:bCs/>
                <w:sz w:val="24"/>
              </w:rPr>
            </w:pPr>
            <w:r>
              <w:rPr>
                <w:rFonts w:hint="eastAsia" w:ascii="宋体" w:hAnsi="宋体" w:cs="Arial"/>
                <w:bCs/>
                <w:sz w:val="24"/>
              </w:rPr>
              <w:t>总报价（小写）</w:t>
            </w:r>
          </w:p>
        </w:tc>
        <w:tc>
          <w:tcPr>
            <w:tcW w:w="3117" w:type="dxa"/>
            <w:gridSpan w:val="2"/>
            <w:vAlign w:val="center"/>
          </w:tcPr>
          <w:p w14:paraId="49C6E540">
            <w:pPr>
              <w:jc w:val="center"/>
              <w:rPr>
                <w:rFonts w:hint="eastAsia" w:ascii="宋体" w:hAnsi="宋体"/>
                <w:sz w:val="24"/>
                <w:u w:val="single"/>
              </w:rPr>
            </w:pPr>
          </w:p>
        </w:tc>
      </w:tr>
      <w:tr w14:paraId="37DD9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3" w:hRule="atLeast"/>
          <w:jc w:val="center"/>
        </w:trPr>
        <w:tc>
          <w:tcPr>
            <w:tcW w:w="6737" w:type="dxa"/>
            <w:gridSpan w:val="2"/>
            <w:vAlign w:val="center"/>
          </w:tcPr>
          <w:p w14:paraId="69F710C1">
            <w:pPr>
              <w:widowControl/>
              <w:jc w:val="center"/>
              <w:textAlignment w:val="center"/>
              <w:rPr>
                <w:rFonts w:hint="eastAsia" w:ascii="宋体" w:hAnsi="宋体" w:cs="Arial"/>
                <w:bCs/>
                <w:sz w:val="24"/>
              </w:rPr>
            </w:pPr>
            <w:r>
              <w:rPr>
                <w:rFonts w:hint="eastAsia" w:ascii="宋体" w:hAnsi="宋体" w:cs="Arial"/>
                <w:bCs/>
                <w:sz w:val="24"/>
              </w:rPr>
              <w:t>总报价</w:t>
            </w:r>
          </w:p>
        </w:tc>
        <w:tc>
          <w:tcPr>
            <w:tcW w:w="3117" w:type="dxa"/>
            <w:gridSpan w:val="2"/>
            <w:vAlign w:val="center"/>
          </w:tcPr>
          <w:p w14:paraId="3EFE979F">
            <w:pPr>
              <w:widowControl/>
              <w:jc w:val="center"/>
              <w:textAlignment w:val="center"/>
              <w:rPr>
                <w:rFonts w:hint="eastAsia" w:ascii="宋体" w:hAnsi="宋体"/>
                <w:sz w:val="24"/>
                <w:u w:val="single"/>
              </w:rPr>
            </w:pPr>
            <w:r>
              <w:rPr>
                <w:rFonts w:hint="eastAsia" w:ascii="宋体" w:hAnsi="宋体"/>
                <w:sz w:val="24"/>
              </w:rPr>
              <w:t>（大写）人民币</w:t>
            </w:r>
          </w:p>
        </w:tc>
      </w:tr>
    </w:tbl>
    <w:p w14:paraId="25F705AA">
      <w:pPr>
        <w:pStyle w:val="2"/>
        <w:rPr>
          <w:rFonts w:hint="eastAsia" w:ascii="宋体" w:hAnsi="宋体"/>
          <w:sz w:val="24"/>
          <w:u w:val="single"/>
        </w:rPr>
      </w:pPr>
    </w:p>
    <w:p w14:paraId="664CA432">
      <w:pPr>
        <w:rPr>
          <w:rFonts w:hint="eastAsia" w:ascii="宋体" w:hAnsi="宋体"/>
          <w:sz w:val="24"/>
          <w:u w:val="single"/>
        </w:rPr>
      </w:pPr>
    </w:p>
    <w:p w14:paraId="15AC1575">
      <w:pPr>
        <w:pStyle w:val="2"/>
        <w:rPr>
          <w:rFonts w:hint="eastAsia" w:ascii="宋体" w:hAnsi="宋体"/>
          <w:sz w:val="24"/>
          <w:u w:val="single"/>
        </w:rPr>
      </w:pPr>
    </w:p>
    <w:p w14:paraId="570528D0">
      <w:pPr>
        <w:rPr>
          <w:rFonts w:hint="eastAsia" w:ascii="宋体" w:hAnsi="宋体"/>
          <w:sz w:val="24"/>
          <w:u w:val="single"/>
        </w:rPr>
      </w:pPr>
    </w:p>
    <w:p w14:paraId="7BD4D45D">
      <w:pPr>
        <w:tabs>
          <w:tab w:val="left" w:pos="9000"/>
          <w:tab w:val="left" w:pos="13000"/>
        </w:tabs>
        <w:spacing w:before="240" w:line="600" w:lineRule="auto"/>
        <w:ind w:right="-71" w:firstLine="3600" w:firstLineChars="1500"/>
        <w:rPr>
          <w:rFonts w:hint="eastAsia" w:ascii="宋体" w:hAnsi="宋体"/>
          <w:sz w:val="24"/>
        </w:rPr>
      </w:pPr>
      <w:r>
        <w:rPr>
          <w:rFonts w:hint="eastAsia" w:ascii="宋体" w:hAnsi="宋体"/>
          <w:sz w:val="24"/>
          <w:szCs w:val="24"/>
        </w:rPr>
        <w:t>报价</w:t>
      </w:r>
      <w:r>
        <w:rPr>
          <w:rFonts w:hint="eastAsia" w:ascii="宋体" w:hAnsi="宋体"/>
          <w:sz w:val="24"/>
        </w:rPr>
        <w:t>响应供应商（签名）：</w:t>
      </w:r>
      <w:r>
        <w:rPr>
          <w:rFonts w:hint="eastAsia" w:ascii="宋体" w:hAnsi="宋体"/>
          <w:sz w:val="24"/>
          <w:u w:val="single"/>
        </w:rPr>
        <w:t xml:space="preserve">     　  　 ___</w:t>
      </w:r>
    </w:p>
    <w:p w14:paraId="749AEE67">
      <w:pPr>
        <w:tabs>
          <w:tab w:val="left" w:pos="13000"/>
        </w:tabs>
        <w:spacing w:line="600" w:lineRule="auto"/>
        <w:ind w:firstLine="4605" w:firstLineChars="1919"/>
        <w:rPr>
          <w:rFonts w:hint="eastAsia" w:ascii="宋体" w:hAnsi="宋体"/>
          <w:sz w:val="24"/>
        </w:rPr>
      </w:pPr>
      <w:r>
        <w:rPr>
          <w:rFonts w:hint="eastAsia" w:ascii="宋体" w:hAnsi="宋体"/>
          <w:sz w:val="24"/>
        </w:rPr>
        <w:t>日期：     　年    月    日</w:t>
      </w:r>
    </w:p>
    <w:p w14:paraId="0EDC43D8">
      <w:pPr>
        <w:jc w:val="center"/>
        <w:rPr>
          <w:rFonts w:hint="eastAsia" w:ascii="宋体" w:hAnsi="宋体"/>
          <w:szCs w:val="21"/>
        </w:rPr>
      </w:pPr>
    </w:p>
    <w:p w14:paraId="60138219">
      <w:pPr>
        <w:jc w:val="center"/>
        <w:rPr>
          <w:b/>
          <w:sz w:val="36"/>
          <w:szCs w:val="36"/>
        </w:rPr>
      </w:pPr>
    </w:p>
    <w:p w14:paraId="4AC44608">
      <w:pPr>
        <w:jc w:val="center"/>
        <w:rPr>
          <w:b/>
          <w:sz w:val="36"/>
          <w:szCs w:val="36"/>
        </w:rPr>
      </w:pPr>
    </w:p>
    <w:p w14:paraId="1FE47158">
      <w:pPr>
        <w:jc w:val="center"/>
        <w:rPr>
          <w:b/>
          <w:sz w:val="36"/>
          <w:szCs w:val="36"/>
        </w:rPr>
      </w:pPr>
    </w:p>
    <w:p w14:paraId="72DBCBFB">
      <w:pPr>
        <w:jc w:val="center"/>
        <w:rPr>
          <w:b/>
          <w:sz w:val="36"/>
          <w:szCs w:val="36"/>
        </w:rPr>
      </w:pPr>
      <w:r>
        <w:rPr>
          <w:b/>
          <w:sz w:val="36"/>
          <w:szCs w:val="36"/>
        </w:rPr>
        <w:t>法人营业执照</w:t>
      </w:r>
    </w:p>
    <w:p w14:paraId="1B68D450">
      <w:pPr>
        <w:spacing w:before="100" w:beforeAutospacing="1"/>
        <w:jc w:val="center"/>
        <w:rPr>
          <w:b/>
          <w:sz w:val="36"/>
          <w:szCs w:val="36"/>
        </w:rPr>
      </w:pPr>
    </w:p>
    <w:p w14:paraId="1190A7C7">
      <w:pPr>
        <w:spacing w:line="360" w:lineRule="auto"/>
        <w:rPr>
          <w:rFonts w:hint="eastAsia" w:ascii="宋体" w:hAnsi="宋体"/>
        </w:rPr>
      </w:pPr>
    </w:p>
    <w:p w14:paraId="10822E46">
      <w:pPr>
        <w:spacing w:line="360" w:lineRule="auto"/>
        <w:rPr>
          <w:rFonts w:hint="eastAsia" w:ascii="宋体" w:hAnsi="宋体"/>
          <w:sz w:val="24"/>
        </w:rPr>
      </w:pPr>
      <w:r>
        <w:rPr>
          <w:rFonts w:hint="eastAsia" w:ascii="宋体" w:hAnsi="宋体"/>
          <w:sz w:val="24"/>
        </w:rPr>
        <w:t>福建省厦门环境监测中心站：</w:t>
      </w:r>
    </w:p>
    <w:p w14:paraId="75FF865E">
      <w:pPr>
        <w:spacing w:line="360" w:lineRule="auto"/>
        <w:ind w:firstLine="480" w:firstLineChars="200"/>
        <w:rPr>
          <w:rFonts w:hint="eastAsia" w:ascii="宋体" w:hAnsi="宋体"/>
          <w:sz w:val="24"/>
        </w:rPr>
      </w:pPr>
      <w:r>
        <w:rPr>
          <w:rFonts w:hint="eastAsia" w:ascii="宋体" w:hAnsi="宋体"/>
          <w:sz w:val="24"/>
        </w:rPr>
        <w:t>现附上由</w:t>
      </w:r>
      <w:r>
        <w:rPr>
          <w:rFonts w:hint="eastAsia" w:ascii="宋体" w:hAnsi="宋体"/>
          <w:sz w:val="24"/>
          <w:u w:val="single"/>
        </w:rPr>
        <w:t xml:space="preserve">                         </w:t>
      </w:r>
      <w:r>
        <w:rPr>
          <w:rFonts w:hint="eastAsia" w:ascii="宋体" w:hAnsi="宋体"/>
          <w:sz w:val="24"/>
        </w:rPr>
        <w:t>（签发机关名称）签发的我方法人营业执照副本复印件或事业单位法人证书复印件，该执照真实有效。</w:t>
      </w:r>
    </w:p>
    <w:p w14:paraId="008ED3D2">
      <w:pPr>
        <w:spacing w:line="360" w:lineRule="auto"/>
        <w:ind w:firstLine="480" w:firstLineChars="200"/>
        <w:rPr>
          <w:rFonts w:hint="eastAsia" w:ascii="宋体" w:hAnsi="宋体"/>
          <w:sz w:val="24"/>
        </w:rPr>
      </w:pPr>
    </w:p>
    <w:p w14:paraId="45275CB7">
      <w:pPr>
        <w:spacing w:line="360" w:lineRule="auto"/>
        <w:rPr>
          <w:rFonts w:hint="eastAsia" w:ascii="宋体" w:hAnsi="宋体"/>
          <w:sz w:val="24"/>
          <w:szCs w:val="20"/>
        </w:rPr>
      </w:pPr>
    </w:p>
    <w:p w14:paraId="6514DD62">
      <w:pPr>
        <w:spacing w:line="360" w:lineRule="auto"/>
        <w:ind w:firstLine="420" w:firstLineChars="200"/>
        <w:rPr>
          <w:rFonts w:hint="eastAsia" w:ascii="宋体" w:hAnsi="宋体"/>
          <w:szCs w:val="20"/>
        </w:rPr>
      </w:pPr>
      <w:r>
        <w:rPr>
          <w:rFonts w:hint="eastAsia" w:ascii="宋体" w:hAnsi="宋体"/>
          <w:szCs w:val="20"/>
        </w:rPr>
        <w:t>（注：上述所有证书均提供复印件，且需复印包括能说明其合格的内容，由供应商加盖公章并注明复印件与原件一致。）</w:t>
      </w:r>
    </w:p>
    <w:p w14:paraId="7F2A4473">
      <w:pPr>
        <w:spacing w:line="360" w:lineRule="auto"/>
        <w:rPr>
          <w:rFonts w:hint="eastAsia" w:ascii="宋体" w:hAnsi="宋体"/>
          <w:sz w:val="24"/>
          <w:szCs w:val="20"/>
        </w:rPr>
      </w:pPr>
    </w:p>
    <w:p w14:paraId="16C0825C">
      <w:pPr>
        <w:spacing w:line="360" w:lineRule="auto"/>
        <w:rPr>
          <w:rFonts w:hint="eastAsia" w:ascii="宋体" w:hAnsi="宋体"/>
          <w:sz w:val="24"/>
          <w:szCs w:val="20"/>
        </w:rPr>
      </w:pPr>
    </w:p>
    <w:p w14:paraId="0A6E0823">
      <w:pPr>
        <w:spacing w:line="360" w:lineRule="auto"/>
        <w:rPr>
          <w:rFonts w:hint="eastAsia" w:ascii="宋体" w:hAnsi="宋体"/>
          <w:sz w:val="24"/>
          <w:szCs w:val="20"/>
        </w:rPr>
      </w:pPr>
    </w:p>
    <w:p w14:paraId="59D95BFF">
      <w:pPr>
        <w:spacing w:line="360" w:lineRule="auto"/>
        <w:rPr>
          <w:rFonts w:hint="eastAsia" w:ascii="宋体" w:hAnsi="宋体"/>
          <w:sz w:val="24"/>
          <w:szCs w:val="20"/>
        </w:rPr>
      </w:pPr>
    </w:p>
    <w:p w14:paraId="3C186F12">
      <w:pPr>
        <w:spacing w:line="360" w:lineRule="auto"/>
        <w:rPr>
          <w:rFonts w:hint="eastAsia" w:ascii="宋体" w:hAnsi="宋体"/>
          <w:sz w:val="24"/>
          <w:szCs w:val="20"/>
        </w:rPr>
      </w:pPr>
    </w:p>
    <w:p w14:paraId="3CC78B97">
      <w:pPr>
        <w:spacing w:line="360" w:lineRule="auto"/>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14:paraId="11A5A813">
      <w:pPr>
        <w:spacing w:line="360" w:lineRule="auto"/>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14:paraId="502D129E">
      <w:pPr>
        <w:spacing w:line="360" w:lineRule="auto"/>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2E162E81">
      <w:pPr>
        <w:ind w:firstLine="480" w:firstLineChars="200"/>
        <w:jc w:val="center"/>
        <w:rPr>
          <w:b/>
          <w:sz w:val="36"/>
          <w:szCs w:val="36"/>
        </w:rPr>
      </w:pPr>
      <w:r>
        <w:rPr>
          <w:rFonts w:ascii="宋体" w:hAnsi="宋体"/>
          <w:sz w:val="24"/>
          <w:u w:val="single"/>
        </w:rPr>
        <w:br w:type="page"/>
      </w:r>
      <w:r>
        <w:rPr>
          <w:rFonts w:hint="eastAsia"/>
          <w:b/>
          <w:sz w:val="36"/>
          <w:szCs w:val="36"/>
        </w:rPr>
        <w:t>法人代表证明及法人身份证复印件</w:t>
      </w:r>
    </w:p>
    <w:p w14:paraId="6A25F0F8">
      <w:pPr>
        <w:ind w:firstLine="723" w:firstLineChars="200"/>
        <w:jc w:val="left"/>
        <w:rPr>
          <w:b/>
          <w:sz w:val="36"/>
          <w:szCs w:val="36"/>
        </w:rPr>
      </w:pPr>
    </w:p>
    <w:p w14:paraId="11910016">
      <w:pPr>
        <w:ind w:firstLine="723" w:firstLineChars="200"/>
        <w:jc w:val="left"/>
        <w:rPr>
          <w:b/>
          <w:sz w:val="36"/>
          <w:szCs w:val="36"/>
        </w:rPr>
      </w:pPr>
    </w:p>
    <w:p w14:paraId="390AE0D2">
      <w:pPr>
        <w:ind w:firstLine="723" w:firstLineChars="200"/>
        <w:jc w:val="left"/>
        <w:rPr>
          <w:b/>
          <w:sz w:val="36"/>
          <w:szCs w:val="36"/>
        </w:rPr>
      </w:pPr>
    </w:p>
    <w:p w14:paraId="7832BFC3">
      <w:pPr>
        <w:ind w:firstLine="723" w:firstLineChars="200"/>
        <w:jc w:val="left"/>
        <w:rPr>
          <w:b/>
          <w:sz w:val="36"/>
          <w:szCs w:val="36"/>
        </w:rPr>
      </w:pPr>
    </w:p>
    <w:p w14:paraId="467A31FE">
      <w:pPr>
        <w:ind w:firstLine="723" w:firstLineChars="200"/>
        <w:jc w:val="left"/>
        <w:rPr>
          <w:b/>
          <w:sz w:val="36"/>
          <w:szCs w:val="36"/>
        </w:rPr>
      </w:pPr>
    </w:p>
    <w:p w14:paraId="087E4B93">
      <w:pPr>
        <w:ind w:firstLine="723" w:firstLineChars="200"/>
        <w:jc w:val="left"/>
        <w:rPr>
          <w:b/>
          <w:sz w:val="36"/>
          <w:szCs w:val="36"/>
        </w:rPr>
      </w:pPr>
    </w:p>
    <w:p w14:paraId="5CB1B2D2">
      <w:pPr>
        <w:ind w:firstLine="723" w:firstLineChars="200"/>
        <w:jc w:val="left"/>
        <w:rPr>
          <w:b/>
          <w:sz w:val="36"/>
          <w:szCs w:val="36"/>
        </w:rPr>
      </w:pPr>
    </w:p>
    <w:p w14:paraId="1835D3DC">
      <w:pPr>
        <w:ind w:firstLine="723" w:firstLineChars="200"/>
        <w:jc w:val="left"/>
        <w:rPr>
          <w:b/>
          <w:sz w:val="36"/>
          <w:szCs w:val="36"/>
        </w:rPr>
      </w:pPr>
    </w:p>
    <w:p w14:paraId="2221C0B3">
      <w:pPr>
        <w:ind w:firstLine="723" w:firstLineChars="200"/>
        <w:jc w:val="left"/>
        <w:rPr>
          <w:b/>
          <w:sz w:val="36"/>
          <w:szCs w:val="36"/>
        </w:rPr>
      </w:pPr>
    </w:p>
    <w:p w14:paraId="7E5313E8">
      <w:pPr>
        <w:tabs>
          <w:tab w:val="left" w:pos="6305"/>
        </w:tabs>
        <w:ind w:firstLine="723" w:firstLineChars="200"/>
        <w:jc w:val="left"/>
        <w:rPr>
          <w:b/>
          <w:sz w:val="36"/>
          <w:szCs w:val="36"/>
        </w:rPr>
      </w:pPr>
      <w:r>
        <w:rPr>
          <w:rFonts w:hint="eastAsia"/>
          <w:b/>
          <w:sz w:val="36"/>
          <w:szCs w:val="36"/>
        </w:rPr>
        <w:tab/>
      </w:r>
    </w:p>
    <w:p w14:paraId="242519ED">
      <w:pPr>
        <w:tabs>
          <w:tab w:val="left" w:pos="6305"/>
        </w:tabs>
        <w:ind w:firstLine="723" w:firstLineChars="200"/>
        <w:jc w:val="left"/>
        <w:rPr>
          <w:b/>
          <w:sz w:val="36"/>
          <w:szCs w:val="36"/>
        </w:rPr>
      </w:pPr>
    </w:p>
    <w:p w14:paraId="19B40340">
      <w:pPr>
        <w:tabs>
          <w:tab w:val="left" w:pos="6305"/>
        </w:tabs>
        <w:ind w:firstLine="723" w:firstLineChars="200"/>
        <w:jc w:val="left"/>
        <w:rPr>
          <w:b/>
          <w:sz w:val="36"/>
          <w:szCs w:val="36"/>
        </w:rPr>
      </w:pPr>
    </w:p>
    <w:p w14:paraId="0EB75505">
      <w:pPr>
        <w:tabs>
          <w:tab w:val="left" w:pos="6305"/>
        </w:tabs>
        <w:ind w:firstLine="723" w:firstLineChars="200"/>
        <w:jc w:val="left"/>
        <w:rPr>
          <w:b/>
          <w:sz w:val="36"/>
          <w:szCs w:val="36"/>
        </w:rPr>
      </w:pPr>
    </w:p>
    <w:p w14:paraId="24CEBF40">
      <w:pPr>
        <w:tabs>
          <w:tab w:val="left" w:pos="6305"/>
        </w:tabs>
        <w:ind w:firstLine="723" w:firstLineChars="200"/>
        <w:jc w:val="left"/>
        <w:rPr>
          <w:b/>
          <w:sz w:val="36"/>
          <w:szCs w:val="36"/>
        </w:rPr>
      </w:pPr>
    </w:p>
    <w:p w14:paraId="1254115A">
      <w:pPr>
        <w:tabs>
          <w:tab w:val="left" w:pos="6305"/>
        </w:tabs>
        <w:ind w:firstLine="723" w:firstLineChars="200"/>
        <w:jc w:val="left"/>
        <w:rPr>
          <w:b/>
          <w:sz w:val="36"/>
          <w:szCs w:val="36"/>
        </w:rPr>
      </w:pPr>
    </w:p>
    <w:p w14:paraId="60E92EA8">
      <w:pPr>
        <w:tabs>
          <w:tab w:val="left" w:pos="6305"/>
        </w:tabs>
        <w:ind w:firstLine="723" w:firstLineChars="200"/>
        <w:jc w:val="left"/>
        <w:rPr>
          <w:b/>
          <w:sz w:val="36"/>
          <w:szCs w:val="36"/>
        </w:rPr>
      </w:pPr>
    </w:p>
    <w:p w14:paraId="231E131F">
      <w:pPr>
        <w:tabs>
          <w:tab w:val="left" w:pos="6305"/>
        </w:tabs>
        <w:ind w:firstLine="723" w:firstLineChars="200"/>
        <w:jc w:val="left"/>
        <w:rPr>
          <w:b/>
          <w:sz w:val="36"/>
          <w:szCs w:val="36"/>
        </w:rPr>
      </w:pPr>
    </w:p>
    <w:p w14:paraId="1FE9844D">
      <w:pPr>
        <w:jc w:val="center"/>
        <w:rPr>
          <w:rFonts w:hint="eastAsia" w:ascii="宋体" w:hAnsi="宋体"/>
          <w:sz w:val="24"/>
        </w:rPr>
      </w:pPr>
      <w:r>
        <w:rPr>
          <w:b/>
          <w:sz w:val="36"/>
          <w:szCs w:val="36"/>
        </w:rPr>
        <w:t>授权书</w:t>
      </w:r>
      <w:r>
        <w:rPr>
          <w:b/>
          <w:sz w:val="36"/>
          <w:szCs w:val="36"/>
        </w:rPr>
        <w:cr/>
      </w:r>
    </w:p>
    <w:p w14:paraId="0A1E3CE5">
      <w:pPr>
        <w:spacing w:line="360" w:lineRule="auto"/>
        <w:rPr>
          <w:rFonts w:hint="eastAsia" w:ascii="宋体" w:hAnsi="宋体"/>
          <w:sz w:val="24"/>
        </w:rPr>
      </w:pPr>
      <w:r>
        <w:rPr>
          <w:rFonts w:hint="eastAsia" w:ascii="宋体" w:hAnsi="宋体"/>
          <w:sz w:val="24"/>
        </w:rPr>
        <w:t>福建省厦门环境监测中心站：</w:t>
      </w:r>
    </w:p>
    <w:p w14:paraId="2DE0C954">
      <w:pPr>
        <w:spacing w:line="360" w:lineRule="auto"/>
        <w:rPr>
          <w:rFonts w:hint="eastAsia"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系我司员工，代表本司参与贵单位组织的</w:t>
      </w:r>
      <w:r>
        <w:rPr>
          <w:rFonts w:hint="eastAsia" w:ascii="宋体" w:hAnsi="宋体"/>
          <w:sz w:val="24"/>
          <w:szCs w:val="24"/>
          <w:u w:val="single"/>
        </w:rPr>
        <w:t>厦门市环境空气非甲烷总烃自动监测站运维服务采购</w:t>
      </w:r>
      <w:r>
        <w:rPr>
          <w:rFonts w:hint="eastAsia" w:ascii="宋体" w:hAnsi="宋体"/>
          <w:sz w:val="24"/>
        </w:rPr>
        <w:t>项目（项目编号</w:t>
      </w:r>
      <w:r>
        <w:rPr>
          <w:rFonts w:hint="eastAsia" w:ascii="宋体" w:hAnsi="宋体"/>
          <w:sz w:val="24"/>
          <w:szCs w:val="24"/>
          <w:u w:val="single"/>
        </w:rPr>
        <w:t xml:space="preserve"> XMZXZ[YB]2025003</w:t>
      </w:r>
      <w:r>
        <w:rPr>
          <w:rFonts w:hint="eastAsia" w:ascii="宋体" w:hAnsi="宋体"/>
          <w:sz w:val="24"/>
        </w:rPr>
        <w:t>）</w:t>
      </w:r>
      <w:r>
        <w:rPr>
          <w:rFonts w:hint="eastAsia" w:ascii="宋体" w:hAnsi="宋体"/>
          <w:sz w:val="24"/>
          <w:szCs w:val="24"/>
        </w:rPr>
        <w:t>采购</w:t>
      </w:r>
      <w:r>
        <w:rPr>
          <w:rFonts w:hint="eastAsia" w:ascii="宋体" w:hAnsi="宋体"/>
          <w:sz w:val="24"/>
        </w:rPr>
        <w:t>活动，全权代表本公司处理本项目的一切事宜，包括但不限于：递交</w:t>
      </w:r>
      <w:r>
        <w:rPr>
          <w:rFonts w:hint="eastAsia" w:ascii="宋体" w:hAnsi="宋体"/>
          <w:sz w:val="24"/>
          <w:szCs w:val="24"/>
        </w:rPr>
        <w:t>报价</w:t>
      </w:r>
      <w:r>
        <w:rPr>
          <w:rFonts w:hint="eastAsia" w:ascii="宋体" w:hAnsi="宋体"/>
          <w:sz w:val="24"/>
        </w:rPr>
        <w:t>文件。</w:t>
      </w:r>
      <w:r>
        <w:rPr>
          <w:rFonts w:hint="eastAsia" w:ascii="宋体" w:hAnsi="宋体"/>
          <w:sz w:val="24"/>
          <w:szCs w:val="24"/>
        </w:rPr>
        <w:t>报价</w:t>
      </w:r>
      <w:r>
        <w:rPr>
          <w:rFonts w:hint="eastAsia" w:ascii="宋体" w:hAnsi="宋体"/>
          <w:sz w:val="24"/>
        </w:rPr>
        <w:t>代表在</w:t>
      </w:r>
      <w:r>
        <w:rPr>
          <w:rFonts w:hint="eastAsia" w:ascii="宋体" w:hAnsi="宋体"/>
          <w:sz w:val="24"/>
          <w:szCs w:val="24"/>
        </w:rPr>
        <w:t>报价</w:t>
      </w:r>
      <w:r>
        <w:rPr>
          <w:rFonts w:hint="eastAsia" w:ascii="宋体" w:hAnsi="宋体"/>
          <w:sz w:val="24"/>
        </w:rPr>
        <w:t>过程中所签署的一切文件和处理与之有关的一切事务，本司均予以认可并对此承担责任。</w:t>
      </w:r>
      <w:r>
        <w:rPr>
          <w:rFonts w:hint="eastAsia" w:ascii="宋体" w:hAnsi="宋体"/>
          <w:sz w:val="24"/>
          <w:szCs w:val="24"/>
        </w:rPr>
        <w:t>报价</w:t>
      </w:r>
      <w:r>
        <w:rPr>
          <w:rFonts w:hint="eastAsia" w:ascii="宋体" w:hAnsi="宋体"/>
          <w:sz w:val="24"/>
        </w:rPr>
        <w:t>代表无转委托权。特此授权。</w:t>
      </w:r>
    </w:p>
    <w:p w14:paraId="15EDA349">
      <w:pPr>
        <w:spacing w:line="360" w:lineRule="auto"/>
        <w:rPr>
          <w:rFonts w:hint="eastAsia" w:ascii="宋体" w:hAnsi="宋体"/>
          <w:sz w:val="24"/>
        </w:rPr>
      </w:pPr>
      <w:r>
        <w:rPr>
          <w:rFonts w:hint="eastAsia" w:ascii="宋体" w:hAnsi="宋体"/>
          <w:sz w:val="24"/>
        </w:rPr>
        <w:t>本授权书自出具之日起生效。</w:t>
      </w:r>
    </w:p>
    <w:p w14:paraId="34B7745D">
      <w:pPr>
        <w:spacing w:line="360" w:lineRule="auto"/>
        <w:ind w:firstLine="480" w:firstLineChars="200"/>
        <w:rPr>
          <w:rFonts w:hint="eastAsia" w:ascii="宋体" w:hAnsi="宋体"/>
          <w:sz w:val="24"/>
        </w:rPr>
      </w:pPr>
    </w:p>
    <w:p w14:paraId="4F922DC6">
      <w:pPr>
        <w:spacing w:line="360" w:lineRule="auto"/>
        <w:rPr>
          <w:rFonts w:hint="eastAsia" w:ascii="宋体" w:hAnsi="宋体"/>
          <w:sz w:val="24"/>
        </w:rPr>
      </w:pPr>
      <w:r>
        <w:rPr>
          <w:rFonts w:hint="eastAsia" w:ascii="宋体" w:hAnsi="宋体"/>
          <w:sz w:val="24"/>
          <w:szCs w:val="24"/>
        </w:rPr>
        <w:t>报价</w:t>
      </w:r>
      <w:r>
        <w:rPr>
          <w:rFonts w:hint="eastAsia" w:ascii="宋体" w:hAnsi="宋体"/>
          <w:sz w:val="24"/>
        </w:rPr>
        <w:t>响应供应商代表：</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ascii="宋体" w:hAnsi="宋体"/>
          <w:sz w:val="24"/>
        </w:rPr>
        <w:t xml:space="preserve">  </w:t>
      </w:r>
      <w:r>
        <w:rPr>
          <w:rFonts w:hint="eastAsia" w:ascii="宋体" w:hAnsi="宋体"/>
          <w:sz w:val="24"/>
        </w:rPr>
        <w:t>性别：</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身份证号：</w:t>
      </w:r>
      <w:r>
        <w:rPr>
          <w:rFonts w:ascii="宋体" w:hAnsi="宋体"/>
          <w:sz w:val="24"/>
          <w:u w:val="single"/>
        </w:rPr>
        <w:t xml:space="preserve">        </w:t>
      </w:r>
      <w:r>
        <w:rPr>
          <w:rFonts w:hint="eastAsia" w:ascii="宋体" w:hAnsi="宋体"/>
          <w:sz w:val="24"/>
          <w:u w:val="single"/>
        </w:rPr>
        <w:t xml:space="preserve">               </w:t>
      </w:r>
    </w:p>
    <w:p w14:paraId="4598667A">
      <w:pPr>
        <w:spacing w:line="360" w:lineRule="auto"/>
        <w:rPr>
          <w:rFonts w:hint="eastAsia" w:ascii="宋体" w:hAnsi="宋体"/>
          <w:sz w:val="24"/>
        </w:rPr>
      </w:pPr>
      <w:r>
        <w:rPr>
          <w:rFonts w:hint="eastAsia" w:ascii="宋体" w:hAnsi="宋体"/>
          <w:sz w:val="24"/>
        </w:rPr>
        <w:t>单位：</w:t>
      </w:r>
      <w:r>
        <w:rPr>
          <w:rFonts w:ascii="宋体" w:hAnsi="宋体"/>
          <w:sz w:val="24"/>
          <w:u w:val="single"/>
        </w:rPr>
        <w:t xml:space="preserve">                  </w:t>
      </w:r>
      <w:r>
        <w:rPr>
          <w:rFonts w:ascii="宋体" w:hAnsi="宋体"/>
          <w:sz w:val="24"/>
        </w:rPr>
        <w:t xml:space="preserve">  </w:t>
      </w:r>
      <w:r>
        <w:rPr>
          <w:rFonts w:hint="eastAsia" w:ascii="宋体" w:hAnsi="宋体"/>
          <w:sz w:val="24"/>
        </w:rPr>
        <w:t>部门：</w:t>
      </w:r>
      <w:r>
        <w:rPr>
          <w:rFonts w:ascii="宋体" w:hAnsi="宋体"/>
          <w:sz w:val="24"/>
          <w:u w:val="single"/>
        </w:rPr>
        <w:t xml:space="preserve">       </w:t>
      </w:r>
      <w:r>
        <w:rPr>
          <w:rFonts w:ascii="宋体" w:hAnsi="宋体"/>
          <w:sz w:val="24"/>
        </w:rPr>
        <w:t xml:space="preserve">  </w:t>
      </w:r>
      <w:r>
        <w:rPr>
          <w:rFonts w:hint="eastAsia" w:ascii="宋体" w:hAnsi="宋体"/>
          <w:sz w:val="24"/>
        </w:rPr>
        <w:t xml:space="preserve">  职务：</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7A652FEA">
      <w:pPr>
        <w:spacing w:line="360" w:lineRule="auto"/>
        <w:rPr>
          <w:rFonts w:hint="eastAsia"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ascii="宋体" w:hAnsi="宋体"/>
          <w:sz w:val="24"/>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电话：</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54559996">
      <w:pPr>
        <w:spacing w:line="360" w:lineRule="auto"/>
        <w:rPr>
          <w:rFonts w:hint="eastAsia" w:ascii="宋体" w:hAnsi="宋体"/>
          <w:sz w:val="24"/>
        </w:rPr>
      </w:pPr>
    </w:p>
    <w:p w14:paraId="5E55B78B">
      <w:pPr>
        <w:spacing w:line="360" w:lineRule="auto"/>
        <w:rPr>
          <w:rFonts w:hint="eastAsia" w:ascii="宋体" w:hAnsi="宋体"/>
          <w:sz w:val="24"/>
        </w:rPr>
      </w:pPr>
      <w:r>
        <w:rPr>
          <w:rFonts w:hint="eastAsia" w:ascii="宋体" w:hAnsi="宋体"/>
          <w:sz w:val="24"/>
        </w:rPr>
        <w:t>附：法定代表人、</w:t>
      </w:r>
      <w:r>
        <w:rPr>
          <w:rFonts w:hint="eastAsia" w:ascii="宋体" w:hAnsi="宋体"/>
          <w:sz w:val="24"/>
          <w:szCs w:val="24"/>
        </w:rPr>
        <w:t>报价</w:t>
      </w:r>
      <w:r>
        <w:rPr>
          <w:rFonts w:hint="eastAsia" w:ascii="宋体" w:hAnsi="宋体"/>
          <w:sz w:val="24"/>
        </w:rPr>
        <w:t>代表身份证件复印件</w:t>
      </w:r>
    </w:p>
    <w:p w14:paraId="4027390C">
      <w:pPr>
        <w:spacing w:line="360" w:lineRule="auto"/>
        <w:rPr>
          <w:rFonts w:hint="eastAsia" w:ascii="宋体" w:hAnsi="宋体"/>
          <w:sz w:val="24"/>
        </w:rPr>
      </w:pPr>
    </w:p>
    <w:p w14:paraId="51BEBB3B">
      <w:pPr>
        <w:spacing w:line="360" w:lineRule="auto"/>
        <w:ind w:firstLine="3960" w:firstLineChars="1650"/>
        <w:rPr>
          <w:rFonts w:hint="eastAsia" w:ascii="宋体" w:hAnsi="宋体"/>
          <w:sz w:val="24"/>
        </w:rPr>
      </w:pPr>
      <w:r>
        <w:rPr>
          <w:rFonts w:hint="eastAsia" w:ascii="宋体" w:hAnsi="宋体"/>
          <w:sz w:val="24"/>
        </w:rPr>
        <w:t>授权方</w:t>
      </w:r>
    </w:p>
    <w:p w14:paraId="6C3FE411">
      <w:pPr>
        <w:spacing w:line="360" w:lineRule="auto"/>
        <w:ind w:firstLine="3960" w:firstLineChars="1650"/>
        <w:rPr>
          <w:rFonts w:hint="eastAsia"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p>
    <w:p w14:paraId="3B024D13">
      <w:pPr>
        <w:spacing w:line="360" w:lineRule="auto"/>
        <w:ind w:firstLine="3960" w:firstLineChars="1650"/>
        <w:rPr>
          <w:rFonts w:hint="eastAsia" w:ascii="宋体" w:hAnsi="宋体"/>
          <w:sz w:val="24"/>
        </w:rPr>
      </w:pPr>
      <w:r>
        <w:rPr>
          <w:rFonts w:hint="eastAsia" w:ascii="宋体" w:hAnsi="宋体"/>
          <w:sz w:val="24"/>
        </w:rPr>
        <w:t>法定代表人签字：</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05F36901">
      <w:pPr>
        <w:spacing w:line="360" w:lineRule="auto"/>
        <w:ind w:firstLine="3960" w:firstLineChars="1650"/>
        <w:rPr>
          <w:rFonts w:hint="eastAsia" w:ascii="宋体" w:hAnsi="宋体"/>
          <w:sz w:val="24"/>
        </w:rPr>
      </w:pPr>
      <w:r>
        <w:rPr>
          <w:rFonts w:hint="eastAsia" w:ascii="宋体" w:hAnsi="宋体"/>
          <w:sz w:val="24"/>
        </w:rPr>
        <w:t>日     期：</w:t>
      </w:r>
      <w:r>
        <w:rPr>
          <w:rFonts w:hint="eastAsia" w:ascii="宋体" w:hAnsi="宋体"/>
          <w:sz w:val="24"/>
          <w:u w:val="single"/>
        </w:rPr>
        <w:t xml:space="preserve">                       </w:t>
      </w:r>
    </w:p>
    <w:p w14:paraId="51618F28">
      <w:pPr>
        <w:spacing w:line="360" w:lineRule="auto"/>
        <w:ind w:firstLine="0" w:firstLineChars="0"/>
        <w:rPr>
          <w:rFonts w:hint="eastAsia"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接受授权方</w:t>
      </w:r>
      <w:r>
        <w:rPr>
          <w:rFonts w:hint="eastAsia" w:ascii="宋体" w:hAnsi="宋体"/>
          <w:sz w:val="24"/>
          <w:szCs w:val="24"/>
        </w:rPr>
        <w:t>报价</w:t>
      </w:r>
      <w:r>
        <w:rPr>
          <w:rFonts w:hint="eastAsia" w:ascii="宋体" w:hAnsi="宋体"/>
          <w:sz w:val="24"/>
        </w:rPr>
        <w:t>代表签字：</w:t>
      </w:r>
      <w:r>
        <w:rPr>
          <w:rFonts w:hint="eastAsia" w:ascii="宋体" w:hAnsi="宋体"/>
          <w:sz w:val="24"/>
          <w:u w:val="single"/>
        </w:rPr>
        <w:t xml:space="preserve">                </w:t>
      </w:r>
    </w:p>
    <w:p w14:paraId="5CB33B27">
      <w:pPr>
        <w:jc w:val="center"/>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5332F87E">
      <w:pPr>
        <w:ind w:firstLine="723" w:firstLineChars="200"/>
        <w:jc w:val="left"/>
        <w:rPr>
          <w:b/>
          <w:sz w:val="36"/>
          <w:szCs w:val="36"/>
        </w:rPr>
      </w:pPr>
    </w:p>
    <w:p w14:paraId="3D6171CE">
      <w:pPr>
        <w:tabs>
          <w:tab w:val="left" w:pos="1755"/>
          <w:tab w:val="center" w:pos="4593"/>
        </w:tabs>
        <w:spacing w:line="360" w:lineRule="auto"/>
        <w:ind w:firstLine="200"/>
        <w:jc w:val="center"/>
        <w:rPr>
          <w:b/>
          <w:sz w:val="36"/>
          <w:szCs w:val="36"/>
        </w:rPr>
      </w:pPr>
      <w:r>
        <w:rPr>
          <w:rFonts w:hint="eastAsia"/>
          <w:b/>
          <w:sz w:val="36"/>
          <w:szCs w:val="36"/>
        </w:rPr>
        <w:t>无重大违法记录的书面声明</w:t>
      </w:r>
    </w:p>
    <w:p w14:paraId="6A887AF8">
      <w:pPr>
        <w:spacing w:before="100" w:beforeAutospacing="1"/>
        <w:jc w:val="center"/>
        <w:rPr>
          <w:b/>
          <w:sz w:val="36"/>
          <w:szCs w:val="36"/>
        </w:rPr>
      </w:pPr>
    </w:p>
    <w:p w14:paraId="33BE2830">
      <w:pPr>
        <w:spacing w:line="360" w:lineRule="auto"/>
        <w:rPr>
          <w:rFonts w:hint="eastAsia" w:ascii="宋体" w:hAnsi="宋体"/>
          <w:sz w:val="24"/>
        </w:rPr>
      </w:pPr>
      <w:r>
        <w:rPr>
          <w:rFonts w:hint="eastAsia" w:ascii="宋体" w:hAnsi="宋体"/>
          <w:sz w:val="24"/>
        </w:rPr>
        <w:t>福建省厦门环境监测中心站：</w:t>
      </w:r>
    </w:p>
    <w:p w14:paraId="02B33BB7">
      <w:pPr>
        <w:jc w:val="center"/>
        <w:rPr>
          <w:rFonts w:hint="eastAsia" w:hAnsi="宋体"/>
        </w:rPr>
      </w:pPr>
    </w:p>
    <w:p w14:paraId="0C910D94">
      <w:pPr>
        <w:ind w:firstLine="480" w:firstLineChars="200"/>
        <w:rPr>
          <w:rFonts w:hint="eastAsia" w:ascii="宋体" w:hAnsi="宋体"/>
          <w:sz w:val="24"/>
        </w:rPr>
      </w:pPr>
      <w:r>
        <w:rPr>
          <w:rFonts w:hint="eastAsia" w:ascii="宋体" w:hAnsi="宋体"/>
          <w:sz w:val="24"/>
        </w:rPr>
        <w:t>我司在参加本采购活动前3年内在经营活动中没有重大违法记录。</w:t>
      </w:r>
    </w:p>
    <w:p w14:paraId="2B5D2661">
      <w:pPr>
        <w:ind w:firstLine="480" w:firstLineChars="200"/>
        <w:rPr>
          <w:rFonts w:hint="eastAsia" w:ascii="宋体" w:hAnsi="宋体"/>
          <w:sz w:val="24"/>
        </w:rPr>
      </w:pPr>
    </w:p>
    <w:p w14:paraId="325A7198">
      <w:pPr>
        <w:ind w:firstLine="480" w:firstLineChars="200"/>
        <w:rPr>
          <w:rFonts w:hint="eastAsia" w:ascii="宋体" w:hAnsi="宋体"/>
          <w:sz w:val="24"/>
        </w:rPr>
      </w:pPr>
      <w:r>
        <w:rPr>
          <w:rFonts w:hint="eastAsia" w:ascii="宋体" w:hAnsi="宋体"/>
          <w:sz w:val="24"/>
        </w:rPr>
        <w:t>特此书面声明。</w:t>
      </w:r>
    </w:p>
    <w:p w14:paraId="79511A3A">
      <w:pPr>
        <w:ind w:firstLine="480" w:firstLineChars="200"/>
        <w:rPr>
          <w:rFonts w:hint="eastAsia" w:ascii="宋体" w:hAnsi="宋体"/>
          <w:sz w:val="24"/>
        </w:rPr>
      </w:pPr>
    </w:p>
    <w:p w14:paraId="7BD1A652">
      <w:pPr>
        <w:ind w:firstLine="480" w:firstLineChars="200"/>
        <w:rPr>
          <w:rFonts w:hint="eastAsia" w:ascii="宋体" w:hAnsi="宋体"/>
          <w:sz w:val="24"/>
        </w:rPr>
      </w:pPr>
    </w:p>
    <w:p w14:paraId="66F3EFD3">
      <w:pPr>
        <w:ind w:firstLine="480" w:firstLineChars="200"/>
        <w:rPr>
          <w:rFonts w:hint="eastAsia" w:ascii="宋体" w:hAnsi="宋体"/>
          <w:sz w:val="24"/>
        </w:rPr>
      </w:pPr>
    </w:p>
    <w:p w14:paraId="53D62A1F">
      <w:pPr>
        <w:spacing w:line="360" w:lineRule="auto"/>
        <w:ind w:firstLine="3000" w:firstLineChars="1250"/>
        <w:rPr>
          <w:rFonts w:hint="eastAsia"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14:paraId="09004146">
      <w:pPr>
        <w:spacing w:line="360" w:lineRule="auto"/>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14:paraId="099A9BC0">
      <w:pPr>
        <w:spacing w:line="360" w:lineRule="auto"/>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3964C15F">
      <w:pPr>
        <w:spacing w:line="360" w:lineRule="auto"/>
        <w:jc w:val="center"/>
        <w:rPr>
          <w:b/>
          <w:sz w:val="36"/>
          <w:szCs w:val="36"/>
        </w:rPr>
      </w:pPr>
    </w:p>
    <w:p w14:paraId="38AE3440">
      <w:pPr>
        <w:spacing w:line="360" w:lineRule="auto"/>
        <w:jc w:val="center"/>
        <w:rPr>
          <w:b/>
          <w:sz w:val="36"/>
          <w:szCs w:val="36"/>
        </w:rPr>
      </w:pPr>
      <w:r>
        <w:rPr>
          <w:rFonts w:hint="eastAsia"/>
          <w:b/>
          <w:sz w:val="36"/>
          <w:szCs w:val="36"/>
        </w:rPr>
        <w:t>有无行贿犯罪情形的说明或承诺</w:t>
      </w:r>
    </w:p>
    <w:p w14:paraId="5DB5D4B4">
      <w:pPr>
        <w:spacing w:line="360" w:lineRule="auto"/>
        <w:rPr>
          <w:rFonts w:hint="eastAsia" w:ascii="宋体" w:hAnsi="宋体"/>
          <w:sz w:val="24"/>
        </w:rPr>
      </w:pPr>
      <w:r>
        <w:rPr>
          <w:rFonts w:hint="eastAsia" w:ascii="宋体" w:hAnsi="宋体"/>
          <w:sz w:val="24"/>
        </w:rPr>
        <w:t>福建省厦门环境监测中心站：</w:t>
      </w:r>
    </w:p>
    <w:p w14:paraId="49F4F175">
      <w:pPr>
        <w:jc w:val="center"/>
        <w:rPr>
          <w:rFonts w:hint="eastAsia" w:hAnsi="宋体"/>
        </w:rPr>
      </w:pPr>
    </w:p>
    <w:p w14:paraId="343DE7E8">
      <w:pPr>
        <w:ind w:firstLine="480" w:firstLineChars="200"/>
        <w:rPr>
          <w:rFonts w:hint="eastAsia" w:ascii="宋体" w:hAnsi="宋体"/>
          <w:sz w:val="24"/>
        </w:rPr>
      </w:pPr>
      <w:r>
        <w:rPr>
          <w:rFonts w:hint="eastAsia" w:ascii="宋体" w:hAnsi="宋体"/>
          <w:sz w:val="24"/>
        </w:rPr>
        <w:t>我司在参加本采购活动前的经营活动中无行贿犯罪记录。</w:t>
      </w:r>
    </w:p>
    <w:p w14:paraId="3D217311">
      <w:pPr>
        <w:ind w:firstLine="480" w:firstLineChars="200"/>
        <w:rPr>
          <w:rFonts w:hint="eastAsia" w:ascii="宋体" w:hAnsi="宋体"/>
          <w:sz w:val="24"/>
        </w:rPr>
      </w:pPr>
    </w:p>
    <w:p w14:paraId="60A216B2">
      <w:pPr>
        <w:ind w:firstLine="480" w:firstLineChars="200"/>
        <w:rPr>
          <w:rFonts w:hint="eastAsia" w:ascii="宋体" w:hAnsi="宋体"/>
          <w:sz w:val="24"/>
        </w:rPr>
      </w:pPr>
      <w:r>
        <w:rPr>
          <w:rFonts w:hint="eastAsia" w:ascii="宋体" w:hAnsi="宋体"/>
          <w:sz w:val="24"/>
        </w:rPr>
        <w:t>特此书面声明。</w:t>
      </w:r>
    </w:p>
    <w:p w14:paraId="700C9548">
      <w:pPr>
        <w:spacing w:line="360" w:lineRule="auto"/>
        <w:ind w:firstLine="3000" w:firstLineChars="1250"/>
        <w:rPr>
          <w:rFonts w:hint="eastAsia"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14:paraId="6D000C89">
      <w:pPr>
        <w:spacing w:line="360" w:lineRule="auto"/>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14:paraId="5EB4EEC4">
      <w:pPr>
        <w:spacing w:line="360" w:lineRule="auto"/>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78ED8C43">
      <w:pPr>
        <w:spacing w:line="360" w:lineRule="auto"/>
        <w:jc w:val="center"/>
        <w:rPr>
          <w:rFonts w:hint="eastAsia"/>
          <w:b/>
          <w:sz w:val="36"/>
          <w:szCs w:val="36"/>
        </w:rPr>
      </w:pPr>
    </w:p>
    <w:p w14:paraId="405262FC">
      <w:pPr>
        <w:spacing w:line="360" w:lineRule="auto"/>
        <w:jc w:val="center"/>
        <w:rPr>
          <w:b/>
          <w:sz w:val="36"/>
          <w:szCs w:val="36"/>
        </w:rPr>
      </w:pPr>
      <w:r>
        <w:rPr>
          <w:rFonts w:hint="eastAsia"/>
          <w:b/>
          <w:sz w:val="36"/>
          <w:szCs w:val="36"/>
        </w:rPr>
        <w:t>承诺完整履行服务内容的承诺函（服务承诺书）</w:t>
      </w:r>
    </w:p>
    <w:p w14:paraId="7D2F0E5F">
      <w:pPr>
        <w:ind w:firstLine="480" w:firstLineChars="200"/>
        <w:jc w:val="left"/>
        <w:rPr>
          <w:rFonts w:hint="eastAsia" w:ascii="宋体" w:hAnsi="宋体"/>
          <w:sz w:val="24"/>
        </w:rPr>
      </w:pPr>
    </w:p>
    <w:p w14:paraId="6EBE2483">
      <w:pPr>
        <w:jc w:val="left"/>
        <w:rPr>
          <w:rFonts w:hint="eastAsia" w:ascii="宋体" w:hAnsi="宋体"/>
          <w:sz w:val="24"/>
        </w:rPr>
      </w:pPr>
    </w:p>
    <w:p w14:paraId="5A521B4A">
      <w:pPr>
        <w:jc w:val="left"/>
        <w:rPr>
          <w:rFonts w:hint="eastAsia" w:ascii="宋体" w:hAnsi="宋体"/>
          <w:sz w:val="28"/>
          <w:szCs w:val="28"/>
        </w:rPr>
      </w:pPr>
      <w:r>
        <w:rPr>
          <w:rFonts w:hint="eastAsia" w:ascii="宋体" w:hAnsi="宋体"/>
          <w:sz w:val="24"/>
        </w:rPr>
        <w:t xml:space="preserve"> </w:t>
      </w:r>
      <w:r>
        <w:rPr>
          <w:rFonts w:hint="eastAsia" w:ascii="宋体" w:hAnsi="宋体"/>
          <w:sz w:val="28"/>
          <w:szCs w:val="28"/>
        </w:rPr>
        <w:t>福建省厦门环境监测中心站：</w:t>
      </w:r>
    </w:p>
    <w:p w14:paraId="16866DFC">
      <w:pPr>
        <w:ind w:right="-313" w:rightChars="-149" w:firstLine="560" w:firstLineChars="200"/>
        <w:jc w:val="left"/>
        <w:rPr>
          <w:rFonts w:hint="eastAsia" w:ascii="宋体" w:hAnsi="宋体"/>
          <w:sz w:val="28"/>
          <w:szCs w:val="28"/>
        </w:rPr>
      </w:pPr>
      <w:r>
        <w:rPr>
          <w:rFonts w:hint="eastAsia" w:ascii="宋体" w:hAnsi="宋体"/>
          <w:sz w:val="28"/>
          <w:szCs w:val="28"/>
        </w:rPr>
        <w:t xml:space="preserve"> 我司参加</w:t>
      </w:r>
      <w:r>
        <w:rPr>
          <w:rFonts w:hint="eastAsia" w:ascii="宋体" w:hAnsi="宋体"/>
          <w:sz w:val="28"/>
          <w:szCs w:val="28"/>
          <w:u w:val="single"/>
        </w:rPr>
        <w:t>厦门市环境空气非甲烷总烃自动监测站运维服务采购</w:t>
      </w:r>
      <w:r>
        <w:rPr>
          <w:rFonts w:hint="eastAsia" w:ascii="宋体" w:hAnsi="宋体"/>
          <w:sz w:val="28"/>
          <w:szCs w:val="28"/>
        </w:rPr>
        <w:t>项目（项目编号： XMZXZ[YB]2025003），我司做出如下承诺：</w:t>
      </w:r>
    </w:p>
    <w:p w14:paraId="270B92F9">
      <w:pPr>
        <w:ind w:firstLine="560" w:firstLineChars="200"/>
        <w:jc w:val="left"/>
        <w:rPr>
          <w:rFonts w:hint="eastAsia" w:ascii="宋体" w:hAnsi="宋体"/>
          <w:sz w:val="28"/>
          <w:szCs w:val="28"/>
        </w:rPr>
      </w:pPr>
      <w:r>
        <w:rPr>
          <w:rFonts w:hint="eastAsia" w:ascii="宋体" w:hAnsi="宋体"/>
          <w:sz w:val="28"/>
          <w:szCs w:val="28"/>
        </w:rPr>
        <w:t>1、</w:t>
      </w:r>
    </w:p>
    <w:p w14:paraId="32D9DFEF">
      <w:pPr>
        <w:ind w:firstLine="560" w:firstLineChars="200"/>
        <w:jc w:val="left"/>
        <w:rPr>
          <w:rFonts w:hint="eastAsia" w:ascii="宋体" w:hAnsi="宋体"/>
          <w:sz w:val="28"/>
          <w:szCs w:val="28"/>
        </w:rPr>
      </w:pPr>
      <w:r>
        <w:rPr>
          <w:rFonts w:hint="eastAsia" w:ascii="宋体" w:hAnsi="宋体"/>
          <w:sz w:val="28"/>
          <w:szCs w:val="28"/>
        </w:rPr>
        <w:t>2、……</w:t>
      </w:r>
    </w:p>
    <w:p w14:paraId="70F5403B">
      <w:pPr>
        <w:ind w:firstLine="560" w:firstLineChars="200"/>
        <w:jc w:val="left"/>
        <w:rPr>
          <w:rFonts w:hint="eastAsia" w:ascii="宋体" w:hAnsi="宋体"/>
          <w:sz w:val="28"/>
          <w:szCs w:val="28"/>
        </w:rPr>
      </w:pPr>
    </w:p>
    <w:p w14:paraId="4281FB4C">
      <w:pPr>
        <w:ind w:firstLine="560" w:firstLineChars="200"/>
        <w:jc w:val="left"/>
        <w:rPr>
          <w:rFonts w:hint="eastAsia" w:ascii="宋体" w:hAnsi="宋体"/>
          <w:sz w:val="28"/>
          <w:szCs w:val="28"/>
        </w:rPr>
      </w:pPr>
    </w:p>
    <w:p w14:paraId="1D52A281">
      <w:pPr>
        <w:ind w:firstLine="560" w:firstLineChars="200"/>
        <w:jc w:val="left"/>
        <w:rPr>
          <w:rFonts w:hint="eastAsia" w:ascii="宋体" w:hAnsi="宋体"/>
          <w:sz w:val="28"/>
          <w:szCs w:val="28"/>
        </w:rPr>
      </w:pPr>
    </w:p>
    <w:p w14:paraId="43C04EC3">
      <w:pPr>
        <w:ind w:firstLine="560" w:firstLineChars="200"/>
        <w:jc w:val="left"/>
        <w:rPr>
          <w:rFonts w:hint="eastAsia" w:ascii="宋体" w:hAnsi="宋体"/>
          <w:sz w:val="28"/>
          <w:szCs w:val="28"/>
        </w:rPr>
      </w:pPr>
      <w:r>
        <w:rPr>
          <w:rFonts w:hint="eastAsia" w:ascii="宋体" w:hAnsi="宋体"/>
          <w:sz w:val="28"/>
          <w:szCs w:val="28"/>
        </w:rPr>
        <w:t>我方如违反上述承诺，将在货款结算等方面接受贵单位的处罚，我方对此无异议。</w:t>
      </w:r>
    </w:p>
    <w:p w14:paraId="09378284">
      <w:pPr>
        <w:spacing w:line="360" w:lineRule="auto"/>
        <w:rPr>
          <w:rFonts w:hint="eastAsia" w:ascii="宋体" w:hAnsi="宋体"/>
        </w:rPr>
      </w:pPr>
    </w:p>
    <w:p w14:paraId="14CB4AF1">
      <w:pPr>
        <w:spacing w:line="360" w:lineRule="auto"/>
        <w:rPr>
          <w:rFonts w:hint="eastAsia" w:ascii="宋体" w:hAnsi="宋体"/>
        </w:rPr>
      </w:pPr>
    </w:p>
    <w:p w14:paraId="59E8099F">
      <w:pPr>
        <w:spacing w:line="360" w:lineRule="auto"/>
        <w:rPr>
          <w:rFonts w:hint="eastAsia" w:ascii="宋体" w:hAnsi="宋体"/>
        </w:rPr>
      </w:pPr>
    </w:p>
    <w:p w14:paraId="25BA1DDE">
      <w:pPr>
        <w:spacing w:line="360" w:lineRule="auto"/>
        <w:ind w:firstLine="3000" w:firstLineChars="1250"/>
        <w:rPr>
          <w:rFonts w:hint="eastAsia" w:ascii="宋体" w:hAnsi="宋体"/>
          <w:sz w:val="24"/>
        </w:rPr>
      </w:pPr>
      <w:r>
        <w:rPr>
          <w:rFonts w:hint="eastAsia" w:ascii="宋体" w:hAnsi="宋体"/>
          <w:sz w:val="24"/>
        </w:rPr>
        <w:t>报价响应供应商（全称并加盖公章）：</w:t>
      </w:r>
      <w:r>
        <w:rPr>
          <w:rFonts w:hint="eastAsia" w:ascii="宋体" w:hAnsi="宋体"/>
          <w:sz w:val="24"/>
          <w:u w:val="single"/>
        </w:rPr>
        <w:t xml:space="preserve">                 </w:t>
      </w:r>
      <w:r>
        <w:rPr>
          <w:rFonts w:hint="eastAsia" w:ascii="宋体" w:hAnsi="宋体"/>
          <w:sz w:val="24"/>
        </w:rPr>
        <w:t xml:space="preserve">     </w:t>
      </w:r>
    </w:p>
    <w:p w14:paraId="4068BDFA">
      <w:pPr>
        <w:spacing w:line="360" w:lineRule="auto"/>
        <w:rPr>
          <w:rFonts w:hint="eastAsia" w:ascii="宋体" w:hAnsi="宋体"/>
          <w:sz w:val="24"/>
        </w:rPr>
      </w:pPr>
      <w:r>
        <w:rPr>
          <w:rFonts w:hint="eastAsia" w:ascii="宋体" w:hAnsi="宋体"/>
          <w:sz w:val="24"/>
        </w:rPr>
        <w:t xml:space="preserve">                         报价响应供应商代表签字：</w:t>
      </w:r>
      <w:r>
        <w:rPr>
          <w:rFonts w:hint="eastAsia" w:ascii="宋体" w:hAnsi="宋体"/>
          <w:sz w:val="24"/>
          <w:u w:val="single"/>
        </w:rPr>
        <w:t xml:space="preserve">                         </w:t>
      </w:r>
    </w:p>
    <w:p w14:paraId="662ACEFD">
      <w:pPr>
        <w:spacing w:before="0" w:beforeLines="-2147483648" w:after="0" w:afterLines="-2147483648" w:line="360" w:lineRule="auto"/>
        <w:rPr>
          <w:rFonts w:hint="eastAsia" w:ascii="宋体" w:hAnsi="宋体" w:cs="宋体"/>
          <w:color w:val="000000"/>
          <w:sz w:val="24"/>
          <w:szCs w:val="24"/>
        </w:rPr>
      </w:pPr>
      <w:r>
        <w:rPr>
          <w:rFonts w:hint="eastAsia" w:ascii="宋体" w:hAnsi="宋体"/>
          <w:sz w:val="24"/>
        </w:rPr>
        <w:t xml:space="preserve">                         日      期：</w:t>
      </w:r>
      <w:r>
        <w:rPr>
          <w:rFonts w:hint="eastAsia" w:ascii="宋体" w:hAnsi="宋体"/>
          <w:sz w:val="24"/>
          <w:u w:val="single"/>
        </w:rPr>
        <w:t xml:space="preserve">                           </w:t>
      </w:r>
    </w:p>
    <w:sectPr>
      <w:footerReference r:id="rId5" w:type="default"/>
      <w:pgSz w:w="11906" w:h="16838"/>
      <w:pgMar w:top="1440" w:right="1800" w:bottom="1440" w:left="1800" w:header="720" w:footer="720"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G Times">
    <w:altName w:val="Times New Roman"/>
    <w:panose1 w:val="00000000000000000000"/>
    <w:charset w:val="00"/>
    <w:family w:val="roman"/>
    <w:pitch w:val="default"/>
    <w:sig w:usb0="00000000" w:usb1="00000000" w:usb2="00000000" w:usb3="00000000" w:csb0="00000001" w:csb1="00000000"/>
  </w:font>
  <w:font w:name="方正小标宋简体">
    <w:panose1 w:val="02000000000000000000"/>
    <w:charset w:val="86"/>
    <w:family w:val="script"/>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D0314">
    <w:pPr>
      <w:pStyle w:val="7"/>
      <w:jc w:val="center"/>
    </w:pPr>
    <w:r>
      <w:fldChar w:fldCharType="begin"/>
    </w:r>
    <w:r>
      <w:instrText xml:space="preserve"> PAGE   \* MERGEFORMAT </w:instrText>
    </w:r>
    <w:r>
      <w:fldChar w:fldCharType="separate"/>
    </w:r>
    <w:r>
      <w:rPr>
        <w:lang w:val="zh-CN"/>
      </w:rPr>
      <w:t>1</w:t>
    </w:r>
    <w:r>
      <w:rPr>
        <w:lang w:val="zh-CN"/>
      </w:rPr>
      <w:fldChar w:fldCharType="end"/>
    </w:r>
  </w:p>
  <w:p w14:paraId="4F7CE163">
    <w:pPr>
      <w:pStyle w:val="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A4EB2B"/>
    <w:multiLevelType w:val="singleLevel"/>
    <w:tmpl w:val="F7A4EB2B"/>
    <w:lvl w:ilvl="0" w:tentative="0">
      <w:start w:val="1"/>
      <w:numFmt w:val="decimal"/>
      <w:suff w:val="space"/>
      <w:lvlText w:val="%1."/>
      <w:lvlJc w:val="left"/>
    </w:lvl>
  </w:abstractNum>
  <w:abstractNum w:abstractNumId="1">
    <w:nsid w:val="0997BB8D"/>
    <w:multiLevelType w:val="singleLevel"/>
    <w:tmpl w:val="0997BB8D"/>
    <w:lvl w:ilvl="0" w:tentative="0">
      <w:start w:val="1"/>
      <w:numFmt w:val="decimal"/>
      <w:suff w:val="nothing"/>
      <w:lvlText w:val="%1、"/>
      <w:lvlJc w:val="left"/>
    </w:lvl>
  </w:abstractNum>
  <w:abstractNum w:abstractNumId="2">
    <w:nsid w:val="22B94E01"/>
    <w:multiLevelType w:val="singleLevel"/>
    <w:tmpl w:val="22B94E01"/>
    <w:lvl w:ilvl="0" w:tentative="0">
      <w:start w:val="5"/>
      <w:numFmt w:val="chineseCounting"/>
      <w:suff w:val="nothing"/>
      <w:lvlText w:val="（%1）"/>
      <w:lvlJc w:val="left"/>
      <w:rPr>
        <w:rFonts w:hint="eastAsia"/>
      </w:rPr>
    </w:lvl>
  </w:abstractNum>
  <w:abstractNum w:abstractNumId="3">
    <w:nsid w:val="2325841F"/>
    <w:multiLevelType w:val="singleLevel"/>
    <w:tmpl w:val="2325841F"/>
    <w:lvl w:ilvl="0" w:tentative="0">
      <w:start w:val="4"/>
      <w:numFmt w:val="chineseCounting"/>
      <w:suff w:val="nothing"/>
      <w:lvlText w:val="%1、"/>
      <w:lvlJc w:val="left"/>
      <w:rPr>
        <w:rFonts w:hint="eastAsia"/>
      </w:rPr>
    </w:lvl>
  </w:abstractNum>
  <w:abstractNum w:abstractNumId="4">
    <w:nsid w:val="6CEE4648"/>
    <w:multiLevelType w:val="multilevel"/>
    <w:tmpl w:val="6CEE4648"/>
    <w:lvl w:ilvl="0" w:tentative="0">
      <w:start w:val="2"/>
      <w:numFmt w:val="decimal"/>
      <w:lvlText w:val="%1."/>
      <w:lvlJc w:val="left"/>
      <w:pPr>
        <w:ind w:left="1000" w:hanging="360"/>
      </w:pPr>
      <w:rPr>
        <w:rFonts w:hint="default"/>
      </w:rPr>
    </w:lvl>
    <w:lvl w:ilvl="1" w:tentative="0">
      <w:start w:val="1"/>
      <w:numFmt w:val="lowerLetter"/>
      <w:lvlText w:val="%2)"/>
      <w:lvlJc w:val="left"/>
      <w:pPr>
        <w:ind w:left="1480" w:hanging="420"/>
      </w:pPr>
      <w:rPr>
        <w:rFonts w:hint="eastAsia"/>
      </w:rPr>
    </w:lvl>
    <w:lvl w:ilvl="2" w:tentative="0">
      <w:start w:val="1"/>
      <w:numFmt w:val="lowerRoman"/>
      <w:lvlText w:val="%3."/>
      <w:lvlJc w:val="right"/>
      <w:pPr>
        <w:ind w:left="1900" w:hanging="420"/>
      </w:pPr>
      <w:rPr>
        <w:rFonts w:hint="eastAsia"/>
      </w:rPr>
    </w:lvl>
    <w:lvl w:ilvl="3" w:tentative="0">
      <w:start w:val="1"/>
      <w:numFmt w:val="decimal"/>
      <w:lvlText w:val="%4."/>
      <w:lvlJc w:val="left"/>
      <w:pPr>
        <w:ind w:left="2320" w:hanging="420"/>
      </w:pPr>
      <w:rPr>
        <w:rFonts w:hint="eastAsia"/>
      </w:rPr>
    </w:lvl>
    <w:lvl w:ilvl="4" w:tentative="0">
      <w:start w:val="1"/>
      <w:numFmt w:val="lowerLetter"/>
      <w:lvlText w:val="%5)"/>
      <w:lvlJc w:val="left"/>
      <w:pPr>
        <w:ind w:left="2740" w:hanging="420"/>
      </w:pPr>
      <w:rPr>
        <w:rFonts w:hint="eastAsia"/>
      </w:rPr>
    </w:lvl>
    <w:lvl w:ilvl="5" w:tentative="0">
      <w:start w:val="1"/>
      <w:numFmt w:val="lowerRoman"/>
      <w:lvlText w:val="%6."/>
      <w:lvlJc w:val="right"/>
      <w:pPr>
        <w:ind w:left="3160" w:hanging="420"/>
      </w:pPr>
      <w:rPr>
        <w:rFonts w:hint="eastAsia"/>
      </w:rPr>
    </w:lvl>
    <w:lvl w:ilvl="6" w:tentative="0">
      <w:start w:val="1"/>
      <w:numFmt w:val="decimal"/>
      <w:lvlText w:val="%7."/>
      <w:lvlJc w:val="left"/>
      <w:pPr>
        <w:ind w:left="3580" w:hanging="420"/>
      </w:pPr>
      <w:rPr>
        <w:rFonts w:hint="eastAsia"/>
      </w:rPr>
    </w:lvl>
    <w:lvl w:ilvl="7" w:tentative="0">
      <w:start w:val="1"/>
      <w:numFmt w:val="lowerLetter"/>
      <w:lvlText w:val="%8)"/>
      <w:lvlJc w:val="left"/>
      <w:pPr>
        <w:ind w:left="4000" w:hanging="420"/>
      </w:pPr>
      <w:rPr>
        <w:rFonts w:hint="eastAsia"/>
      </w:rPr>
    </w:lvl>
    <w:lvl w:ilvl="8" w:tentative="0">
      <w:start w:val="1"/>
      <w:numFmt w:val="lowerRoman"/>
      <w:lvlText w:val="%9."/>
      <w:lvlJc w:val="right"/>
      <w:pPr>
        <w:ind w:left="4420" w:hanging="420"/>
      </w:pPr>
      <w:rPr>
        <w:rFonts w:hint="eastAsia"/>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noPunctuationKerning w:val="1"/>
  <w:characterSpacingControl w:val="doNotCompress"/>
  <w:doNotValidateAgainstSchema/>
  <w:doNotDemarcateInvalidXml/>
  <w:footnotePr>
    <w:footnote w:id="0"/>
    <w:footnote w:id="1"/>
  </w:footnotePr>
  <w:endnotePr>
    <w:endnote w:id="0"/>
    <w:endnote w:id="1"/>
  </w:endnotePr>
  <w:compat>
    <w:spaceForUL/>
    <w:doNotLeaveBackslashAlon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2NDS1NDGyMDGxsDAwMjNX0lEKTi0uzszPAykwrAUAnbrjsCwAAAA="/>
  </w:docVars>
  <w:rsids>
    <w:rsidRoot w:val="00172A27"/>
    <w:rsid w:val="0002670F"/>
    <w:rsid w:val="0004262D"/>
    <w:rsid w:val="00064939"/>
    <w:rsid w:val="0006650E"/>
    <w:rsid w:val="000F5B6C"/>
    <w:rsid w:val="00172A27"/>
    <w:rsid w:val="00175015"/>
    <w:rsid w:val="001F69BC"/>
    <w:rsid w:val="00222617"/>
    <w:rsid w:val="00254546"/>
    <w:rsid w:val="002B61AF"/>
    <w:rsid w:val="002E7987"/>
    <w:rsid w:val="003E19D5"/>
    <w:rsid w:val="003F03BB"/>
    <w:rsid w:val="00445275"/>
    <w:rsid w:val="00447BD2"/>
    <w:rsid w:val="00457068"/>
    <w:rsid w:val="004643B4"/>
    <w:rsid w:val="004E08B1"/>
    <w:rsid w:val="00535602"/>
    <w:rsid w:val="005449EE"/>
    <w:rsid w:val="0054738E"/>
    <w:rsid w:val="0055490B"/>
    <w:rsid w:val="005775AF"/>
    <w:rsid w:val="005F2DAD"/>
    <w:rsid w:val="00685075"/>
    <w:rsid w:val="00694FBB"/>
    <w:rsid w:val="006B6ADD"/>
    <w:rsid w:val="00880E64"/>
    <w:rsid w:val="00A450D4"/>
    <w:rsid w:val="00A83537"/>
    <w:rsid w:val="00AC5625"/>
    <w:rsid w:val="00AF4291"/>
    <w:rsid w:val="00BB7767"/>
    <w:rsid w:val="00BF0DB3"/>
    <w:rsid w:val="00C262E2"/>
    <w:rsid w:val="00C458F4"/>
    <w:rsid w:val="00C97515"/>
    <w:rsid w:val="00CE0B33"/>
    <w:rsid w:val="00CE2447"/>
    <w:rsid w:val="00D711B4"/>
    <w:rsid w:val="00D73B90"/>
    <w:rsid w:val="00D75EEC"/>
    <w:rsid w:val="00D97BC2"/>
    <w:rsid w:val="00DB205B"/>
    <w:rsid w:val="00E05271"/>
    <w:rsid w:val="00E126A2"/>
    <w:rsid w:val="00E40946"/>
    <w:rsid w:val="00F01621"/>
    <w:rsid w:val="00F12FAE"/>
    <w:rsid w:val="00F1561D"/>
    <w:rsid w:val="00F330F7"/>
    <w:rsid w:val="01454A19"/>
    <w:rsid w:val="01701F40"/>
    <w:rsid w:val="03E971B9"/>
    <w:rsid w:val="03F24E4E"/>
    <w:rsid w:val="044123FD"/>
    <w:rsid w:val="04E05611"/>
    <w:rsid w:val="04F738B8"/>
    <w:rsid w:val="06BA782B"/>
    <w:rsid w:val="06D9220D"/>
    <w:rsid w:val="07D54E37"/>
    <w:rsid w:val="086A30A6"/>
    <w:rsid w:val="087968B6"/>
    <w:rsid w:val="087F68BF"/>
    <w:rsid w:val="08891033"/>
    <w:rsid w:val="088A72B1"/>
    <w:rsid w:val="09515580"/>
    <w:rsid w:val="0A906FA7"/>
    <w:rsid w:val="0ACF0E45"/>
    <w:rsid w:val="0AF8312F"/>
    <w:rsid w:val="0B363E67"/>
    <w:rsid w:val="0BD966A1"/>
    <w:rsid w:val="0C663B39"/>
    <w:rsid w:val="0CA86CFB"/>
    <w:rsid w:val="0D140067"/>
    <w:rsid w:val="0D493C30"/>
    <w:rsid w:val="0D780633"/>
    <w:rsid w:val="0DA9013F"/>
    <w:rsid w:val="0EEB1860"/>
    <w:rsid w:val="0F125D7D"/>
    <w:rsid w:val="0F4E520F"/>
    <w:rsid w:val="0F9A00AF"/>
    <w:rsid w:val="10181997"/>
    <w:rsid w:val="10AE1991"/>
    <w:rsid w:val="13A535C3"/>
    <w:rsid w:val="145140CD"/>
    <w:rsid w:val="152B5593"/>
    <w:rsid w:val="16694E73"/>
    <w:rsid w:val="17AD1AC1"/>
    <w:rsid w:val="17F11996"/>
    <w:rsid w:val="17F2528E"/>
    <w:rsid w:val="1852473A"/>
    <w:rsid w:val="1B134622"/>
    <w:rsid w:val="1B2361CD"/>
    <w:rsid w:val="1C406DDA"/>
    <w:rsid w:val="1E5C53C6"/>
    <w:rsid w:val="1E784C7E"/>
    <w:rsid w:val="20215D87"/>
    <w:rsid w:val="206C3D89"/>
    <w:rsid w:val="20726145"/>
    <w:rsid w:val="20DC5B5D"/>
    <w:rsid w:val="221D388D"/>
    <w:rsid w:val="224C12AC"/>
    <w:rsid w:val="23062CA2"/>
    <w:rsid w:val="235B6B59"/>
    <w:rsid w:val="24013C85"/>
    <w:rsid w:val="255F23AE"/>
    <w:rsid w:val="27746BC0"/>
    <w:rsid w:val="28513296"/>
    <w:rsid w:val="289A17FD"/>
    <w:rsid w:val="28AB7720"/>
    <w:rsid w:val="299949F8"/>
    <w:rsid w:val="2B472A46"/>
    <w:rsid w:val="2BAA494E"/>
    <w:rsid w:val="2C221F48"/>
    <w:rsid w:val="2C3607AA"/>
    <w:rsid w:val="2C642279"/>
    <w:rsid w:val="2D216AE3"/>
    <w:rsid w:val="2DBB5ABF"/>
    <w:rsid w:val="2F4D40E6"/>
    <w:rsid w:val="2FE90537"/>
    <w:rsid w:val="2FF30CB1"/>
    <w:rsid w:val="3002359B"/>
    <w:rsid w:val="31D34B10"/>
    <w:rsid w:val="31FE50F9"/>
    <w:rsid w:val="32424954"/>
    <w:rsid w:val="32906E78"/>
    <w:rsid w:val="330502A7"/>
    <w:rsid w:val="33435E32"/>
    <w:rsid w:val="33C058B5"/>
    <w:rsid w:val="33F31262"/>
    <w:rsid w:val="34325BE9"/>
    <w:rsid w:val="346E54AA"/>
    <w:rsid w:val="34FC645D"/>
    <w:rsid w:val="37130530"/>
    <w:rsid w:val="37F629AB"/>
    <w:rsid w:val="381C430A"/>
    <w:rsid w:val="383867B3"/>
    <w:rsid w:val="384E66A7"/>
    <w:rsid w:val="38957A8B"/>
    <w:rsid w:val="389A1164"/>
    <w:rsid w:val="393579AA"/>
    <w:rsid w:val="39D05F76"/>
    <w:rsid w:val="39D16634"/>
    <w:rsid w:val="3A802159"/>
    <w:rsid w:val="3B8E08C2"/>
    <w:rsid w:val="3BC64464"/>
    <w:rsid w:val="3C7718D9"/>
    <w:rsid w:val="3D8865D5"/>
    <w:rsid w:val="3F3E23A1"/>
    <w:rsid w:val="403A316B"/>
    <w:rsid w:val="40C41532"/>
    <w:rsid w:val="421D7E24"/>
    <w:rsid w:val="436B5DC9"/>
    <w:rsid w:val="43EB689F"/>
    <w:rsid w:val="44A17C65"/>
    <w:rsid w:val="44BF283E"/>
    <w:rsid w:val="45447D51"/>
    <w:rsid w:val="46A842AF"/>
    <w:rsid w:val="472F3A82"/>
    <w:rsid w:val="47313034"/>
    <w:rsid w:val="47520917"/>
    <w:rsid w:val="47540986"/>
    <w:rsid w:val="48495892"/>
    <w:rsid w:val="48AA035E"/>
    <w:rsid w:val="48FA69C4"/>
    <w:rsid w:val="49F027FA"/>
    <w:rsid w:val="4A814458"/>
    <w:rsid w:val="4B8808E1"/>
    <w:rsid w:val="4C705A86"/>
    <w:rsid w:val="4EC6644C"/>
    <w:rsid w:val="4F57218D"/>
    <w:rsid w:val="5008460F"/>
    <w:rsid w:val="505E2890"/>
    <w:rsid w:val="50A430EB"/>
    <w:rsid w:val="51284E11"/>
    <w:rsid w:val="520B0D48"/>
    <w:rsid w:val="520C5113"/>
    <w:rsid w:val="52756D70"/>
    <w:rsid w:val="5299387A"/>
    <w:rsid w:val="531F75BB"/>
    <w:rsid w:val="532A67A1"/>
    <w:rsid w:val="53555E3B"/>
    <w:rsid w:val="5414421A"/>
    <w:rsid w:val="54515A0A"/>
    <w:rsid w:val="565E14D8"/>
    <w:rsid w:val="56A514F5"/>
    <w:rsid w:val="56C43EDD"/>
    <w:rsid w:val="56C87239"/>
    <w:rsid w:val="56EA7099"/>
    <w:rsid w:val="56EF0F94"/>
    <w:rsid w:val="56F2406D"/>
    <w:rsid w:val="56FC6B2A"/>
    <w:rsid w:val="582B2677"/>
    <w:rsid w:val="58C72741"/>
    <w:rsid w:val="58E04EFA"/>
    <w:rsid w:val="596359B4"/>
    <w:rsid w:val="5A9C4E14"/>
    <w:rsid w:val="5AA1722F"/>
    <w:rsid w:val="5BD91957"/>
    <w:rsid w:val="5D7E4074"/>
    <w:rsid w:val="5E761D2F"/>
    <w:rsid w:val="5F597A20"/>
    <w:rsid w:val="5FA02687"/>
    <w:rsid w:val="5FC276FC"/>
    <w:rsid w:val="5FEC7036"/>
    <w:rsid w:val="61403D5C"/>
    <w:rsid w:val="61CE73B6"/>
    <w:rsid w:val="62C832E8"/>
    <w:rsid w:val="634B2CFA"/>
    <w:rsid w:val="63977824"/>
    <w:rsid w:val="65202DE8"/>
    <w:rsid w:val="65D2750A"/>
    <w:rsid w:val="65EF7814"/>
    <w:rsid w:val="661B6D7E"/>
    <w:rsid w:val="673E526D"/>
    <w:rsid w:val="69661738"/>
    <w:rsid w:val="69894778"/>
    <w:rsid w:val="69950C8D"/>
    <w:rsid w:val="6AC870F4"/>
    <w:rsid w:val="6B4705A9"/>
    <w:rsid w:val="6BCE6E29"/>
    <w:rsid w:val="6C0541A4"/>
    <w:rsid w:val="6C6B1581"/>
    <w:rsid w:val="6DA50E1A"/>
    <w:rsid w:val="6E8B525F"/>
    <w:rsid w:val="6FB74F99"/>
    <w:rsid w:val="710022BA"/>
    <w:rsid w:val="7134598D"/>
    <w:rsid w:val="71A04CBE"/>
    <w:rsid w:val="729414A0"/>
    <w:rsid w:val="74687BF8"/>
    <w:rsid w:val="747A2464"/>
    <w:rsid w:val="75596C49"/>
    <w:rsid w:val="75BB5F17"/>
    <w:rsid w:val="75DF4F77"/>
    <w:rsid w:val="75FC062C"/>
    <w:rsid w:val="76353C81"/>
    <w:rsid w:val="764B79B8"/>
    <w:rsid w:val="767D60B4"/>
    <w:rsid w:val="78127640"/>
    <w:rsid w:val="79392CAE"/>
    <w:rsid w:val="7ABB7045"/>
    <w:rsid w:val="7B0A2484"/>
    <w:rsid w:val="7B4A2A6B"/>
    <w:rsid w:val="7C176839"/>
    <w:rsid w:val="7CD833EB"/>
    <w:rsid w:val="7D7513C1"/>
    <w:rsid w:val="7EA27E3E"/>
    <w:rsid w:val="7F094ECC"/>
    <w:rsid w:val="7FF773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78" w:lineRule="auto"/>
      <w:jc w:val="both"/>
    </w:pPr>
    <w:rPr>
      <w:rFonts w:ascii="Calibri" w:hAnsi="Calibri" w:eastAsia="宋体" w:cs="Times New Roman"/>
      <w:sz w:val="21"/>
      <w:szCs w:val="22"/>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jc w:val="center"/>
      <w:outlineLvl w:val="1"/>
    </w:pPr>
    <w:rPr>
      <w:rFonts w:ascii="CG Times" w:hAnsi="CG Times"/>
      <w:b/>
      <w:sz w:val="30"/>
      <w:szCs w:val="20"/>
    </w:rPr>
  </w:style>
  <w:style w:type="paragraph" w:styleId="2">
    <w:name w:val="heading 5"/>
    <w:basedOn w:val="1"/>
    <w:next w:val="1"/>
    <w:qFormat/>
    <w:uiPriority w:val="0"/>
    <w:pPr>
      <w:keepNext/>
      <w:keepLines/>
      <w:spacing w:before="280" w:after="290" w:line="376" w:lineRule="auto"/>
      <w:outlineLvl w:val="4"/>
    </w:pPr>
    <w:rPr>
      <w:b/>
      <w:bCs/>
      <w:sz w:val="28"/>
      <w:szCs w:val="28"/>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unhideWhenUsed/>
    <w:qFormat/>
    <w:uiPriority w:val="99"/>
    <w:pPr>
      <w:jc w:val="left"/>
    </w:pPr>
  </w:style>
  <w:style w:type="paragraph" w:styleId="6">
    <w:name w:val="Date"/>
    <w:basedOn w:val="1"/>
    <w:next w:val="1"/>
    <w:link w:val="23"/>
    <w:qFormat/>
    <w:uiPriority w:val="0"/>
    <w:pPr>
      <w:ind w:left="100" w:leftChars="2500"/>
    </w:pPr>
  </w:style>
  <w:style w:type="paragraph" w:styleId="7">
    <w:name w:val="footer"/>
    <w:basedOn w:val="1"/>
    <w:link w:val="15"/>
    <w:qFormat/>
    <w:uiPriority w:val="99"/>
    <w:pPr>
      <w:tabs>
        <w:tab w:val="center" w:pos="4153"/>
        <w:tab w:val="right" w:pos="8306"/>
      </w:tabs>
      <w:snapToGrid w:val="0"/>
      <w:jc w:val="left"/>
    </w:pPr>
    <w:rPr>
      <w:rFonts w:ascii="Times New Roman" w:hAnsi="Times New Roman"/>
      <w:sz w:val="18"/>
      <w:szCs w:val="18"/>
    </w:rPr>
  </w:style>
  <w:style w:type="paragraph" w:styleId="8">
    <w:name w:val="header"/>
    <w:basedOn w:val="1"/>
    <w:link w:val="16"/>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9">
    <w:name w:val="Normal (Web)"/>
    <w:basedOn w:val="1"/>
    <w:qFormat/>
    <w:uiPriority w:val="99"/>
    <w:pPr>
      <w:spacing w:before="100" w:beforeAutospacing="1" w:after="100" w:afterAutospacing="1"/>
      <w:jc w:val="left"/>
    </w:pPr>
    <w:rPr>
      <w:sz w:val="24"/>
    </w:rPr>
  </w:style>
  <w:style w:type="table" w:styleId="11">
    <w:name w:val="Table Grid"/>
    <w:basedOn w:val="10"/>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13">
    <w:name w:val="Strong"/>
    <w:qFormat/>
    <w:uiPriority w:val="22"/>
    <w:rPr>
      <w:b/>
      <w:bCs/>
    </w:rPr>
  </w:style>
  <w:style w:type="character" w:styleId="14">
    <w:name w:val="annotation reference"/>
    <w:basedOn w:val="12"/>
    <w:unhideWhenUsed/>
    <w:qFormat/>
    <w:uiPriority w:val="99"/>
    <w:rPr>
      <w:sz w:val="21"/>
      <w:szCs w:val="21"/>
    </w:rPr>
  </w:style>
  <w:style w:type="character" w:customStyle="1" w:styleId="15">
    <w:name w:val="页脚 字符"/>
    <w:link w:val="7"/>
    <w:qFormat/>
    <w:uiPriority w:val="99"/>
    <w:rPr>
      <w:sz w:val="18"/>
      <w:szCs w:val="18"/>
    </w:rPr>
  </w:style>
  <w:style w:type="character" w:customStyle="1" w:styleId="16">
    <w:name w:val="页眉 字符"/>
    <w:link w:val="8"/>
    <w:qFormat/>
    <w:uiPriority w:val="0"/>
    <w:rPr>
      <w:sz w:val="18"/>
      <w:szCs w:val="18"/>
    </w:rPr>
  </w:style>
  <w:style w:type="character" w:customStyle="1" w:styleId="17">
    <w:name w:val="font11"/>
    <w:qFormat/>
    <w:uiPriority w:val="0"/>
    <w:rPr>
      <w:rFonts w:hint="eastAsia" w:ascii="宋体" w:hAnsi="宋体" w:eastAsia="宋体" w:cs="宋体"/>
      <w:color w:val="000000"/>
      <w:sz w:val="20"/>
      <w:szCs w:val="20"/>
      <w:u w:val="none"/>
    </w:rPr>
  </w:style>
  <w:style w:type="paragraph" w:styleId="18">
    <w:name w:val="List Paragraph"/>
    <w:basedOn w:val="1"/>
    <w:qFormat/>
    <w:uiPriority w:val="99"/>
    <w:pPr>
      <w:ind w:firstLine="420" w:firstLineChars="200"/>
    </w:pPr>
  </w:style>
  <w:style w:type="paragraph" w:customStyle="1" w:styleId="19">
    <w:name w:val="a"/>
    <w:basedOn w:val="1"/>
    <w:qFormat/>
    <w:uiPriority w:val="0"/>
    <w:pPr>
      <w:widowControl/>
      <w:jc w:val="left"/>
    </w:pPr>
    <w:rPr>
      <w:rFonts w:ascii="宋体" w:hAnsi="宋体" w:cs="宋体"/>
      <w:sz w:val="24"/>
    </w:rPr>
  </w:style>
  <w:style w:type="paragraph" w:customStyle="1" w:styleId="20">
    <w:name w:val="Table Paragraph"/>
    <w:basedOn w:val="1"/>
    <w:qFormat/>
    <w:uiPriority w:val="1"/>
    <w:rPr>
      <w:rFonts w:ascii="宋体" w:hAnsi="宋体" w:cs="宋体"/>
      <w:szCs w:val="21"/>
    </w:rPr>
  </w:style>
  <w:style w:type="paragraph" w:customStyle="1" w:styleId="21">
    <w:name w:val="正文1079"/>
    <w:qFormat/>
    <w:uiPriority w:val="0"/>
    <w:pPr>
      <w:widowControl w:val="0"/>
      <w:spacing w:after="160" w:line="278" w:lineRule="auto"/>
      <w:jc w:val="both"/>
    </w:pPr>
    <w:rPr>
      <w:rFonts w:ascii="Times New Roman" w:hAnsi="Times New Roman" w:eastAsia="宋体" w:cs="Times New Roman"/>
      <w:kern w:val="2"/>
      <w:sz w:val="21"/>
      <w:szCs w:val="22"/>
      <w:lang w:val="en-US" w:eastAsia="zh-CN" w:bidi="ar-SA"/>
    </w:rPr>
  </w:style>
  <w:style w:type="paragraph" w:customStyle="1" w:styleId="22">
    <w:name w:val="yhw3"/>
    <w:basedOn w:val="1"/>
    <w:qFormat/>
    <w:uiPriority w:val="0"/>
    <w:pPr>
      <w:ind w:firstLine="640" w:firstLineChars="200"/>
    </w:pPr>
    <w:rPr>
      <w:rFonts w:cs="宋体"/>
    </w:rPr>
  </w:style>
  <w:style w:type="character" w:customStyle="1" w:styleId="23">
    <w:name w:val="日期 字符"/>
    <w:basedOn w:val="12"/>
    <w:link w:val="6"/>
    <w:qFormat/>
    <w:uiPriority w:val="0"/>
    <w:rPr>
      <w:rFonts w:ascii="Calibri" w:hAnsi="Calibri"/>
      <w:sz w:val="21"/>
      <w:szCs w:val="22"/>
    </w:rPr>
  </w:style>
  <w:style w:type="character" w:customStyle="1" w:styleId="24">
    <w:name w:val="font21"/>
    <w:basedOn w:val="12"/>
    <w:qFormat/>
    <w:uiPriority w:val="0"/>
    <w:rPr>
      <w:rFonts w:hint="eastAsia" w:ascii="宋体" w:hAnsi="宋体" w:eastAsia="宋体" w:cs="宋体"/>
      <w:color w:val="000000"/>
      <w:sz w:val="22"/>
      <w:szCs w:val="22"/>
      <w:u w:val="none"/>
    </w:rPr>
  </w:style>
  <w:style w:type="character" w:customStyle="1" w:styleId="25">
    <w:name w:val="font01"/>
    <w:basedOn w:val="12"/>
    <w:qFormat/>
    <w:uiPriority w:val="0"/>
    <w:rPr>
      <w:rFonts w:hint="eastAsia" w:ascii="宋体" w:hAnsi="宋体" w:eastAsia="宋体" w:cs="宋体"/>
      <w:color w:val="000000"/>
      <w:sz w:val="22"/>
      <w:szCs w:val="22"/>
      <w:u w:val="none"/>
    </w:rPr>
  </w:style>
  <w:style w:type="paragraph" w:customStyle="1" w:styleId="26">
    <w:name w:val="Default"/>
    <w:qFormat/>
    <w:uiPriority w:val="0"/>
    <w:pPr>
      <w:widowControl w:val="0"/>
      <w:autoSpaceDE w:val="0"/>
      <w:autoSpaceDN w:val="0"/>
      <w:adjustRightInd w:val="0"/>
      <w:spacing w:after="160" w:line="278" w:lineRule="auto"/>
    </w:pPr>
    <w:rPr>
      <w:rFonts w:ascii="宋体" w:eastAsia="宋体" w:cs="宋体" w:hAnsiTheme="minorHAnsi"/>
      <w:color w:val="000000"/>
      <w:sz w:val="24"/>
      <w:szCs w:val="24"/>
      <w:lang w:val="en-US" w:eastAsia="zh-CN" w:bidi="ar-SA"/>
    </w:rPr>
  </w:style>
  <w:style w:type="paragraph" w:customStyle="1" w:styleId="27">
    <w:name w:val="null3"/>
    <w:hidden/>
    <w:qFormat/>
    <w:uiPriority w:val="0"/>
    <w:pPr>
      <w:spacing w:after="160" w:line="278" w:lineRule="auto"/>
    </w:pPr>
    <w:rPr>
      <w:rFonts w:hint="eastAsia" w:asciiTheme="minorHAnsi" w:hAnsiTheme="minorHAnsi" w:eastAsiaTheme="minorEastAsia" w:cstheme="minorBidi"/>
      <w:lang w:val="en-US" w:eastAsia="zh-CN" w:bidi="ar-SA"/>
    </w:rPr>
  </w:style>
  <w:style w:type="paragraph" w:customStyle="1" w:styleId="28">
    <w:name w:val="Revision"/>
    <w:hidden/>
    <w:unhideWhenUsed/>
    <w:qFormat/>
    <w:uiPriority w:val="99"/>
    <w:pPr>
      <w:spacing w:after="0" w:line="240" w:lineRule="auto"/>
    </w:pPr>
    <w:rPr>
      <w:rFonts w:ascii="Calibri" w:hAnsi="Calibri" w:eastAsia="宋体" w:cs="Times New Roman"/>
      <w:sz w:val="21"/>
      <w:szCs w:val="22"/>
      <w:lang w:val="en-US" w:eastAsia="zh-CN" w:bidi="ar-SA"/>
    </w:rPr>
  </w:style>
  <w:style w:type="table" w:customStyle="1" w:styleId="29">
    <w:name w:val="Table Normal"/>
    <w:semiHidden/>
    <w:unhideWhenUsed/>
    <w:qFormat/>
    <w:uiPriority w:val="0"/>
    <w:rPr>
      <w:rFonts w:asciiTheme="minorHAnsi" w:hAnsiTheme="minorHAnsi" w:eastAsiaTheme="minorEastAsia" w:cstheme="minorBidi"/>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23</Pages>
  <Words>4951</Words>
  <Characters>5109</Characters>
  <Lines>75</Lines>
  <Paragraphs>21</Paragraphs>
  <TotalTime>11</TotalTime>
  <ScaleCrop>false</ScaleCrop>
  <LinksUpToDate>false</LinksUpToDate>
  <CharactersWithSpaces>5157</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2021-11-04T02:29:00Z</dcterms:created>
  <dc:creator>Administrator</dc:creator>
  <cp:lastModifiedBy>彩虹</cp:lastModifiedBy>
  <cp:lastPrinted>2022-10-13T02:20:00Z</cp:lastPrinted>
  <dcterms:modified xsi:type="dcterms:W3CDTF">2025-06-20T08:10:13Z</dcterms:modified>
  <dc:title>投标邀请书</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53727DCA893A46F5811A81F55CF07767_13</vt:lpwstr>
  </property>
</Properties>
</file>