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djustRightInd w:val="0"/>
        <w:snapToGrid w:val="0"/>
        <w:spacing w:line="300" w:lineRule="auto"/>
        <w:jc w:val="left"/>
        <w:rPr>
          <w:rFonts w:ascii="黑体" w:eastAsia="黑体" w:cs="仿宋_GB2312" w:hint="eastAsia"/>
          <w:szCs w:val="32"/>
          <w:lang w:bidi="ar-SA"/>
        </w:rPr>
      </w:pPr>
      <w:r>
        <w:rPr>
          <w:rFonts w:ascii="黑体" w:eastAsia="黑体" w:cs="仿宋_GB2312" w:hint="eastAsia"/>
          <w:szCs w:val="32"/>
          <w:lang w:bidi="ar-SA"/>
        </w:rPr>
        <w:t>附件1</w:t>
      </w:r>
    </w:p>
    <w:p>
      <w:pPr>
        <w:adjustRightInd w:val="0"/>
        <w:snapToGrid w:val="0"/>
        <w:spacing w:line="300" w:lineRule="auto"/>
        <w:jc w:val="center"/>
        <w:rPr>
          <w:rFonts w:ascii="华文中宋" w:eastAsia="华文中宋" w:cs="华文中宋" w:hint="eastAsia"/>
          <w:b/>
          <w:sz w:val="44"/>
          <w:szCs w:val="44"/>
          <w:lang w:bidi="ar-SA"/>
        </w:rPr>
      </w:pPr>
      <w:r>
        <w:rPr>
          <w:rFonts w:ascii="华文中宋" w:eastAsia="华文中宋" w:cs="仿宋_GB2312" w:hint="eastAsia"/>
          <w:b/>
          <w:sz w:val="44"/>
          <w:szCs w:val="44"/>
          <w:lang w:bidi="ar-SA"/>
        </w:rPr>
        <w:t>“高频低功耗大型玻璃管空气源臭氧发生器关键技术及产业化”</w:t>
      </w:r>
      <w:r>
        <w:rPr>
          <w:rFonts w:ascii="华文中宋" w:eastAsia="华文中宋" w:cs="仿宋_GB2312" w:hint="eastAsia"/>
          <w:b/>
          <w:sz w:val="44"/>
          <w:szCs w:val="44"/>
          <w:lang w:eastAsia="zh-CN" w:bidi="ar-SA"/>
        </w:rPr>
        <w:t>技术</w:t>
      </w:r>
      <w:r>
        <w:rPr>
          <w:rFonts w:ascii="华文中宋" w:eastAsia="华文中宋" w:cs="仿宋_GB2312" w:hint="eastAsia"/>
          <w:b/>
          <w:sz w:val="44"/>
          <w:szCs w:val="44"/>
          <w:lang w:bidi="ar-SA"/>
        </w:rPr>
        <w:t>有关情况</w:t>
      </w:r>
    </w:p>
    <w:p>
      <w:pPr>
        <w:adjustRightInd w:val="0"/>
        <w:snapToGrid w:val="0"/>
        <w:spacing w:line="360" w:lineRule="auto"/>
        <w:ind w:firstLineChars="200" w:firstLine="640"/>
        <w:jc w:val="left"/>
        <w:rPr>
          <w:rFonts w:ascii="黑体" w:eastAsia="黑体" w:cs="黑体" w:hint="eastAsia"/>
          <w:kern w:val="0"/>
          <w:szCs w:val="24"/>
          <w:lang w:bidi="ar-SA"/>
        </w:rPr>
      </w:pPr>
    </w:p>
    <w:p>
      <w:pPr>
        <w:keepNext w:val="0"/>
        <w:keepLines w:val="0"/>
        <w:pageBreakBefore w:val="0"/>
        <w:widowControl w:val="0"/>
        <w:kinsoku/>
        <w:wordWrap/>
        <w:topLinePunct w:val="0"/>
        <w:autoSpaceDE w:val="0"/>
        <w:autoSpaceDN w:val="0"/>
        <w:bidi w:val="0"/>
        <w:adjustRightInd w:val="0"/>
        <w:snapToGrid w:val="0"/>
        <w:spacing w:line="360" w:lineRule="auto"/>
        <w:ind w:firstLineChars="200" w:firstLine="640"/>
        <w:textAlignment w:val="auto"/>
        <w:rPr>
          <w:rFonts w:ascii="仿宋_GB2312" w:eastAsia="仿宋_GB2312" w:cs="仿宋_GB2312" w:hint="eastAsia"/>
          <w:sz w:val="32"/>
          <w:szCs w:val="32"/>
          <w:lang w:val="en-US" w:eastAsia="zh-CN"/>
          <w:highlight w:val="auto"/>
        </w:rPr>
      </w:pPr>
      <w:r>
        <w:rPr>
          <w:rFonts w:ascii="黑体" w:eastAsia="黑体" w:cs="黑体" w:hint="eastAsia"/>
          <w:kern w:val="0"/>
          <w:szCs w:val="24"/>
          <w:lang w:bidi="ar-SA"/>
        </w:rPr>
        <w:t>一、</w:t>
      </w:r>
      <w:r>
        <w:rPr>
          <w:rFonts w:ascii="黑体" w:eastAsia="黑体" w:cs="黑体" w:hint="eastAsia"/>
          <w:kern w:val="0"/>
          <w:szCs w:val="24"/>
          <w:lang w:eastAsia="zh-CN" w:bidi="ar-SA"/>
        </w:rPr>
        <w:t>技术</w:t>
      </w:r>
      <w:r>
        <w:rPr>
          <w:rFonts w:ascii="黑体" w:eastAsia="黑体" w:cs="黑体" w:hint="eastAsia"/>
          <w:kern w:val="0"/>
          <w:szCs w:val="24"/>
          <w:lang w:bidi="ar-SA"/>
        </w:rPr>
        <w:t>名称：</w:t>
      </w:r>
      <w:r>
        <w:rPr>
          <w:rFonts w:ascii="仿宋_GB2312" w:eastAsia="仿宋_GB2312" w:cs="仿宋_GB2312" w:hint="eastAsia"/>
          <w:sz w:val="32"/>
          <w:szCs w:val="32"/>
          <w:lang w:val="en-US" w:eastAsia="zh-CN"/>
          <w:highlight w:val="auto"/>
        </w:rPr>
        <w:t>高频低功耗大型玻璃管空气源臭氧发生器关键技术及产业化</w:t>
      </w:r>
    </w:p>
    <w:p>
      <w:pPr>
        <w:keepNext w:val="0"/>
        <w:keepLines w:val="0"/>
        <w:pageBreakBefore w:val="0"/>
        <w:widowControl w:val="0"/>
        <w:kinsoku/>
        <w:wordWrap/>
        <w:topLinePunct w:val="0"/>
        <w:autoSpaceDE w:val="0"/>
        <w:autoSpaceDN w:val="0"/>
        <w:bidi w:val="0"/>
        <w:adjustRightInd w:val="0"/>
        <w:snapToGrid w:val="0"/>
        <w:spacing w:line="360" w:lineRule="auto"/>
        <w:ind w:firstLineChars="200" w:firstLine="640"/>
        <w:textAlignment w:val="auto"/>
        <w:rPr>
          <w:rFonts w:ascii="黑体" w:eastAsia="黑体" w:cs="黑体" w:hint="eastAsia"/>
          <w:kern w:val="0"/>
          <w:szCs w:val="24"/>
          <w:lang w:eastAsia="zh-CN" w:bidi="ar-SA"/>
        </w:rPr>
      </w:pPr>
      <w:r>
        <w:rPr>
          <w:rFonts w:ascii="黑体" w:eastAsia="黑体" w:cs="黑体" w:hint="eastAsia"/>
          <w:kern w:val="0"/>
          <w:szCs w:val="24"/>
          <w:lang w:bidi="ar-SA"/>
        </w:rPr>
        <w:t>二、申报</w:t>
      </w:r>
      <w:r>
        <w:rPr>
          <w:rFonts w:ascii="黑体" w:eastAsia="黑体" w:cs="黑体" w:hint="eastAsia"/>
          <w:kern w:val="0"/>
          <w:szCs w:val="24"/>
          <w:lang w:eastAsia="zh-CN" w:bidi="ar-SA"/>
        </w:rPr>
        <w:t>企业</w:t>
      </w:r>
      <w:r>
        <w:rPr>
          <w:rFonts w:ascii="黑体" w:eastAsia="黑体" w:cs="黑体" w:hint="eastAsia"/>
          <w:kern w:val="0"/>
          <w:szCs w:val="24"/>
          <w:lang w:bidi="ar-SA"/>
        </w:rPr>
        <w:t>：</w:t>
      </w:r>
      <w:r>
        <w:rPr>
          <w:rFonts w:ascii="仿宋_GB2312" w:eastAsia="仿宋_GB2312" w:cs="仿宋_GB2312" w:hint="eastAsia"/>
          <w:lang w:eastAsia="zh-CN" w:bidi="ar-SA"/>
        </w:rPr>
        <w:t>福建龙净新陆科技发展有限公司</w:t>
      </w:r>
    </w:p>
    <w:p>
      <w:pPr>
        <w:keepNext w:val="0"/>
        <w:keepLines w:val="0"/>
        <w:pageBreakBefore w:val="0"/>
        <w:widowControl w:val="0"/>
        <w:kinsoku/>
        <w:wordWrap/>
        <w:topLinePunct w:val="0"/>
        <w:bidi w:val="0"/>
        <w:adjustRightInd w:val="0"/>
        <w:snapToGrid w:val="0"/>
        <w:spacing w:line="360" w:lineRule="auto"/>
        <w:ind w:firstLineChars="200" w:firstLine="640"/>
        <w:textAlignment w:val="auto"/>
        <w:rPr>
          <w:rFonts w:ascii="仿宋_GB2312" w:eastAsia="黑体" w:cs="仿宋_GB2312" w:hAnsi="仿宋_GB2312" w:hint="eastAsia"/>
          <w:lang w:eastAsia="zh-CN" w:bidi="ar-SA"/>
        </w:rPr>
      </w:pPr>
      <w:r>
        <w:rPr>
          <w:rFonts w:ascii="黑体" w:eastAsia="黑体" w:cs="黑体" w:hint="eastAsia"/>
          <w:kern w:val="0"/>
          <w:szCs w:val="24"/>
          <w:lang w:bidi="ar-SA"/>
        </w:rPr>
        <w:t>三、推荐</w:t>
      </w:r>
      <w:r>
        <w:rPr>
          <w:rFonts w:ascii="黑体" w:eastAsia="黑体" w:cs="黑体" w:hint="eastAsia"/>
          <w:kern w:val="0"/>
          <w:szCs w:val="24"/>
          <w:lang w:eastAsia="zh-CN" w:bidi="ar-SA"/>
        </w:rPr>
        <w:t>技术类别</w:t>
      </w:r>
      <w:r>
        <w:rPr>
          <w:rFonts w:ascii="黑体" w:eastAsia="黑体" w:cs="黑体" w:hint="eastAsia"/>
          <w:kern w:val="0"/>
          <w:szCs w:val="24"/>
          <w:lang w:bidi="ar-SA"/>
        </w:rPr>
        <w:t>：</w:t>
      </w:r>
      <w:r>
        <w:rPr>
          <w:rFonts w:ascii="仿宋_GB2312" w:eastAsia="仿宋_GB2312" w:cs="仿宋_GB2312" w:hint="eastAsia"/>
          <w:lang w:eastAsia="zh-CN" w:bidi="ar-SA"/>
        </w:rPr>
        <w:t>水污染防治推广技术</w:t>
      </w:r>
    </w:p>
    <w:p>
      <w:pPr>
        <w:keepNext w:val="0"/>
        <w:keepLines w:val="0"/>
        <w:pageBreakBefore w:val="0"/>
        <w:widowControl w:val="0"/>
        <w:kinsoku/>
        <w:wordWrap/>
        <w:topLinePunct w:val="0"/>
        <w:bidi w:val="0"/>
        <w:adjustRightInd w:val="0"/>
        <w:snapToGrid w:val="0"/>
        <w:spacing w:line="360" w:lineRule="auto"/>
        <w:ind w:firstLineChars="200" w:firstLine="640"/>
        <w:textAlignment w:val="auto"/>
        <w:rPr>
          <w:rFonts w:ascii="仿宋_GB2312" w:eastAsia="仿宋_GB2312" w:cs="仿宋_GB2312" w:hint="eastAsia"/>
          <w:lang w:bidi="ar-SA"/>
        </w:rPr>
      </w:pPr>
      <w:r>
        <w:rPr>
          <w:rFonts w:ascii="黑体" w:eastAsia="黑体" w:cs="黑体" w:hint="eastAsia"/>
          <w:kern w:val="0"/>
          <w:szCs w:val="24"/>
          <w:lang w:bidi="ar-SA"/>
        </w:rPr>
        <w:t>四、推荐单位</w:t>
      </w:r>
      <w:r>
        <w:rPr>
          <w:rFonts w:ascii="仿宋_GB2312" w:eastAsia="仿宋_GB2312" w:cs="仿宋_GB2312" w:hint="eastAsia"/>
          <w:lang w:bidi="ar-SA"/>
        </w:rPr>
        <w:t>：福建省生态环境厅</w:t>
      </w:r>
    </w:p>
    <w:p>
      <w:pPr>
        <w:pStyle w:val="20"/>
        <w:keepNext w:val="0"/>
        <w:keepLines w:val="0"/>
        <w:pageBreakBefore w:val="0"/>
        <w:widowControl w:val="0"/>
        <w:kinsoku/>
        <w:wordWrap/>
        <w:topLinePunct w:val="0"/>
        <w:autoSpaceDE w:val="0"/>
        <w:autoSpaceDN w:val="0"/>
        <w:bidi w:val="0"/>
        <w:adjustRightInd w:val="0"/>
        <w:snapToGrid w:val="0"/>
        <w:spacing w:before="0" w:beforeAutospacing="0" w:after="0" w:afterAutospacing="0" w:line="360" w:lineRule="auto"/>
        <w:ind w:firstLineChars="200" w:firstLine="640"/>
        <w:textAlignment w:val="auto"/>
        <w:rPr>
          <w:rFonts w:ascii="仿宋_GB2312" w:eastAsia="仿宋_GB2312" w:hint="eastAsia"/>
          <w:color w:val="000000"/>
          <w:szCs w:val="32"/>
        </w:rPr>
      </w:pPr>
      <w:r>
        <w:rPr>
          <w:rFonts w:ascii="黑体" w:eastAsia="黑体" w:cs="黑体" w:hint="eastAsia"/>
          <w:lang w:bidi="ar-SA"/>
        </w:rPr>
        <w:t>五、</w:t>
      </w:r>
      <w:r>
        <w:rPr>
          <w:rFonts w:ascii="黑体" w:eastAsia="黑体" w:cs="黑体" w:hint="eastAsia"/>
          <w:lang w:eastAsia="zh-CN" w:bidi="ar-SA"/>
        </w:rPr>
        <w:t>技术</w:t>
      </w:r>
      <w:r>
        <w:rPr>
          <w:rFonts w:ascii="黑体" w:eastAsia="黑体" w:cs="黑体" w:hint="eastAsia"/>
          <w:lang w:bidi="ar-SA"/>
        </w:rPr>
        <w:t>简介：</w:t>
      </w:r>
      <w:r>
        <w:rPr>
          <w:rFonts w:ascii="仿宋_GB2312" w:eastAsia="仿宋_GB2312" w:cs="仿宋_GB2312" w:hint="eastAsia"/>
          <w:spacing w:val="-1"/>
          <w:kern w:val="2"/>
          <w:szCs w:val="32"/>
          <w:lang w:bidi="ar-SA"/>
        </w:rPr>
        <w:t xml:space="preserve"> </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left="0" w:firstLineChars="200" w:firstLine="640"/>
        <w:jc w:val="left"/>
        <w:textAlignment w:val="auto"/>
        <w:rPr>
          <w:rFonts w:ascii="仿宋_GB2312" w:eastAsia="仿宋_GB2312" w:cs="宋体" w:hint="eastAsia"/>
          <w:color w:val="000000"/>
          <w:kern w:val="0"/>
          <w:szCs w:val="32"/>
          <w:lang w:bidi="ar-SA"/>
        </w:rPr>
      </w:pPr>
      <w:r>
        <w:rPr>
          <w:rFonts w:ascii="仿宋_GB2312" w:eastAsia="仿宋_GB2312" w:cs="仿宋_GB2312" w:hint="eastAsia"/>
          <w:sz w:val="32"/>
          <w:szCs w:val="32"/>
          <w:lang w:val="en-US" w:eastAsia="zh-CN"/>
          <w:highlight w:val="auto"/>
        </w:rPr>
        <w:t>近年来由于我国工农业生产迅猛发展和城市生活污水的增加，水污染日趋恶化已成为严峻的现实，大量复杂有机物污染了水源。由于这种污染点多面广难以防范而成为传统常规净水处理工艺的难点。本项目针对国产臭氧发生器长期存在的臭氧产量低、浓度低、能耗高三大行业技术瓶颈，围绕大型臭氧发生装置的关键技术与核心组件开展系统研发与集成创新，成功开发出高效低碳、智慧可靠的大型臭氧发生装备，实现国产高端装备的自主可控与国际领先。</w:t>
      </w:r>
      <w:r>
        <w:rPr>
          <w:rFonts w:ascii="仿宋_GB2312" w:eastAsia="仿宋_GB2312" w:cs="宋体" w:hint="eastAsia"/>
          <w:color w:val="000000"/>
          <w:kern w:val="0"/>
          <w:szCs w:val="32"/>
          <w:lang w:bidi="ar-SA"/>
        </w:rPr>
        <w:t>主要技术创新：</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left="0" w:firstLineChars="200" w:firstLine="640"/>
        <w:jc w:val="left"/>
        <w:textAlignment w:val="auto"/>
        <w:rPr>
          <w:rFonts w:ascii="仿宋_GB2312" w:eastAsia="仿宋_GB2312" w:cs="仿宋_GB2312" w:hint="eastAsia"/>
          <w:sz w:val="32"/>
          <w:szCs w:val="32"/>
          <w:lang w:val="en-US" w:eastAsia="zh-CN"/>
          <w:highlight w:val="auto"/>
        </w:rPr>
      </w:pPr>
      <w:r>
        <w:rPr>
          <w:rFonts w:ascii="仿宋_GB2312" w:eastAsia="仿宋_GB2312" w:cs="仿宋_GB2312" w:hint="eastAsia"/>
          <w:sz w:val="32"/>
          <w:szCs w:val="32"/>
          <w:lang w:val="en-US" w:eastAsia="zh-CN"/>
          <w:highlight w:val="auto"/>
        </w:rPr>
        <w:t>1.高效模块化玻璃放电单元结构设计技术：创新开发蜂窝积木式模块化臭氧发生单元结构，采用特种玻璃管实现放电管细小化与高密度布置，显著提升散热性能与臭氧产生浓度。通过优化双间隙放电结构，有效提高放电效率，大幅降低能耗与运行成本。</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left="0" w:firstLineChars="200" w:firstLine="640"/>
        <w:jc w:val="left"/>
        <w:textAlignment w:val="auto"/>
        <w:rPr>
          <w:rFonts w:ascii="仿宋_GB2312" w:eastAsia="仿宋_GB2312" w:cs="仿宋_GB2312" w:hint="eastAsia"/>
          <w:sz w:val="32"/>
          <w:szCs w:val="32"/>
          <w:lang w:val="en-US" w:eastAsia="zh-CN"/>
          <w:highlight w:val="auto"/>
        </w:rPr>
      </w:pPr>
      <w:r>
        <w:rPr>
          <w:rFonts w:ascii="仿宋_GB2312" w:eastAsia="仿宋_GB2312" w:cs="仿宋_GB2312" w:hint="eastAsia"/>
          <w:sz w:val="32"/>
          <w:szCs w:val="32"/>
          <w:lang w:val="en-US" w:eastAsia="zh-CN"/>
          <w:highlight w:val="auto"/>
        </w:rPr>
        <w:t>2.大功率IGBT高频逆变电源技术：开发专用大功率高频逆变电源系统，实现高频变频谐振电源与臭氧发生单元的精准参数匹配。相比传统中低频电源，该技术显著提高单位电极面积的臭氧产率，在提升臭氧浓度的同时大幅降低电耗。</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left="0" w:firstLineChars="200" w:firstLine="640"/>
        <w:jc w:val="left"/>
        <w:textAlignment w:val="auto"/>
        <w:rPr>
          <w:rFonts w:ascii="仿宋_GB2312" w:eastAsia="仿宋_GB2312" w:cs="仿宋_GB2312" w:hint="eastAsia"/>
          <w:sz w:val="32"/>
          <w:szCs w:val="32"/>
          <w:lang w:val="en-US" w:eastAsia="zh-CN"/>
          <w:highlight w:val="auto"/>
        </w:rPr>
      </w:pPr>
      <w:r>
        <w:rPr>
          <w:rFonts w:ascii="仿宋_GB2312" w:eastAsia="仿宋_GB2312" w:cs="仿宋_GB2312" w:hint="eastAsia"/>
          <w:sz w:val="32"/>
          <w:szCs w:val="32"/>
          <w:lang w:val="en-US" w:eastAsia="zh-CN"/>
          <w:highlight w:val="auto"/>
        </w:rPr>
        <w:t>3.低功耗铁氧体变压器：研制出容性负载专用高频高压变压器，通过创新的绕组结构与性能参数优化，显著提升变压器的稳定性与散热效率，保障电源系统在高负荷条件下的可靠运行。</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left="0" w:firstLineChars="200" w:firstLine="640"/>
        <w:jc w:val="left"/>
        <w:textAlignment w:val="auto"/>
        <w:rPr>
          <w:rFonts w:ascii="仿宋_GB2312" w:eastAsia="仿宋_GB2312" w:cs="仿宋_GB2312" w:hint="eastAsia"/>
          <w:sz w:val="32"/>
          <w:szCs w:val="32"/>
          <w:lang w:val="en-US" w:eastAsia="zh-CN"/>
          <w:highlight w:val="auto"/>
        </w:rPr>
      </w:pPr>
      <w:r>
        <w:rPr>
          <w:rFonts w:ascii="仿宋_GB2312" w:eastAsia="仿宋_GB2312" w:cs="仿宋_GB2312" w:hint="eastAsia"/>
          <w:sz w:val="32"/>
          <w:szCs w:val="32"/>
          <w:lang w:val="en-US" w:eastAsia="zh-CN"/>
          <w:highlight w:val="auto"/>
        </w:rPr>
        <w:t>4.连续可调电感低损耗鼠笼式空心电抗器：创新设计鼠笼式空心电抗器结构，取消传统铁芯结构，采用闭合磁路与高互感系数设计，实现低损耗、低温升、无漏磁干扰的高性能电抗，支持大容量带载串联谐振系统稳定运行。</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left="0" w:firstLineChars="200" w:firstLine="640"/>
        <w:jc w:val="left"/>
        <w:textAlignment w:val="auto"/>
        <w:rPr>
          <w:rFonts w:ascii="仿宋_GB2312" w:eastAsia="仿宋_GB2312" w:cs="仿宋_GB2312" w:hint="eastAsia"/>
          <w:sz w:val="32"/>
          <w:szCs w:val="32"/>
          <w:lang w:val="en-US" w:eastAsia="zh-CN"/>
          <w:highlight w:val="auto"/>
        </w:rPr>
      </w:pPr>
      <w:r>
        <w:rPr>
          <w:rFonts w:ascii="仿宋_GB2312" w:eastAsia="仿宋_GB2312" w:cs="仿宋_GB2312" w:hint="eastAsia"/>
          <w:sz w:val="32"/>
          <w:szCs w:val="32"/>
          <w:lang w:val="en-US" w:eastAsia="zh-CN"/>
          <w:highlight w:val="auto"/>
        </w:rPr>
        <w:t>5.臭氧发生器主体结构与系统集成设计：通过建立数学模型与工业化测试验证，系统完成了臭氧发生器的主体结构与关键部件集成模块化设计，可实现1</w:t>
      </w:r>
      <w:r>
        <w:rPr>
          <w:rFonts w:ascii="仿宋_GB2312" w:eastAsia="仿宋_GB2312" w:cs="仿宋_GB2312"/>
          <w:sz w:val="32"/>
          <w:szCs w:val="32"/>
          <w:lang w:val="en-US" w:eastAsia="zh-CN"/>
          <w:highlight w:val="auto"/>
        </w:rPr>
        <w:t>-</w:t>
      </w:r>
      <w:bookmarkStart w:id="0" w:name="_GoBack"/>
      <w:bookmarkEnd w:id="0"/>
      <w:r>
        <w:rPr>
          <w:rFonts w:ascii="仿宋_GB2312" w:eastAsia="仿宋_GB2312" w:cs="仿宋_GB2312" w:hint="eastAsia"/>
          <w:sz w:val="32"/>
          <w:szCs w:val="32"/>
          <w:lang w:val="en-US" w:eastAsia="zh-CN"/>
          <w:highlight w:val="auto"/>
        </w:rPr>
        <w:t>60kg/h系列空气源臭氧发生器的精准设计与便捷高精度制造，实现整体性能指标优化领先。</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left="0" w:firstLineChars="200" w:firstLine="640"/>
        <w:jc w:val="left"/>
        <w:textAlignment w:val="auto"/>
        <w:rPr>
          <w:rFonts w:ascii="仿宋_GB2312" w:eastAsia="仿宋_GB2312" w:cs="仿宋_GB2312" w:hint="eastAsia"/>
          <w:sz w:val="32"/>
          <w:szCs w:val="32"/>
          <w:lang w:val="en-US" w:eastAsia="zh-CN"/>
          <w:highlight w:val="auto"/>
        </w:rPr>
      </w:pPr>
      <w:r>
        <w:rPr>
          <w:rFonts w:ascii="仿宋_GB2312" w:eastAsia="仿宋_GB2312" w:cs="仿宋_GB2312" w:hint="eastAsia"/>
          <w:sz w:val="32"/>
          <w:szCs w:val="32"/>
          <w:lang w:val="en-US" w:eastAsia="zh-CN"/>
          <w:highlight w:val="auto"/>
        </w:rPr>
        <w:t>6.智能放电管故障主动保护技术：开发了具备智能熔断与全自动保护功能的放电管故障防护系统，实现对放电管故障的实时诊断与隔离，显著提升设备连续无故障运行时间与系统智慧化水平。</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left"/>
        <w:textAlignment w:val="auto"/>
        <w:rPr>
          <w:rFonts w:ascii="黑体" w:eastAsia="黑体" w:cs="宋体" w:hint="eastAsia"/>
          <w:color w:val="000000"/>
          <w:kern w:val="0"/>
          <w:szCs w:val="32"/>
          <w:lang w:bidi="ar-SA"/>
        </w:rPr>
      </w:pPr>
      <w:r>
        <w:rPr>
          <w:rFonts w:ascii="黑体" w:eastAsia="黑体" w:cs="黑体" w:hint="eastAsia"/>
          <w:color w:val="000000"/>
          <w:szCs w:val="32"/>
          <w:shd w:val="clear" w:color="auto" w:fill="FFFFFF"/>
          <w:lang w:bidi="ar-SA"/>
        </w:rPr>
        <w:t>六、</w:t>
      </w:r>
      <w:r>
        <w:rPr>
          <w:rFonts w:ascii="黑体" w:eastAsia="黑体" w:cs="宋体" w:hint="eastAsia"/>
          <w:color w:val="000000"/>
          <w:kern w:val="0"/>
          <w:szCs w:val="32"/>
          <w:lang w:bidi="ar-SA"/>
        </w:rPr>
        <w:t>主要知识产权目录</w:t>
      </w:r>
    </w:p>
    <w:tbl>
      <w:tblPr>
        <w:jc w:val="center"/>
        <w:tblW w:w="91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171"/>
        <w:gridCol w:w="2093"/>
        <w:gridCol w:w="1839"/>
        <w:gridCol w:w="633"/>
        <w:gridCol w:w="1200"/>
        <w:gridCol w:w="1067"/>
        <w:gridCol w:w="401"/>
        <w:gridCol w:w="785"/>
      </w:tblGrid>
      <w:tr>
        <w:trPr>
          <w:trHeight w:val="429"/>
        </w:trPr>
        <w:tc>
          <w:tcPr>
            <w:tcW w:w="9189" w:type="dxa"/>
            <w:gridSpan w:val="8"/>
            <w:noWrap/>
            <w:vAlign w:val="center"/>
          </w:tcPr>
          <w:p>
            <w:pPr>
              <w:pStyle w:val="23"/>
              <w:spacing w:before="98" w:line="161" w:lineRule="auto"/>
              <w:ind w:left="33"/>
              <w:rPr>
                <w:rFonts w:ascii="仿宋_GB2312" w:eastAsia="仿宋_GB2312" w:cs="仿宋_GB2312" w:hint="eastAsia"/>
                <w:sz w:val="21"/>
                <w:szCs w:val="21"/>
                <w:lang w:eastAsia="zh-CN" w:bidi="ar-SA"/>
              </w:rPr>
            </w:pPr>
            <w:r>
              <w:rPr>
                <w:rFonts w:ascii="仿宋_GB2312" w:eastAsia="仿宋_GB2312" w:cs="仿宋_GB2312" w:hint="eastAsia"/>
                <w:spacing w:val="-3"/>
                <w:sz w:val="21"/>
                <w:szCs w:val="21"/>
                <w:lang w:eastAsia="zh-CN" w:bidi="ar-SA"/>
              </w:rPr>
              <w:t>主要知识产权证明目录</w:t>
            </w:r>
          </w:p>
        </w:tc>
      </w:tr>
      <w:tr>
        <w:trPr>
          <w:trHeight w:val="843"/>
        </w:trPr>
        <w:tc>
          <w:tcPr>
            <w:tcW w:w="1171" w:type="dxa"/>
            <w:noWrap/>
            <w:vAlign w:val="center"/>
          </w:tcPr>
          <w:p>
            <w:pPr>
              <w:pStyle w:val="23"/>
              <w:jc w:val="center"/>
              <w:rPr>
                <w:rFonts w:ascii="仿宋_GB2312" w:eastAsia="仿宋_GB2312" w:cs="仿宋_GB2312" w:hint="eastAsia"/>
                <w:sz w:val="21"/>
                <w:szCs w:val="21"/>
                <w:lang w:bidi="ar-SA"/>
              </w:rPr>
            </w:pPr>
            <w:r>
              <w:rPr>
                <w:rFonts w:ascii="仿宋_GB2312" w:eastAsia="仿宋_GB2312" w:cs="仿宋_GB2312" w:hint="eastAsia"/>
                <w:spacing w:val="-4"/>
                <w:sz w:val="21"/>
                <w:szCs w:val="21"/>
                <w:lang w:bidi="ar-SA"/>
              </w:rPr>
              <w:t>知识产权类别</w:t>
            </w:r>
          </w:p>
        </w:tc>
        <w:tc>
          <w:tcPr>
            <w:tcW w:w="2093" w:type="dxa"/>
            <w:noWrap/>
            <w:vAlign w:val="center"/>
          </w:tcPr>
          <w:p>
            <w:pPr>
              <w:pStyle w:val="23"/>
              <w:jc w:val="center"/>
              <w:rPr>
                <w:rFonts w:ascii="仿宋_GB2312" w:eastAsia="仿宋_GB2312" w:cs="仿宋_GB2312" w:hint="eastAsia"/>
                <w:sz w:val="21"/>
                <w:szCs w:val="21"/>
                <w:lang w:bidi="ar-SA"/>
              </w:rPr>
            </w:pPr>
            <w:r>
              <w:rPr>
                <w:rFonts w:ascii="仿宋_GB2312" w:eastAsia="仿宋_GB2312" w:cs="仿宋_GB2312" w:hint="eastAsia"/>
                <w:spacing w:val="-3"/>
                <w:sz w:val="21"/>
                <w:szCs w:val="21"/>
                <w:lang w:bidi="ar-SA"/>
              </w:rPr>
              <w:t>授权专利</w:t>
            </w:r>
            <w:r>
              <w:rPr>
                <w:rFonts w:ascii="仿宋_GB2312" w:eastAsia="仿宋_GB2312" w:cs="仿宋_GB2312" w:hint="eastAsia"/>
                <w:spacing w:val="-6"/>
                <w:sz w:val="21"/>
                <w:szCs w:val="21"/>
                <w:lang w:bidi="ar-SA"/>
              </w:rPr>
              <w:t>名称</w:t>
            </w:r>
          </w:p>
        </w:tc>
        <w:tc>
          <w:tcPr>
            <w:tcW w:w="1839" w:type="dxa"/>
            <w:noWrap/>
            <w:vAlign w:val="center"/>
          </w:tcPr>
          <w:p>
            <w:pPr>
              <w:pStyle w:val="23"/>
              <w:jc w:val="center"/>
              <w:rPr>
                <w:rFonts w:ascii="仿宋_GB2312" w:eastAsia="仿宋_GB2312" w:cs="仿宋_GB2312" w:hint="eastAsia"/>
                <w:sz w:val="21"/>
                <w:szCs w:val="21"/>
                <w:lang w:bidi="ar-SA"/>
              </w:rPr>
            </w:pPr>
            <w:r>
              <w:rPr>
                <w:rFonts w:ascii="仿宋_GB2312" w:eastAsia="仿宋_GB2312" w:cs="仿宋_GB2312" w:hint="eastAsia"/>
                <w:spacing w:val="-4"/>
                <w:sz w:val="21"/>
                <w:szCs w:val="21"/>
                <w:lang w:bidi="ar-SA"/>
              </w:rPr>
              <w:t>授权号</w:t>
            </w:r>
          </w:p>
        </w:tc>
        <w:tc>
          <w:tcPr>
            <w:tcW w:w="633" w:type="dxa"/>
            <w:noWrap/>
            <w:vAlign w:val="center"/>
          </w:tcPr>
          <w:p>
            <w:pPr>
              <w:pStyle w:val="23"/>
              <w:jc w:val="center"/>
              <w:rPr>
                <w:rFonts w:ascii="仿宋_GB2312" w:eastAsia="仿宋_GB2312" w:cs="仿宋_GB2312" w:hint="eastAsia"/>
                <w:sz w:val="21"/>
                <w:szCs w:val="21"/>
                <w:lang w:bidi="ar-SA"/>
              </w:rPr>
            </w:pPr>
            <w:r>
              <w:rPr>
                <w:rFonts w:ascii="仿宋_GB2312" w:eastAsia="仿宋_GB2312" w:cs="仿宋_GB2312" w:hint="eastAsia"/>
                <w:spacing w:val="-12"/>
                <w:sz w:val="21"/>
                <w:szCs w:val="21"/>
                <w:lang w:bidi="ar-SA"/>
              </w:rPr>
              <w:t>国(区)别</w:t>
            </w:r>
          </w:p>
        </w:tc>
        <w:tc>
          <w:tcPr>
            <w:tcW w:w="1200" w:type="dxa"/>
            <w:noWrap/>
            <w:vAlign w:val="center"/>
          </w:tcPr>
          <w:p>
            <w:pPr>
              <w:pStyle w:val="23"/>
              <w:jc w:val="center"/>
              <w:rPr>
                <w:rFonts w:ascii="仿宋_GB2312" w:eastAsia="仿宋_GB2312" w:cs="仿宋_GB2312" w:hint="eastAsia"/>
                <w:sz w:val="21"/>
                <w:szCs w:val="21"/>
                <w:lang w:bidi="ar-SA"/>
              </w:rPr>
            </w:pPr>
            <w:r>
              <w:rPr>
                <w:rFonts w:ascii="仿宋_GB2312" w:eastAsia="仿宋_GB2312" w:cs="仿宋_GB2312" w:hint="eastAsia"/>
                <w:spacing w:val="-5"/>
                <w:sz w:val="21"/>
                <w:szCs w:val="21"/>
                <w:lang w:bidi="ar-SA"/>
              </w:rPr>
              <w:t>权利人</w:t>
            </w:r>
          </w:p>
        </w:tc>
        <w:tc>
          <w:tcPr>
            <w:tcW w:w="1067" w:type="dxa"/>
            <w:noWrap/>
            <w:vAlign w:val="center"/>
          </w:tcPr>
          <w:p>
            <w:pPr>
              <w:pStyle w:val="23"/>
              <w:jc w:val="center"/>
              <w:rPr>
                <w:rFonts w:ascii="仿宋_GB2312" w:eastAsia="仿宋_GB2312" w:cs="仿宋_GB2312" w:hint="eastAsia"/>
                <w:sz w:val="21"/>
                <w:szCs w:val="21"/>
                <w:lang w:bidi="ar-SA"/>
              </w:rPr>
            </w:pPr>
            <w:r>
              <w:rPr>
                <w:rFonts w:ascii="仿宋_GB2312" w:eastAsia="仿宋_GB2312" w:cs="仿宋_GB2312" w:hint="eastAsia"/>
                <w:spacing w:val="-6"/>
                <w:sz w:val="21"/>
                <w:szCs w:val="21"/>
                <w:lang w:bidi="ar-SA"/>
              </w:rPr>
              <w:t>发明人</w:t>
            </w:r>
          </w:p>
        </w:tc>
        <w:tc>
          <w:tcPr>
            <w:tcW w:w="401" w:type="dxa"/>
            <w:noWrap/>
            <w:vAlign w:val="center"/>
          </w:tcPr>
          <w:p>
            <w:pPr>
              <w:pStyle w:val="23"/>
              <w:jc w:val="center"/>
              <w:rPr>
                <w:rFonts w:ascii="仿宋_GB2312" w:eastAsia="仿宋_GB2312" w:cs="仿宋_GB2312" w:hint="eastAsia"/>
                <w:spacing w:val="-6"/>
                <w:sz w:val="21"/>
                <w:szCs w:val="21"/>
                <w:lang w:bidi="ar-SA"/>
              </w:rPr>
            </w:pPr>
            <w:r>
              <w:rPr>
                <w:rFonts w:ascii="仿宋_GB2312" w:eastAsia="仿宋_GB2312" w:cs="仿宋_GB2312" w:hint="eastAsia"/>
                <w:spacing w:val="-6"/>
                <w:sz w:val="21"/>
                <w:szCs w:val="21"/>
                <w:lang w:bidi="ar-SA"/>
              </w:rPr>
              <w:t>有效/无效</w:t>
            </w:r>
          </w:p>
        </w:tc>
        <w:tc>
          <w:tcPr>
            <w:tcW w:w="785" w:type="dxa"/>
            <w:noWrap/>
            <w:vAlign w:val="center"/>
          </w:tcPr>
          <w:p>
            <w:pPr>
              <w:pStyle w:val="23"/>
              <w:jc w:val="center"/>
              <w:rPr>
                <w:rFonts w:ascii="仿宋_GB2312" w:eastAsia="仿宋_GB2312" w:cs="仿宋_GB2312" w:hint="eastAsia"/>
                <w:spacing w:val="-6"/>
                <w:sz w:val="21"/>
                <w:szCs w:val="21"/>
                <w:lang w:bidi="ar-SA"/>
              </w:rPr>
            </w:pPr>
            <w:r>
              <w:rPr>
                <w:rFonts w:ascii="仿宋_GB2312" w:eastAsia="仿宋_GB2312" w:cs="仿宋_GB2312" w:hint="eastAsia"/>
                <w:spacing w:val="-6"/>
                <w:sz w:val="21"/>
                <w:szCs w:val="21"/>
                <w:lang w:bidi="ar-SA"/>
              </w:rPr>
              <w:t>附件</w:t>
            </w:r>
          </w:p>
        </w:tc>
      </w:tr>
      <w:tr>
        <w:trPr>
          <w:trHeight w:val="1348"/>
        </w:trPr>
        <w:tc>
          <w:tcPr>
            <w:tcW w:w="1171" w:type="dxa"/>
            <w:noWrap/>
            <w:vAlign w:val="center"/>
          </w:tcPr>
          <w:p>
            <w:pPr>
              <w:jc w:val="center"/>
              <w:rPr>
                <w:rFonts w:ascii="仿宋_GB2312" w:eastAsia="仿宋_GB2312" w:cs="仿宋_GB2312" w:hint="eastAsia"/>
                <w:sz w:val="21"/>
                <w:szCs w:val="21"/>
                <w:lang w:eastAsia="zh-CN" w:bidi="ar-SA"/>
              </w:rPr>
            </w:pPr>
            <w:r>
              <w:rPr>
                <w:rFonts w:ascii="仿宋_GB2312" w:eastAsia="仿宋_GB2312" w:cs="仿宋_GB2312" w:hint="eastAsia"/>
                <w:sz w:val="21"/>
                <w:szCs w:val="21"/>
                <w:lang w:eastAsia="zh-CN" w:bidi="ar-SA"/>
              </w:rPr>
              <w:t>发明专利</w:t>
            </w:r>
          </w:p>
        </w:tc>
        <w:tc>
          <w:tcPr>
            <w:tcW w:w="2093" w:type="dxa"/>
            <w:noWrap/>
            <w:vAlign w:val="center"/>
          </w:tcPr>
          <w:p>
            <w:pPr>
              <w:jc w:val="center"/>
              <w:rPr>
                <w:rFonts w:ascii="仿宋_GB2312" w:eastAsia="仿宋_GB2312" w:cs="仿宋_GB2312" w:hint="eastAsia"/>
                <w:sz w:val="21"/>
                <w:szCs w:val="21"/>
                <w:lang w:eastAsia="zh-CN" w:bidi="ar-SA"/>
              </w:rPr>
            </w:pPr>
            <w:r>
              <w:rPr>
                <w:rFonts w:ascii="仿宋_GB2312" w:eastAsia="仿宋_GB2312" w:cs="仿宋_GB2312" w:hint="eastAsia"/>
                <w:sz w:val="21"/>
                <w:szCs w:val="21"/>
                <w:lang w:val="en-US" w:eastAsia="zh-CN" w:bidi="ar-SA"/>
              </w:rPr>
              <w:t>绕制空心电抗器高压线圈的绕线环</w:t>
            </w:r>
          </w:p>
        </w:tc>
        <w:tc>
          <w:tcPr>
            <w:tcW w:w="1839" w:type="dxa"/>
            <w:noWrap/>
            <w:vAlign w:val="center"/>
          </w:tcPr>
          <w:p>
            <w:pPr>
              <w:jc w:val="center"/>
              <w:rPr>
                <w:rFonts w:ascii="仿宋_GB2312" w:eastAsia="仿宋_GB2312" w:cs="仿宋_GB2312" w:hint="eastAsia"/>
                <w:sz w:val="21"/>
                <w:szCs w:val="21"/>
                <w:lang w:eastAsia="zh-CN" w:bidi="ar-SA"/>
              </w:rPr>
            </w:pPr>
            <w:r>
              <w:rPr>
                <w:rFonts w:ascii="仿宋_GB2312" w:eastAsia="仿宋_GB2312" w:cs="仿宋_GB2312"/>
                <w:sz w:val="21"/>
                <w:szCs w:val="21"/>
                <w:lang w:eastAsia="zh-CN" w:bidi="ar-SA"/>
              </w:rPr>
              <w:t>ZL</w:t>
            </w:r>
            <w:r>
              <w:rPr>
                <w:rFonts w:ascii="仿宋_GB2312" w:eastAsia="仿宋_GB2312" w:cs="仿宋_GB2312" w:hint="eastAsia"/>
                <w:sz w:val="21"/>
                <w:szCs w:val="21"/>
                <w:lang w:val="en-US" w:eastAsia="zh-CN" w:bidi="ar-SA"/>
              </w:rPr>
              <w:t>202210664366.3</w:t>
            </w:r>
          </w:p>
        </w:tc>
        <w:tc>
          <w:tcPr>
            <w:tcW w:w="633" w:type="dxa"/>
            <w:noWrap/>
            <w:vAlign w:val="center"/>
          </w:tcPr>
          <w:p>
            <w:pPr>
              <w:jc w:val="center"/>
              <w:rPr>
                <w:rFonts w:ascii="仿宋_GB2312" w:eastAsia="仿宋_GB2312" w:cs="仿宋_GB2312" w:hint="eastAsia"/>
                <w:sz w:val="21"/>
                <w:szCs w:val="21"/>
                <w:lang w:eastAsia="zh-CN" w:bidi="ar-SA"/>
              </w:rPr>
            </w:pPr>
            <w:r>
              <w:rPr>
                <w:rFonts w:ascii="仿宋_GB2312" w:eastAsia="仿宋_GB2312" w:cs="仿宋_GB2312" w:hint="eastAsia"/>
                <w:sz w:val="21"/>
                <w:szCs w:val="21"/>
                <w:lang w:eastAsia="zh-CN" w:bidi="ar-SA"/>
              </w:rPr>
              <w:t>中国</w:t>
            </w:r>
          </w:p>
        </w:tc>
        <w:tc>
          <w:tcPr>
            <w:tcW w:w="1200" w:type="dxa"/>
            <w:noWrap/>
            <w:vAlign w:val="center"/>
          </w:tcPr>
          <w:p>
            <w:pPr>
              <w:jc w:val="center"/>
              <w:rPr>
                <w:rFonts w:ascii="仿宋_GB2312" w:eastAsia="仿宋_GB2312" w:cs="仿宋_GB2312" w:hint="eastAsia"/>
                <w:sz w:val="21"/>
                <w:szCs w:val="21"/>
                <w:lang w:eastAsia="zh-CN" w:bidi="ar-SA"/>
              </w:rPr>
            </w:pPr>
            <w:r>
              <w:rPr>
                <w:rFonts w:ascii="仿宋_GB2312" w:eastAsia="仿宋_GB2312" w:cs="仿宋_GB2312" w:hint="eastAsia"/>
                <w:sz w:val="21"/>
                <w:szCs w:val="21"/>
                <w:lang w:eastAsia="zh-CN" w:bidi="ar-SA"/>
              </w:rPr>
              <w:t>福建龙净新陆科技发展有限公司</w:t>
            </w:r>
          </w:p>
        </w:tc>
        <w:tc>
          <w:tcPr>
            <w:tcW w:w="1067" w:type="dxa"/>
            <w:noWrap/>
            <w:vAlign w:val="center"/>
          </w:tcPr>
          <w:p>
            <w:pPr>
              <w:jc w:val="center"/>
              <w:rPr>
                <w:rFonts w:ascii="仿宋_GB2312" w:eastAsia="仿宋_GB2312" w:cs="仿宋_GB2312" w:hint="eastAsia"/>
                <w:sz w:val="21"/>
                <w:szCs w:val="21"/>
                <w:lang w:eastAsia="zh-CN" w:bidi="ar-SA"/>
              </w:rPr>
            </w:pPr>
            <w:r>
              <w:rPr>
                <w:rFonts w:ascii="仿宋_GB2312" w:eastAsia="仿宋_GB2312" w:cs="仿宋_GB2312" w:hint="eastAsia"/>
                <w:sz w:val="21"/>
                <w:szCs w:val="21"/>
                <w:lang w:eastAsia="zh-CN" w:bidi="ar-SA"/>
              </w:rPr>
              <w:t>张良波;张元晖;杜世青;王圣杰;韦信柳</w:t>
            </w:r>
          </w:p>
        </w:tc>
        <w:tc>
          <w:tcPr>
            <w:tcW w:w="401" w:type="dxa"/>
            <w:noWrap/>
            <w:vAlign w:val="center"/>
          </w:tcPr>
          <w:p>
            <w:pPr>
              <w:jc w:val="center"/>
              <w:rPr>
                <w:rFonts w:ascii="仿宋_GB2312" w:eastAsia="仿宋_GB2312" w:cs="仿宋_GB2312" w:hint="eastAsia"/>
                <w:sz w:val="21"/>
                <w:szCs w:val="21"/>
                <w:lang w:eastAsia="zh-CN" w:bidi="ar-SA"/>
              </w:rPr>
            </w:pPr>
            <w:r>
              <w:rPr>
                <w:rFonts w:ascii="仿宋_GB2312" w:eastAsia="仿宋_GB2312" w:cs="仿宋_GB2312" w:hint="eastAsia"/>
                <w:sz w:val="21"/>
                <w:szCs w:val="21"/>
                <w:lang w:eastAsia="zh-CN" w:bidi="ar-SA"/>
              </w:rPr>
              <w:t>有效</w:t>
            </w:r>
          </w:p>
        </w:tc>
        <w:tc>
          <w:tcPr>
            <w:tcW w:w="785" w:type="dxa"/>
            <w:noWrap/>
            <w:vAlign w:val="center"/>
          </w:tcPr>
          <w:p>
            <w:pPr>
              <w:jc w:val="center"/>
              <w:rPr>
                <w:rFonts w:ascii="仿宋_GB2312" w:eastAsia="仿宋_GB2312" w:cs="仿宋_GB2312" w:hint="eastAsia"/>
                <w:sz w:val="21"/>
                <w:szCs w:val="21"/>
                <w:lang w:eastAsia="zh-CN" w:bidi="ar-SA"/>
              </w:rPr>
            </w:pPr>
            <w:r>
              <w:rPr>
                <w:rFonts w:ascii="仿宋_GB2312" w:eastAsia="仿宋_GB2312" w:cs="仿宋_GB2312" w:hint="eastAsia"/>
                <w:sz w:val="21"/>
                <w:szCs w:val="21"/>
                <w:lang w:eastAsia="zh-CN" w:bidi="ar-SA"/>
              </w:rPr>
              <w:t>发明专利证书</w:t>
            </w:r>
          </w:p>
        </w:tc>
      </w:tr>
      <w:tr>
        <w:trPr>
          <w:trHeight w:val="424"/>
        </w:trPr>
        <w:tc>
          <w:tcPr>
            <w:tcW w:w="1171"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发明专利</w:t>
            </w:r>
          </w:p>
        </w:tc>
        <w:tc>
          <w:tcPr>
            <w:tcW w:w="2093"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环形空心电抗器的固定结构</w:t>
            </w:r>
          </w:p>
        </w:tc>
        <w:tc>
          <w:tcPr>
            <w:tcW w:w="1839" w:type="dxa"/>
            <w:noWrap/>
            <w:vAlign w:val="center"/>
          </w:tcPr>
          <w:p>
            <w:pPr>
              <w:jc w:val="center"/>
              <w:rPr>
                <w:rFonts w:ascii="仿宋_GB2312" w:eastAsia="仿宋_GB2312" w:cs="仿宋_GB2312"/>
                <w:sz w:val="21"/>
                <w:szCs w:val="21"/>
                <w:lang w:val="en-US" w:eastAsia="zh-CN" w:bidi="ar-SA"/>
              </w:rPr>
            </w:pPr>
            <w:r>
              <w:rPr>
                <w:rFonts w:ascii="仿宋_GB2312" w:eastAsia="仿宋_GB2312" w:cs="仿宋_GB2312"/>
                <w:sz w:val="21"/>
                <w:szCs w:val="21"/>
                <w:lang w:eastAsia="zh-CN" w:bidi="ar-SA"/>
              </w:rPr>
              <w:t>ZL</w:t>
            </w:r>
            <w:r>
              <w:rPr>
                <w:rFonts w:ascii="仿宋_GB2312" w:eastAsia="仿宋_GB2312" w:cs="仿宋_GB2312"/>
                <w:sz w:val="21"/>
                <w:szCs w:val="21"/>
                <w:lang w:val="en-US" w:eastAsia="zh-CN" w:bidi="ar-SA"/>
              </w:rPr>
              <w:t>202210664335.8</w:t>
            </w:r>
          </w:p>
          <w:p>
            <w:pPr>
              <w:jc w:val="center"/>
              <w:rPr>
                <w:rFonts w:ascii="仿宋_GB2312" w:eastAsia="仿宋_GB2312" w:cs="仿宋_GB2312"/>
                <w:sz w:val="21"/>
                <w:szCs w:val="21"/>
                <w:lang w:val="en-US" w:eastAsia="zh-CN" w:bidi="ar-SA"/>
              </w:rPr>
            </w:pPr>
          </w:p>
        </w:tc>
        <w:tc>
          <w:tcPr>
            <w:tcW w:w="633"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中国</w:t>
            </w:r>
          </w:p>
        </w:tc>
        <w:tc>
          <w:tcPr>
            <w:tcW w:w="1200"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福建龙净新陆科技发展有限公司</w:t>
            </w:r>
          </w:p>
        </w:tc>
        <w:tc>
          <w:tcPr>
            <w:tcW w:w="1067"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张良波;杜世青;张元晖;王圣杰;韦信柳</w:t>
            </w:r>
          </w:p>
        </w:tc>
        <w:tc>
          <w:tcPr>
            <w:tcW w:w="401"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有效</w:t>
            </w:r>
          </w:p>
        </w:tc>
        <w:tc>
          <w:tcPr>
            <w:tcW w:w="785"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发明专利证书</w:t>
            </w:r>
          </w:p>
        </w:tc>
      </w:tr>
      <w:tr>
        <w:trPr>
          <w:trHeight w:val="424"/>
        </w:trPr>
        <w:tc>
          <w:tcPr>
            <w:tcW w:w="1171"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发明专利</w:t>
            </w:r>
          </w:p>
        </w:tc>
        <w:tc>
          <w:tcPr>
            <w:tcW w:w="2093"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干式高频高压电抗器结构</w:t>
            </w:r>
          </w:p>
        </w:tc>
        <w:tc>
          <w:tcPr>
            <w:tcW w:w="1839" w:type="dxa"/>
            <w:noWrap/>
            <w:vAlign w:val="center"/>
          </w:tcPr>
          <w:p>
            <w:pPr>
              <w:jc w:val="center"/>
              <w:rPr>
                <w:rFonts w:ascii="仿宋_GB2312" w:eastAsia="仿宋_GB2312" w:cs="仿宋_GB2312"/>
                <w:sz w:val="21"/>
                <w:szCs w:val="21"/>
                <w:lang w:val="en-US" w:eastAsia="zh-CN" w:bidi="ar-SA"/>
              </w:rPr>
            </w:pPr>
            <w:r>
              <w:rPr>
                <w:rFonts w:ascii="仿宋_GB2312" w:eastAsia="仿宋_GB2312" w:cs="仿宋_GB2312" w:hint="eastAsia"/>
                <w:sz w:val="21"/>
                <w:szCs w:val="21"/>
                <w:lang w:val="en-US" w:eastAsia="zh-CN" w:bidi="ar-SA"/>
              </w:rPr>
              <w:t>ZL201910148177.9</w:t>
            </w:r>
          </w:p>
        </w:tc>
        <w:tc>
          <w:tcPr>
            <w:tcW w:w="633" w:type="dxa"/>
            <w:shd w:val="clear" w:color="auto" w:fill="auto"/>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中国</w:t>
            </w:r>
          </w:p>
        </w:tc>
        <w:tc>
          <w:tcPr>
            <w:tcW w:w="1200" w:type="dxa"/>
            <w:shd w:val="clear" w:color="auto" w:fill="auto"/>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福建龙净新陆科技发展有限公司</w:t>
            </w:r>
          </w:p>
        </w:tc>
        <w:tc>
          <w:tcPr>
            <w:tcW w:w="1067"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张良波;陈滢</w:t>
            </w:r>
          </w:p>
        </w:tc>
        <w:tc>
          <w:tcPr>
            <w:tcW w:w="401" w:type="dxa"/>
            <w:shd w:val="clear" w:color="auto" w:fill="auto"/>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有效</w:t>
            </w:r>
          </w:p>
        </w:tc>
        <w:tc>
          <w:tcPr>
            <w:tcW w:w="785" w:type="dxa"/>
            <w:shd w:val="clear" w:color="auto" w:fill="auto"/>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发明专利证书</w:t>
            </w:r>
          </w:p>
        </w:tc>
      </w:tr>
      <w:tr>
        <w:trPr>
          <w:trHeight w:val="424"/>
        </w:trPr>
        <w:tc>
          <w:tcPr>
            <w:tcW w:w="1171"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实用新型</w:t>
            </w:r>
          </w:p>
        </w:tc>
        <w:tc>
          <w:tcPr>
            <w:tcW w:w="2093"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环形空心电抗器增强结构</w:t>
            </w:r>
          </w:p>
        </w:tc>
        <w:tc>
          <w:tcPr>
            <w:tcW w:w="1839"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 xml:space="preserve">ZL202221470259.9 </w:t>
            </w:r>
          </w:p>
        </w:tc>
        <w:tc>
          <w:tcPr>
            <w:tcW w:w="633" w:type="dxa"/>
            <w:shd w:val="clear" w:color="auto" w:fill="auto"/>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中国</w:t>
            </w:r>
          </w:p>
        </w:tc>
        <w:tc>
          <w:tcPr>
            <w:tcW w:w="1200" w:type="dxa"/>
            <w:shd w:val="clear" w:color="auto" w:fill="auto"/>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福建龙净新陆科技发展有限公司</w:t>
            </w:r>
          </w:p>
        </w:tc>
        <w:tc>
          <w:tcPr>
            <w:tcW w:w="1067"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张良波;杜世青;张元晖;王圣杰;韦信柳</w:t>
            </w:r>
          </w:p>
        </w:tc>
        <w:tc>
          <w:tcPr>
            <w:tcW w:w="401" w:type="dxa"/>
            <w:shd w:val="clear" w:color="auto" w:fill="auto"/>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有效</w:t>
            </w:r>
          </w:p>
        </w:tc>
        <w:tc>
          <w:tcPr>
            <w:tcW w:w="785" w:type="dxa"/>
            <w:shd w:val="clear" w:color="auto" w:fill="auto"/>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发明专利证书</w:t>
            </w:r>
          </w:p>
        </w:tc>
      </w:tr>
      <w:tr>
        <w:trPr>
          <w:trHeight w:val="424"/>
        </w:trPr>
        <w:tc>
          <w:tcPr>
            <w:tcW w:w="1171"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实用新型</w:t>
            </w:r>
          </w:p>
        </w:tc>
        <w:tc>
          <w:tcPr>
            <w:tcW w:w="2093"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立式臭氧发生器电极支撑结构</w:t>
            </w:r>
          </w:p>
        </w:tc>
        <w:tc>
          <w:tcPr>
            <w:tcW w:w="1839"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 xml:space="preserve">ZL202221623059.2 </w:t>
            </w:r>
          </w:p>
        </w:tc>
        <w:tc>
          <w:tcPr>
            <w:tcW w:w="633" w:type="dxa"/>
            <w:shd w:val="clear" w:color="auto" w:fill="auto"/>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中国</w:t>
            </w:r>
          </w:p>
        </w:tc>
        <w:tc>
          <w:tcPr>
            <w:tcW w:w="1200" w:type="dxa"/>
            <w:shd w:val="clear" w:color="auto" w:fill="auto"/>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福建龙净新陆科技发展有限公司</w:t>
            </w:r>
          </w:p>
        </w:tc>
        <w:tc>
          <w:tcPr>
            <w:tcW w:w="1067" w:type="dxa"/>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杜世青;张元晖;韦信柳;杨标标</w:t>
            </w:r>
          </w:p>
        </w:tc>
        <w:tc>
          <w:tcPr>
            <w:tcW w:w="401" w:type="dxa"/>
            <w:shd w:val="clear" w:color="auto" w:fill="auto"/>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有效</w:t>
            </w:r>
          </w:p>
        </w:tc>
        <w:tc>
          <w:tcPr>
            <w:tcW w:w="785" w:type="dxa"/>
            <w:shd w:val="clear" w:color="auto" w:fill="auto"/>
            <w:noWrap/>
            <w:vAlign w:val="center"/>
          </w:tcPr>
          <w:p>
            <w:pPr>
              <w:jc w:val="center"/>
              <w:rPr>
                <w:rFonts w:ascii="仿宋_GB2312" w:eastAsia="仿宋_GB2312" w:cs="仿宋_GB2312" w:hint="eastAsia"/>
                <w:sz w:val="21"/>
                <w:szCs w:val="21"/>
                <w:lang w:val="en-US" w:eastAsia="zh-CN" w:bidi="ar-SA"/>
              </w:rPr>
            </w:pPr>
            <w:r>
              <w:rPr>
                <w:rFonts w:ascii="仿宋_GB2312" w:eastAsia="仿宋_GB2312" w:cs="仿宋_GB2312" w:hint="eastAsia"/>
                <w:sz w:val="21"/>
                <w:szCs w:val="21"/>
                <w:lang w:val="en-US" w:eastAsia="zh-CN" w:bidi="ar-SA"/>
              </w:rPr>
              <w:t>发明专利证书</w:t>
            </w:r>
          </w:p>
        </w:tc>
      </w:tr>
    </w:tbl>
    <w:p>
      <w:pPr>
        <w:rPr>
          <w:rFonts w:ascii="仿宋_GB2312" w:hAnsi="仿宋_GB2312" w:hint="eastAsia"/>
          <w:szCs w:val="32"/>
        </w:rPr>
      </w:pPr>
    </w:p>
    <w:sectPr>
      <w:footerReference w:type="default" r:id="rId2"/>
      <w:footerReference w:type="even" r:id="rId3"/>
      <w:pgSz w:w="11907" w:h="16840"/>
      <w:pgMar w:top="1998" w:right="1531" w:bottom="2041" w:left="1531" w:header="851" w:footer="992" w:gutter="0"/>
      <w:pgNumType w:fmt="numberInDash"/>
      <w:formProt w:val="0"/>
      <w:docGrid w:type="lines" w:linePitch="444" w:charSpace="1606"/>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0"/>
    <w:family w:val="roman"/>
    <w:pitch w:val="variable"/>
    <w:sig w:usb0="00000003" w:usb1="288F0000" w:usb2="00000006" w:usb3="00000000" w:csb0="00040001" w:csb1="00000000"/>
  </w:font>
  <w:font w:name="Times New Roman">
    <w:altName w:val="DejaVu Sans"/>
    <w:panose1 w:val="02020603050405020304"/>
    <w:charset w:val="86"/>
    <w:family w:val="auto"/>
    <w:pitch w:val="variable"/>
    <w:sig w:usb0="00000000" w:usb1="00000000" w:usb2="00000009" w:usb3="00000000" w:csb0="400001FF" w:csb1="FFFF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华文中宋">
    <w:panose1 w:val="02010600040101010101"/>
    <w:charset w:val="86"/>
    <w:family w:val="auto"/>
    <w:pitch w:val="variable"/>
    <w:sig w:usb0="00000287" w:usb1="080F0000" w:usb2="00000000" w:usb3="00000000" w:csb0="0004009F" w:csb1="DFD70000"/>
  </w:font>
  <w:font w:name="Calibri">
    <w:altName w:val="Arial"/>
    <w:panose1 w:val="020F0502020204030204"/>
    <w:charset w:val="00"/>
    <w:family w:val="swiss"/>
    <w:pitch w:val="variable"/>
    <w:sig w:usb0="00000000" w:usb1="00000000" w:usb2="00000001" w:usb3="00000000" w:csb0="0000019F" w:csb1="00000000"/>
  </w:font>
  <w:font w:name="仿宋">
    <w:panose1 w:val="02010609060101010101"/>
    <w:charset w:val="86"/>
    <w:family w:val="modern"/>
    <w:pitch w:val="variable"/>
    <w:sig w:usb0="800002BF" w:usb1="38CF7CFA" w:usb2="00000016" w:usb3="00000000" w:csb0="00040001" w:csb1="00000000"/>
  </w:font>
  <w:font w:name="Arial">
    <w:panose1 w:val="020B0704020202020204"/>
    <w:charset w:val="01"/>
    <w:family w:val="swiss"/>
    <w:pitch w:val="variable"/>
    <w:sig w:usb0="E0002AFF" w:usb1="C0007843" w:usb2="00000009" w:usb3="00000000" w:csb0="400001FF" w:csb1="FFFF0000"/>
  </w:font>
  <w:font w:name="微软雅黑">
    <w:altName w:val="黑体"/>
    <w:panose1 w:val="020B0503020204020204"/>
    <w:charset w:val="86"/>
    <w:family w:val="swiss"/>
    <w:pitch w:val="variable"/>
    <w:sig w:usb0="00000000" w:usb1="00000000"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153"/>
        <w:tab w:val="right" w:pos="8306"/>
      </w:tabs>
      <w:jc w:val="right"/>
    </w:pPr>
    <w:r>
      <w:rPr>
        <w:rStyle w:val="22"/>
        <w:rFonts w:ascii="宋体" w:eastAsia="宋体" w:hint="eastAsia"/>
        <w:sz w:val="28"/>
        <w:szCs w:val="28"/>
      </w:rPr>
      <w:fldChar w:fldCharType="begin"/>
    </w:r>
    <w:r>
      <w:rPr>
        <w:rStyle w:val="22"/>
        <w:rFonts w:ascii="宋体" w:eastAsia="宋体" w:hint="eastAsia"/>
        <w:sz w:val="28"/>
        <w:szCs w:val="28"/>
      </w:rPr>
      <w:instrText xml:space="preserve">PAGE  </w:instrText>
    </w:r>
    <w:r>
      <w:rPr>
        <w:rFonts w:ascii="宋体" w:eastAsia="宋体" w:hint="eastAsia"/>
        <w:sz w:val="28"/>
        <w:szCs w:val="28"/>
      </w:rPr>
      <w:fldChar w:fldCharType="separate"/>
    </w:r>
    <w:r>
      <w:rPr>
        <w:rStyle w:val="22"/>
        <w:rFonts w:ascii="宋体" w:eastAsia="宋体" w:hint="eastAsia"/>
        <w:sz w:val="28"/>
        <w:szCs w:val="28"/>
      </w:rPr>
      <w:t>- 1 -</w:t>
    </w:r>
    <w:r>
      <w:rPr>
        <w:rFonts w:ascii="宋体" w:eastAsia="宋体" w:hint="eastAsia"/>
        <w:sz w:val="28"/>
        <w:szCs w:val="28"/>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tabs>
        <w:tab w:val="center" w:pos="4153"/>
        <w:tab w:val="right" w:pos="8306"/>
      </w:tabs>
      <w:snapToGrid w:val="0"/>
      <w:ind w:firstLineChars="100" w:firstLine="280"/>
      <w:rPr>
        <w:rFonts w:ascii="宋体" w:eastAsia="宋体" w:cs="Times New Roman" w:hint="eastAsia"/>
        <w:sz w:val="28"/>
        <w:szCs w:val="28"/>
        <w:lang w:bidi="ar-SA"/>
      </w:rPr>
    </w:pPr>
    <w:r>
      <w:rPr>
        <w:rFonts w:ascii="宋体" w:eastAsia="宋体" w:cs="Times New Roman" w:hint="eastAsia"/>
        <w:sz w:val="28"/>
        <w:szCs w:val="28"/>
        <w:lang w:bidi="ar-SA"/>
      </w:rPr>
      <w:fldChar w:fldCharType="begin"/>
    </w:r>
    <w:r>
      <w:rPr>
        <w:rFonts w:ascii="宋体" w:eastAsia="宋体" w:cs="Times New Roman" w:hint="eastAsia"/>
        <w:sz w:val="28"/>
        <w:szCs w:val="28"/>
        <w:lang w:bidi="ar-SA"/>
      </w:rPr>
      <w:instrText xml:space="preserve">PAGE  </w:instrText>
    </w:r>
    <w:r>
      <w:rPr>
        <w:rFonts w:ascii="宋体" w:eastAsia="宋体" w:cs="Times New Roman" w:hint="eastAsia"/>
        <w:sz w:val="28"/>
        <w:szCs w:val="28"/>
        <w:lang w:bidi="ar-SA"/>
      </w:rPr>
      <w:fldChar w:fldCharType="separate"/>
    </w:r>
    <w:r>
      <w:rPr>
        <w:rFonts w:ascii="宋体" w:eastAsia="宋体" w:cs="Times New Roman" w:hint="eastAsia"/>
        <w:sz w:val="28"/>
        <w:szCs w:val="28"/>
        <w:lang w:bidi="ar-SA"/>
      </w:rPr>
      <w:t>- 12 -</w:t>
    </w:r>
    <w:r>
      <w:rPr>
        <w:rFonts w:ascii="宋体" w:eastAsia="宋体" w:cs="Times New Roman" w:hint="eastAsia"/>
        <w:sz w:val="28"/>
        <w:szCs w:val="28"/>
        <w:lang w:bidi="ar-SA"/>
      </w:rPr>
      <w:fldChar w:fldCharType="end"/>
    </w:r>
  </w:p>
  <w:p>
    <w:pPr>
      <w:pStyle w:val="17"/>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evenAndOddHeaders/>
  <w:drawingGridHorizontalSpacing w:val="164"/>
  <w:drawingGridVerticalSpacing w:val="222"/>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仿宋" w:cs="Arial" w:hAnsi="Calibri"/>
      <w:kern w:val="2"/>
      <w:sz w:val="32"/>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3">
    <w:name w:val="heading 3"/>
    <w:basedOn w:val="0"/>
    <w:next w:val="0"/>
    <w:pPr>
      <w:keepNext/>
      <w:keepLines/>
      <w:widowControl w:val="0"/>
      <w:spacing w:before="260" w:after="260" w:line="415" w:lineRule="auto"/>
      <w:outlineLvl w:val="2"/>
    </w:pPr>
    <w:rPr>
      <w:b/>
      <w:bCs/>
      <w:szCs w:val="32"/>
    </w:rPr>
  </w:style>
  <w:style w:type="character" w:default="1" w:styleId="10">
    <w:name w:val="Default Paragraph Font"/>
  </w:style>
  <w:style w:type="paragraph" w:styleId="15">
    <w:name w:val="Body Text"/>
    <w:basedOn w:val="0"/>
    <w:pPr>
      <w:widowControl/>
    </w:pPr>
    <w:rPr>
      <w:rFonts w:ascii="Times New Roman" w:eastAsia="宋体" w:cs="Times New Roman" w:hAnsi="Times New Roman"/>
      <w:kern w:val="0"/>
      <w:sz w:val="21"/>
      <w:szCs w:val="24"/>
      <w:lang w:bidi="ar-SA"/>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toc 1"/>
    <w:next w:val="0"/>
    <w:pPr>
      <w:spacing w:before="38" w:after="7"/>
    </w:pPr>
    <w:rPr>
      <w:rFonts w:ascii="Times New Roman" w:eastAsia="宋体" w:cs="宋体" w:hAnsi="Times New Roman"/>
      <w:b/>
      <w:bCs/>
      <w:sz w:val="20"/>
      <w:lang w:val="en-US" w:eastAsia="zh-CN" w:bidi="ar-SA"/>
    </w:rPr>
  </w:style>
  <w:style w:type="paragraph" w:styleId="20">
    <w:name w:val="Normal (Web)"/>
    <w:basedOn w:val="0"/>
    <w:pPr>
      <w:spacing w:before="100" w:beforeAutospacing="1" w:after="100" w:afterAutospacing="1"/>
    </w:pPr>
    <w:rPr>
      <w:rFonts w:ascii="宋体" w:cs="宋体" w:hAnsi="宋体"/>
      <w:sz w:val="32"/>
      <w:szCs w:val="24"/>
      <w:lang w:val="en-US" w:eastAsia="zh-CN" w:bidi="ar-SA"/>
    </w:rPr>
  </w:style>
  <w:style w:type="character" w:styleId="21">
    <w:name w:val="Strong"/>
    <w:basedOn w:val="10"/>
    <w:rPr>
      <w:b/>
    </w:rPr>
  </w:style>
  <w:style w:type="character" w:styleId="22">
    <w:name w:val="page number"/>
    <w:basedOn w:val="10"/>
  </w:style>
  <w:style w:type="paragraph" w:customStyle="1" w:styleId="23">
    <w:name w:val="Table Text"/>
    <w:basedOn w:val="0"/>
    <w:rPr>
      <w:rFonts w:ascii="微软雅黑" w:eastAsia="微软雅黑" w:cs="微软雅黑"/>
      <w:sz w:val="20"/>
      <w:szCs w:val="20"/>
      <w:lang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37</TotalTime>
  <Application>Yozo_Office</Application>
  <Pages>3</Pages>
  <Words>1256</Words>
  <Characters>1347</Characters>
  <Lines>133</Lines>
  <Paragraphs>64</Paragraphs>
  <CharactersWithSpaces>1350</CharactersWithSpaces>
  <Company>evecom</Company>
</Properties>
</file>

<file path=docProps/core.xml><?xml version="1.0" encoding="utf-8"?>
<cp:coreProperties xmlns:cp="http://schemas.openxmlformats.org/package/2006/metadata/core-properties" xmlns:dc="http://purl.org/dc/elements/1.1/" xmlns:dcterms="http://purl.org/dc/terms/" xmlns:xsi="http://www.w3.org/2001/XMLSchema-instance">
  <dc:title> </dc:title>
  <dc:creator>超级管理员</dc:creator>
  <cp:lastModifiedBy>Microsoft</cp:lastModifiedBy>
  <cp:revision>30</cp:revision>
  <cp:lastPrinted>2022-02-28T18:39:00Z</cp:lastPrinted>
  <dcterms:created xsi:type="dcterms:W3CDTF">2022-02-28T17:29:00Z</dcterms:created>
  <dcterms:modified xsi:type="dcterms:W3CDTF">2026-05-26T08:10:46Z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
    <vt:lpwstr>2052-10.8.2.6870</vt:lpwstr>
  </property>
  <property fmtid="{D5CDD505-2E9C-101B-9397-08002B2CF9AE}" pid="3" name="KSOProductBuildVer">
    <vt:lpwstr>2052-11.8.2.10251</vt:lpwstr>
  </property>
  <property fmtid="{D5CDD505-2E9C-101B-9397-08002B2CF9AE}" pid="4" name="KSOTemplateDocerSaveRecord">
    <vt:lpwstr>eyJoZGlkIjoiYmMyODk4YTA0OTA2NDNlMGZkOTgwN2I0YTQyYmNhNGQiLCJ1c2VySWQiOiIxNzAyNzQ4NzQzIn0=</vt:lpwstr>
  </property>
  <property fmtid="{D5CDD505-2E9C-101B-9397-08002B2CF9AE}" pid="5" name="ICV">
    <vt:lpwstr>65B1CCBB3A954159B0F6B49776E63BF5_13</vt:lpwstr>
  </property>
</Properties>
</file>