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A62DA">
      <w:pPr>
        <w:pStyle w:val="5"/>
        <w:rPr>
          <w:rFonts w:ascii="宋体" w:hAnsi="宋体" w:eastAsia="宋体" w:cs="宋体"/>
          <w:color w:val="auto"/>
          <w:sz w:val="56"/>
          <w:szCs w:val="56"/>
        </w:rPr>
      </w:pPr>
      <w:bookmarkStart w:id="0" w:name="_Toc532916737"/>
      <w:bookmarkStart w:id="1" w:name="_Toc28405"/>
    </w:p>
    <w:p w14:paraId="265ED55E">
      <w:pPr>
        <w:pStyle w:val="5"/>
        <w:rPr>
          <w:rFonts w:ascii="宋体" w:hAnsi="宋体" w:eastAsia="宋体" w:cs="宋体"/>
          <w:color w:val="auto"/>
          <w:sz w:val="52"/>
          <w:szCs w:val="52"/>
        </w:rPr>
      </w:pPr>
      <w:r>
        <w:rPr>
          <w:rFonts w:hint="eastAsia" w:ascii="宋体" w:hAnsi="宋体" w:eastAsia="宋体" w:cs="宋体"/>
          <w:color w:val="auto"/>
          <w:sz w:val="52"/>
          <w:szCs w:val="52"/>
        </w:rPr>
        <w:t>智能实验室样品信息数据对接服务项目</w:t>
      </w:r>
    </w:p>
    <w:p w14:paraId="6E4E05DF">
      <w:pPr>
        <w:pStyle w:val="5"/>
        <w:rPr>
          <w:rFonts w:ascii="宋体" w:hAnsi="宋体" w:eastAsia="宋体" w:cs="宋体"/>
          <w:color w:val="auto"/>
          <w:sz w:val="52"/>
          <w:szCs w:val="52"/>
        </w:rPr>
      </w:pPr>
      <w:r>
        <w:rPr>
          <w:rFonts w:hint="eastAsia" w:ascii="宋体" w:hAnsi="宋体" w:eastAsia="宋体" w:cs="宋体"/>
          <w:color w:val="auto"/>
          <w:sz w:val="52"/>
          <w:szCs w:val="52"/>
        </w:rPr>
        <w:t>采购</w:t>
      </w:r>
      <w:bookmarkEnd w:id="0"/>
      <w:bookmarkEnd w:id="1"/>
      <w:r>
        <w:rPr>
          <w:rFonts w:hint="eastAsia" w:ascii="宋体" w:hAnsi="宋体" w:eastAsia="宋体" w:cs="宋体"/>
          <w:color w:val="auto"/>
          <w:sz w:val="52"/>
          <w:szCs w:val="52"/>
        </w:rPr>
        <w:t>文件</w:t>
      </w:r>
    </w:p>
    <w:p w14:paraId="29B7B042">
      <w:pPr>
        <w:ind w:firstLine="560"/>
        <w:rPr>
          <w:rFonts w:cs="Times New Roman"/>
        </w:rPr>
      </w:pPr>
    </w:p>
    <w:p w14:paraId="18D6C1FC">
      <w:pPr>
        <w:ind w:firstLine="560"/>
        <w:rPr>
          <w:rFonts w:cs="Times New Roman"/>
        </w:rPr>
      </w:pPr>
    </w:p>
    <w:p w14:paraId="24A9C439">
      <w:pPr>
        <w:ind w:firstLine="560"/>
        <w:rPr>
          <w:rFonts w:cs="Times New Roman"/>
        </w:rPr>
      </w:pPr>
    </w:p>
    <w:p w14:paraId="4B7CFA4D">
      <w:pPr>
        <w:ind w:firstLine="560"/>
        <w:rPr>
          <w:rFonts w:cs="Times New Roman"/>
        </w:rPr>
      </w:pPr>
    </w:p>
    <w:p w14:paraId="191DB583">
      <w:pPr>
        <w:ind w:firstLine="560"/>
        <w:rPr>
          <w:rFonts w:cs="Times New Roman"/>
        </w:rPr>
      </w:pPr>
    </w:p>
    <w:p w14:paraId="6C49FC09">
      <w:pPr>
        <w:ind w:firstLine="560"/>
        <w:rPr>
          <w:rFonts w:cs="Times New Roman"/>
        </w:rPr>
      </w:pPr>
    </w:p>
    <w:p w14:paraId="03BE3038">
      <w:pPr>
        <w:ind w:firstLine="560"/>
        <w:rPr>
          <w:rFonts w:cs="Times New Roman"/>
        </w:rPr>
      </w:pPr>
    </w:p>
    <w:p w14:paraId="51367BC8">
      <w:pPr>
        <w:ind w:firstLine="560"/>
        <w:rPr>
          <w:rFonts w:cs="Times New Roman"/>
        </w:rPr>
      </w:pPr>
    </w:p>
    <w:p w14:paraId="458091BF">
      <w:pPr>
        <w:ind w:firstLine="560"/>
        <w:rPr>
          <w:rFonts w:cs="Times New Roman"/>
        </w:rPr>
      </w:pPr>
    </w:p>
    <w:p w14:paraId="43791D0F">
      <w:pPr>
        <w:ind w:firstLine="560"/>
        <w:rPr>
          <w:rFonts w:cs="Times New Roman"/>
        </w:rPr>
      </w:pPr>
    </w:p>
    <w:p w14:paraId="511D79A8">
      <w:pPr>
        <w:ind w:firstLine="560"/>
        <w:rPr>
          <w:rFonts w:cs="Times New Roman"/>
        </w:rPr>
      </w:pPr>
    </w:p>
    <w:p w14:paraId="6D7CECEB">
      <w:pPr>
        <w:ind w:firstLine="560"/>
        <w:rPr>
          <w:rFonts w:cs="Times New Roman"/>
        </w:rPr>
      </w:pPr>
    </w:p>
    <w:p w14:paraId="1CBBDA12">
      <w:pPr>
        <w:ind w:firstLine="560"/>
        <w:rPr>
          <w:rFonts w:cs="Times New Roman"/>
        </w:rPr>
      </w:pPr>
    </w:p>
    <w:p w14:paraId="2FAEA08F">
      <w:pPr>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采购单位：福建省福州环境监测中心站</w:t>
      </w:r>
    </w:p>
    <w:p w14:paraId="561C2F1F">
      <w:pPr>
        <w:ind w:firstLine="1928" w:firstLineChars="6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项目编号：FZ</w:t>
      </w:r>
      <w:r>
        <w:rPr>
          <w:rFonts w:hint="eastAsia" w:ascii="仿宋_GB2312" w:hAnsi="仿宋_GB2312" w:eastAsia="仿宋_GB2312" w:cs="仿宋_GB2312"/>
          <w:b/>
          <w:bCs/>
          <w:sz w:val="32"/>
          <w:szCs w:val="32"/>
          <w:lang w:val="en"/>
        </w:rPr>
        <w:t>HJJC</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color w:val="auto"/>
          <w:sz w:val="32"/>
          <w:szCs w:val="32"/>
          <w:lang w:val="en"/>
        </w:rPr>
        <w:t>202</w:t>
      </w:r>
      <w:r>
        <w:rPr>
          <w:rFonts w:hint="eastAsia" w:ascii="仿宋_GB2312" w:hAnsi="仿宋_GB2312" w:eastAsia="仿宋_GB2312" w:cs="仿宋_GB2312"/>
          <w:b/>
          <w:bCs/>
          <w:color w:val="auto"/>
          <w:sz w:val="32"/>
          <w:szCs w:val="32"/>
          <w:lang w:val="en-US" w:eastAsia="zh-CN"/>
        </w:rPr>
        <w:t>6</w:t>
      </w:r>
      <w:r>
        <w:rPr>
          <w:rFonts w:hint="eastAsia" w:ascii="仿宋_GB2312" w:hAnsi="仿宋_GB2312" w:eastAsia="仿宋_GB2312" w:cs="仿宋_GB2312"/>
          <w:b/>
          <w:bCs/>
          <w:color w:val="auto"/>
          <w:sz w:val="32"/>
          <w:szCs w:val="32"/>
          <w:lang w:val="en"/>
        </w:rPr>
        <w:t>0</w:t>
      </w:r>
      <w:r>
        <w:rPr>
          <w:rFonts w:hint="eastAsia" w:ascii="仿宋_GB2312" w:hAnsi="仿宋_GB2312" w:eastAsia="仿宋_GB2312" w:cs="仿宋_GB2312"/>
          <w:b/>
          <w:bCs/>
          <w:color w:val="auto"/>
          <w:sz w:val="32"/>
          <w:szCs w:val="32"/>
          <w:lang w:val="en-US" w:eastAsia="zh-CN"/>
        </w:rPr>
        <w:t>22</w:t>
      </w:r>
    </w:p>
    <w:p w14:paraId="6AE3BCEF">
      <w:pPr>
        <w:ind w:firstLine="1928" w:firstLineChars="6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时    间：2026年9月</w:t>
      </w:r>
    </w:p>
    <w:p w14:paraId="3EF60002">
      <w:pPr>
        <w:jc w:val="center"/>
        <w:rPr>
          <w:rFonts w:cs="Times New Roman"/>
        </w:rPr>
      </w:pPr>
    </w:p>
    <w:p w14:paraId="4530C407">
      <w:pPr>
        <w:jc w:val="left"/>
        <w:rPr>
          <w:rFonts w:cs="Times New Roman"/>
        </w:rPr>
      </w:pPr>
    </w:p>
    <w:p w14:paraId="490C17CB">
      <w:pPr>
        <w:rPr>
          <w:rFonts w:cs="Times New Roman"/>
        </w:rPr>
      </w:pPr>
    </w:p>
    <w:p w14:paraId="33690645">
      <w:pPr>
        <w:rPr>
          <w:rFonts w:cs="Times New Roman"/>
        </w:rPr>
      </w:pPr>
    </w:p>
    <w:p w14:paraId="169341C1">
      <w:pPr>
        <w:rPr>
          <w:rFonts w:cs="Times New Roman"/>
        </w:rPr>
      </w:pPr>
    </w:p>
    <w:p w14:paraId="477D7B34">
      <w:pPr>
        <w:rPr>
          <w:rFonts w:cs="Times New Roman"/>
        </w:rPr>
      </w:pPr>
    </w:p>
    <w:p w14:paraId="05EC16BA">
      <w:pPr>
        <w:rPr>
          <w:rFonts w:cs="Times New Roman"/>
        </w:rPr>
      </w:pPr>
    </w:p>
    <w:p w14:paraId="4B1EEB95">
      <w:pPr>
        <w:rPr>
          <w:rFonts w:cs="Times New Roman"/>
        </w:rPr>
      </w:pPr>
    </w:p>
    <w:p w14:paraId="25449279">
      <w:pPr>
        <w:rPr>
          <w:rFonts w:cs="Times New Roman"/>
        </w:rPr>
      </w:pPr>
    </w:p>
    <w:p w14:paraId="3ED2FE50">
      <w:pPr>
        <w:rPr>
          <w:rFonts w:cs="Times New Roman"/>
        </w:rPr>
      </w:pPr>
    </w:p>
    <w:p w14:paraId="3CADDC74">
      <w:pPr>
        <w:rPr>
          <w:rFonts w:cs="Times New Roman"/>
        </w:rPr>
      </w:pPr>
    </w:p>
    <w:p w14:paraId="2D870F61">
      <w:pPr>
        <w:rPr>
          <w:rFonts w:cs="Times New Roman"/>
        </w:rPr>
      </w:pPr>
    </w:p>
    <w:p w14:paraId="3BE20746">
      <w:pPr>
        <w:rPr>
          <w:rFonts w:cs="Times New Roman"/>
        </w:rPr>
      </w:pPr>
    </w:p>
    <w:p w14:paraId="222FB1D8">
      <w:pPr>
        <w:jc w:val="center"/>
        <w:rPr>
          <w:rFonts w:ascii="隶书" w:hAnsi="隶书" w:eastAsia="隶书" w:cs="隶书"/>
          <w:sz w:val="56"/>
          <w:szCs w:val="56"/>
        </w:rPr>
        <w:sectPr>
          <w:pgSz w:w="11906" w:h="16838"/>
          <w:pgMar w:top="1304" w:right="1418" w:bottom="1701" w:left="1418" w:header="851" w:footer="992" w:gutter="0"/>
          <w:cols w:space="720" w:num="1"/>
          <w:docGrid w:type="lines" w:linePitch="312" w:charSpace="0"/>
        </w:sectPr>
      </w:pPr>
    </w:p>
    <w:p w14:paraId="2F6E644B">
      <w:pPr>
        <w:pStyle w:val="2"/>
      </w:pPr>
    </w:p>
    <w:p w14:paraId="6EFC69B2">
      <w:pPr>
        <w:jc w:val="center"/>
        <w:rPr>
          <w:rFonts w:ascii="宋体" w:hAnsi="宋体" w:cs="宋体"/>
          <w:b/>
          <w:bCs/>
          <w:sz w:val="44"/>
          <w:szCs w:val="44"/>
        </w:rPr>
      </w:pPr>
      <w:r>
        <w:rPr>
          <w:rFonts w:hint="eastAsia" w:ascii="宋体" w:hAnsi="宋体" w:cs="宋体"/>
          <w:b/>
          <w:bCs/>
          <w:sz w:val="44"/>
          <w:szCs w:val="44"/>
        </w:rPr>
        <w:t>目录</w:t>
      </w:r>
    </w:p>
    <w:p w14:paraId="69318EED">
      <w:pPr>
        <w:pStyle w:val="15"/>
        <w:tabs>
          <w:tab w:val="right" w:leader="dot" w:pos="9752"/>
        </w:tabs>
        <w:spacing w:line="300" w:lineRule="atLeast"/>
        <w:ind w:firstLine="420"/>
        <w:rPr>
          <w:rFonts w:ascii="隶书" w:cs="Times New Roman"/>
          <w:sz w:val="21"/>
          <w:szCs w:val="21"/>
        </w:rPr>
      </w:pPr>
    </w:p>
    <w:p w14:paraId="29086014">
      <w:pPr>
        <w:pStyle w:val="15"/>
        <w:tabs>
          <w:tab w:val="right" w:leader="dot" w:pos="9742"/>
        </w:tabs>
        <w:spacing w:line="500" w:lineRule="exact"/>
        <w:ind w:firstLine="0" w:firstLineChars="0"/>
        <w:rPr>
          <w:rFonts w:ascii="隶书" w:hAnsi="宋体" w:cs="隶书"/>
          <w:sz w:val="30"/>
          <w:szCs w:val="30"/>
        </w:rPr>
      </w:pPr>
    </w:p>
    <w:p w14:paraId="61A2A9B0">
      <w:pPr>
        <w:pStyle w:val="15"/>
        <w:tabs>
          <w:tab w:val="right" w:leader="dot" w:pos="9742"/>
        </w:tabs>
        <w:spacing w:line="500" w:lineRule="exact"/>
        <w:ind w:firstLine="0" w:firstLineChars="0"/>
        <w:rPr>
          <w:rFonts w:ascii="隶书" w:hAnsi="宋体" w:cs="隶书"/>
          <w:sz w:val="30"/>
          <w:szCs w:val="30"/>
        </w:rPr>
      </w:pPr>
      <w:r>
        <w:fldChar w:fldCharType="begin"/>
      </w:r>
      <w:r>
        <w:instrText xml:space="preserve"> HYPERLINK \l "_Toc532916738" </w:instrText>
      </w:r>
      <w:r>
        <w:fldChar w:fldCharType="separate"/>
      </w:r>
      <w:r>
        <w:rPr>
          <w:rFonts w:hint="eastAsia" w:ascii="宋体" w:hAnsi="宋体" w:eastAsia="宋体" w:cs="隶书"/>
          <w:b/>
          <w:sz w:val="32"/>
          <w:szCs w:val="32"/>
        </w:rPr>
        <w:t>第一章  采购邀请函</w:t>
      </w:r>
      <w:r>
        <w:rPr>
          <w:rFonts w:hint="eastAsia" w:ascii="隶书" w:hAnsi="宋体" w:cs="隶书"/>
          <w:sz w:val="30"/>
          <w:szCs w:val="30"/>
        </w:rPr>
        <w:tab/>
      </w:r>
      <w:r>
        <w:rPr>
          <w:rFonts w:hint="eastAsia" w:ascii="隶书" w:hAnsi="宋体" w:cs="隶书"/>
          <w:sz w:val="30"/>
          <w:szCs w:val="30"/>
        </w:rPr>
        <w:t>1</w:t>
      </w:r>
      <w:r>
        <w:rPr>
          <w:rFonts w:hint="eastAsia" w:ascii="隶书" w:hAnsi="宋体" w:cs="隶书"/>
          <w:sz w:val="30"/>
          <w:szCs w:val="30"/>
        </w:rPr>
        <w:fldChar w:fldCharType="end"/>
      </w:r>
    </w:p>
    <w:p w14:paraId="3D9D033C">
      <w:pPr>
        <w:pStyle w:val="15"/>
        <w:tabs>
          <w:tab w:val="right" w:leader="dot" w:pos="9742"/>
        </w:tabs>
        <w:spacing w:line="500" w:lineRule="exact"/>
        <w:ind w:firstLine="0" w:firstLineChars="0"/>
        <w:rPr>
          <w:rFonts w:ascii="隶书" w:hAnsi="宋体" w:cs="隶书"/>
          <w:sz w:val="30"/>
          <w:szCs w:val="30"/>
        </w:rPr>
      </w:pPr>
      <w:r>
        <w:fldChar w:fldCharType="begin"/>
      </w:r>
      <w:r>
        <w:instrText xml:space="preserve"> HYPERLINK \l "_Toc532916739" </w:instrText>
      </w:r>
      <w:r>
        <w:fldChar w:fldCharType="separate"/>
      </w:r>
      <w:r>
        <w:rPr>
          <w:rFonts w:hint="eastAsia" w:ascii="宋体" w:hAnsi="宋体" w:eastAsia="宋体" w:cs="隶书"/>
          <w:b/>
          <w:sz w:val="32"/>
          <w:szCs w:val="32"/>
        </w:rPr>
        <w:t>第二章  供应商须知</w:t>
      </w:r>
      <w:r>
        <w:rPr>
          <w:rFonts w:hint="eastAsia" w:ascii="隶书" w:hAnsi="宋体" w:cs="隶书"/>
          <w:sz w:val="30"/>
          <w:szCs w:val="30"/>
        </w:rPr>
        <w:tab/>
      </w:r>
      <w:r>
        <w:rPr>
          <w:rFonts w:hint="eastAsia" w:ascii="隶书" w:hAnsi="宋体" w:cs="隶书"/>
          <w:sz w:val="30"/>
          <w:szCs w:val="30"/>
        </w:rPr>
        <w:t>2</w:t>
      </w:r>
      <w:r>
        <w:rPr>
          <w:rFonts w:hint="eastAsia" w:ascii="隶书" w:hAnsi="宋体" w:cs="隶书"/>
          <w:sz w:val="30"/>
          <w:szCs w:val="30"/>
        </w:rPr>
        <w:fldChar w:fldCharType="end"/>
      </w:r>
    </w:p>
    <w:p w14:paraId="545BC662">
      <w:pPr>
        <w:pStyle w:val="15"/>
        <w:tabs>
          <w:tab w:val="right" w:leader="dot" w:pos="9742"/>
        </w:tabs>
        <w:spacing w:line="500" w:lineRule="exact"/>
        <w:ind w:firstLine="600"/>
        <w:rPr>
          <w:rFonts w:ascii="隶书" w:hAnsi="宋体" w:cs="隶书"/>
          <w:sz w:val="30"/>
          <w:szCs w:val="30"/>
        </w:rPr>
      </w:pPr>
    </w:p>
    <w:p w14:paraId="4C402C97">
      <w:pPr>
        <w:pStyle w:val="15"/>
        <w:tabs>
          <w:tab w:val="right" w:leader="dot" w:pos="9742"/>
        </w:tabs>
        <w:spacing w:line="360" w:lineRule="auto"/>
        <w:ind w:firstLine="800"/>
        <w:rPr>
          <w:rFonts w:ascii="隶书" w:hAnsi="宋体" w:cs="Times New Roman"/>
          <w:sz w:val="40"/>
          <w:szCs w:val="40"/>
        </w:rPr>
      </w:pPr>
    </w:p>
    <w:p w14:paraId="36325965">
      <w:pPr>
        <w:rPr>
          <w:rFonts w:ascii="隶书" w:hAnsi="宋体" w:eastAsia="隶书" w:cs="Times New Roman"/>
          <w:sz w:val="40"/>
          <w:szCs w:val="40"/>
        </w:rPr>
      </w:pPr>
    </w:p>
    <w:p w14:paraId="721C9F49">
      <w:pPr>
        <w:rPr>
          <w:rFonts w:ascii="隶书" w:hAnsi="宋体" w:eastAsia="隶书" w:cs="Times New Roman"/>
          <w:sz w:val="40"/>
          <w:szCs w:val="40"/>
        </w:rPr>
      </w:pPr>
    </w:p>
    <w:p w14:paraId="4AF2B697">
      <w:pPr>
        <w:rPr>
          <w:rFonts w:ascii="隶书" w:hAnsi="宋体" w:eastAsia="隶书" w:cs="Times New Roman"/>
          <w:sz w:val="40"/>
          <w:szCs w:val="40"/>
        </w:rPr>
      </w:pPr>
    </w:p>
    <w:p w14:paraId="4D1F9B04">
      <w:pPr>
        <w:rPr>
          <w:rFonts w:ascii="隶书" w:hAnsi="宋体" w:eastAsia="隶书" w:cs="Times New Roman"/>
          <w:sz w:val="40"/>
          <w:szCs w:val="40"/>
        </w:rPr>
      </w:pPr>
    </w:p>
    <w:p w14:paraId="204EC8DA">
      <w:pPr>
        <w:rPr>
          <w:rFonts w:ascii="隶书" w:hAnsi="宋体" w:eastAsia="隶书" w:cs="Times New Roman"/>
          <w:sz w:val="40"/>
          <w:szCs w:val="40"/>
        </w:rPr>
      </w:pPr>
    </w:p>
    <w:p w14:paraId="76D877B5">
      <w:pPr>
        <w:rPr>
          <w:rFonts w:ascii="隶书" w:hAnsi="宋体" w:eastAsia="隶书" w:cs="Times New Roman"/>
          <w:sz w:val="40"/>
          <w:szCs w:val="40"/>
        </w:rPr>
      </w:pPr>
    </w:p>
    <w:p w14:paraId="5923C834">
      <w:pPr>
        <w:rPr>
          <w:rFonts w:ascii="隶书" w:hAnsi="宋体" w:eastAsia="隶书" w:cs="Times New Roman"/>
          <w:sz w:val="40"/>
          <w:szCs w:val="40"/>
        </w:rPr>
        <w:sectPr>
          <w:footerReference r:id="rId3" w:type="default"/>
          <w:pgSz w:w="11906" w:h="16838"/>
          <w:pgMar w:top="1304" w:right="1077" w:bottom="1304" w:left="1077" w:header="851" w:footer="992" w:gutter="0"/>
          <w:pgNumType w:start="1"/>
          <w:cols w:space="720" w:num="1"/>
          <w:docGrid w:type="lines" w:linePitch="312" w:charSpace="0"/>
        </w:sectPr>
      </w:pPr>
    </w:p>
    <w:p w14:paraId="3CBC9F4A">
      <w:pPr>
        <w:pStyle w:val="6"/>
        <w:spacing w:after="240" w:line="360" w:lineRule="auto"/>
        <w:jc w:val="center"/>
        <w:rPr>
          <w:rFonts w:cs="Times New Roman"/>
        </w:rPr>
      </w:pPr>
      <w:bookmarkStart w:id="2" w:name="_Toc29546"/>
      <w:bookmarkStart w:id="3" w:name="_Toc532916738"/>
      <w:r>
        <w:rPr>
          <w:rFonts w:hint="eastAsia" w:cs="宋体"/>
        </w:rPr>
        <w:t>第一章 采购邀请</w:t>
      </w:r>
      <w:bookmarkEnd w:id="2"/>
      <w:bookmarkEnd w:id="3"/>
      <w:r>
        <w:rPr>
          <w:rFonts w:hint="eastAsia" w:cs="宋体"/>
        </w:rPr>
        <w:t>函</w:t>
      </w:r>
    </w:p>
    <w:p w14:paraId="601E41D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福建省福州环境监测中心站拟对智能实验室样品信息数据对接服务项目进行报价邀请，本着公平、公正、公开的原则，诚邀符合资质的供应商参与本项目。</w:t>
      </w:r>
    </w:p>
    <w:p w14:paraId="1044DBD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凡有意参与本项目的供应商，请于2026年9月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日18:00前提交报价及相关资格审查材料，逾期报名或资料不全的不予受理。</w:t>
      </w:r>
    </w:p>
    <w:p w14:paraId="48A155B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邮寄地址：福州市晋安区金鸡山路32号 福建省福州环境监测中心站</w:t>
      </w:r>
    </w:p>
    <w:p w14:paraId="248B069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联系人与联系电话：</w:t>
      </w:r>
      <w:r>
        <w:rPr>
          <w:rFonts w:hint="eastAsia" w:ascii="仿宋_GB2312" w:hAnsi="仿宋_GB2312" w:eastAsia="仿宋_GB2312" w:cs="仿宋_GB2312"/>
          <w:sz w:val="32"/>
          <w:szCs w:val="32"/>
          <w:lang w:val="en-US" w:eastAsia="zh-CN"/>
        </w:rPr>
        <w:t>林</w:t>
      </w:r>
      <w:r>
        <w:rPr>
          <w:rFonts w:hint="eastAsia" w:ascii="仿宋_GB2312" w:hAnsi="仿宋_GB2312" w:eastAsia="仿宋_GB2312" w:cs="仿宋_GB2312"/>
          <w:sz w:val="32"/>
          <w:szCs w:val="32"/>
        </w:rPr>
        <w:t>先生，</w:t>
      </w:r>
      <w:r>
        <w:rPr>
          <w:rFonts w:hint="eastAsia" w:ascii="仿宋_GB2312" w:hAnsi="仿宋_GB2312" w:eastAsia="仿宋_GB2312" w:cs="仿宋_GB2312"/>
          <w:sz w:val="32"/>
          <w:szCs w:val="32"/>
          <w:lang w:val="en-US" w:eastAsia="zh-CN"/>
        </w:rPr>
        <w:t>13705928358</w:t>
      </w:r>
      <w:r>
        <w:rPr>
          <w:rFonts w:hint="eastAsia" w:ascii="仿宋_GB2312" w:hAnsi="仿宋_GB2312" w:eastAsia="仿宋_GB2312" w:cs="仿宋_GB2312"/>
          <w:sz w:val="32"/>
          <w:szCs w:val="32"/>
        </w:rPr>
        <w:t>。</w:t>
      </w:r>
    </w:p>
    <w:p w14:paraId="55173B93">
      <w:pPr>
        <w:spacing w:line="600" w:lineRule="exact"/>
        <w:ind w:firstLine="560"/>
        <w:jc w:val="right"/>
        <w:rPr>
          <w:rFonts w:ascii="仿宋_GB2312" w:hAnsi="仿宋_GB2312" w:eastAsia="仿宋_GB2312" w:cs="仿宋_GB2312"/>
          <w:sz w:val="32"/>
          <w:szCs w:val="32"/>
        </w:rPr>
      </w:pPr>
    </w:p>
    <w:p w14:paraId="788D16D0">
      <w:pPr>
        <w:spacing w:line="600" w:lineRule="exact"/>
        <w:ind w:firstLine="560"/>
        <w:jc w:val="right"/>
        <w:rPr>
          <w:rFonts w:ascii="仿宋_GB2312" w:hAnsi="仿宋_GB2312" w:eastAsia="仿宋_GB2312" w:cs="仿宋_GB2312"/>
          <w:sz w:val="32"/>
          <w:szCs w:val="32"/>
        </w:rPr>
      </w:pPr>
    </w:p>
    <w:p w14:paraId="2E76B1A5">
      <w:pPr>
        <w:spacing w:line="600" w:lineRule="exact"/>
        <w:ind w:right="840" w:rightChars="400" w:firstLine="561"/>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福建省福州环境监测中心站</w:t>
      </w:r>
    </w:p>
    <w:p w14:paraId="2417128B">
      <w:pPr>
        <w:spacing w:line="600" w:lineRule="exact"/>
        <w:ind w:firstLine="56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2026年9月15日</w:t>
      </w:r>
    </w:p>
    <w:p w14:paraId="4787E2BD">
      <w:pPr>
        <w:widowControl/>
        <w:spacing w:line="360" w:lineRule="auto"/>
        <w:jc w:val="left"/>
        <w:rPr>
          <w:rFonts w:cs="Times New Roman"/>
        </w:rPr>
      </w:pPr>
    </w:p>
    <w:p w14:paraId="43ECEC7D">
      <w:pPr>
        <w:widowControl/>
        <w:spacing w:line="360" w:lineRule="auto"/>
        <w:jc w:val="left"/>
        <w:rPr>
          <w:rFonts w:cs="Times New Roman"/>
        </w:rPr>
      </w:pPr>
    </w:p>
    <w:p w14:paraId="2C82B4E6">
      <w:pPr>
        <w:widowControl/>
        <w:spacing w:line="360" w:lineRule="auto"/>
        <w:jc w:val="left"/>
        <w:rPr>
          <w:rFonts w:cs="Times New Roman"/>
        </w:rPr>
      </w:pPr>
    </w:p>
    <w:p w14:paraId="5A53C3F3">
      <w:pPr>
        <w:pStyle w:val="2"/>
      </w:pPr>
    </w:p>
    <w:p w14:paraId="67BFD0E0">
      <w:pPr>
        <w:pStyle w:val="3"/>
      </w:pPr>
    </w:p>
    <w:p w14:paraId="50C16927"/>
    <w:p w14:paraId="1EF4D263">
      <w:pPr>
        <w:pStyle w:val="2"/>
      </w:pPr>
    </w:p>
    <w:p w14:paraId="5215E9A1">
      <w:pPr>
        <w:pStyle w:val="3"/>
      </w:pPr>
    </w:p>
    <w:p w14:paraId="6A7B7572"/>
    <w:p w14:paraId="2D18F730">
      <w:pPr>
        <w:pStyle w:val="2"/>
      </w:pPr>
    </w:p>
    <w:p w14:paraId="619876FF">
      <w:pPr>
        <w:pStyle w:val="3"/>
      </w:pPr>
    </w:p>
    <w:p w14:paraId="02B82BFF"/>
    <w:p w14:paraId="6278805C"/>
    <w:p w14:paraId="5D9D2963">
      <w:pPr>
        <w:pStyle w:val="2"/>
      </w:pPr>
    </w:p>
    <w:p w14:paraId="6B94CBC5">
      <w:pPr>
        <w:pStyle w:val="2"/>
      </w:pPr>
    </w:p>
    <w:p w14:paraId="41BA5BF3">
      <w:pPr>
        <w:pStyle w:val="3"/>
      </w:pPr>
    </w:p>
    <w:p w14:paraId="45A7A5DF"/>
    <w:p w14:paraId="2706F73E">
      <w:pPr>
        <w:pStyle w:val="6"/>
        <w:spacing w:before="0" w:after="0" w:line="240" w:lineRule="exact"/>
        <w:jc w:val="center"/>
        <w:rPr>
          <w:rFonts w:cs="宋体"/>
        </w:rPr>
      </w:pPr>
      <w:bookmarkStart w:id="4" w:name="_Toc532916739"/>
      <w:bookmarkStart w:id="5" w:name="_Toc1074"/>
    </w:p>
    <w:p w14:paraId="46EDD187">
      <w:pPr>
        <w:pStyle w:val="6"/>
        <w:spacing w:before="0" w:after="0" w:line="600" w:lineRule="exact"/>
        <w:jc w:val="center"/>
        <w:rPr>
          <w:rFonts w:cs="Times New Roman"/>
        </w:rPr>
      </w:pPr>
      <w:r>
        <w:rPr>
          <w:rFonts w:hint="eastAsia" w:cs="宋体"/>
        </w:rPr>
        <w:t>第二章 供应商须知</w:t>
      </w:r>
      <w:bookmarkEnd w:id="4"/>
      <w:bookmarkEnd w:id="5"/>
    </w:p>
    <w:p w14:paraId="3A550261">
      <w:pPr>
        <w:spacing w:line="60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一、项目概况</w:t>
      </w:r>
    </w:p>
    <w:p w14:paraId="24545E38">
      <w:pPr>
        <w:widowControl/>
        <w:numPr>
          <w:ilvl w:val="0"/>
          <w:numId w:val="1"/>
        </w:num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项目名称：智能实验室样品信息数据对接服务项目。</w:t>
      </w:r>
    </w:p>
    <w:p w14:paraId="257A4049">
      <w:pPr>
        <w:widowControl/>
        <w:numPr>
          <w:ilvl w:val="0"/>
          <w:numId w:val="2"/>
        </w:num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项目地址：福州市晋安区金鸡山路32号。</w:t>
      </w:r>
    </w:p>
    <w:p w14:paraId="4D6A2FC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（三）服务期限：自签订合同起3个月。</w:t>
      </w:r>
    </w:p>
    <w:p w14:paraId="267A26F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（四）预算要求：根据初步市场调研情况，本项目采购价格以</w:t>
      </w:r>
      <w:r>
        <w:rPr>
          <w:rFonts w:hint="eastAsia" w:ascii="仿宋_GB2312" w:hAnsi="仿宋_GB2312" w:eastAsia="仿宋_GB2312" w:cs="仿宋_GB2312"/>
          <w:sz w:val="32"/>
          <w:szCs w:val="32"/>
          <w:lang w:bidi="en-US"/>
        </w:rPr>
        <w:t>6.9</w:t>
      </w:r>
      <w:r>
        <w:rPr>
          <w:rFonts w:hint="eastAsia" w:ascii="仿宋_GB2312" w:hAnsi="仿宋_GB2312" w:eastAsia="仿宋_GB2312" w:cs="仿宋_GB2312"/>
          <w:sz w:val="32"/>
          <w:szCs w:val="32"/>
        </w:rPr>
        <w:t>万元为上限。</w:t>
      </w:r>
    </w:p>
    <w:p w14:paraId="6751819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（五）项目概况</w:t>
      </w:r>
    </w:p>
    <w:p w14:paraId="23B04B36">
      <w:pPr>
        <w:widowControl/>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为提升福建省福州环境监测中心站</w:t>
      </w:r>
      <w:r>
        <w:rPr>
          <w:rFonts w:hint="eastAsia" w:ascii="仿宋_GB2312" w:hAnsi="仿宋" w:eastAsia="仿宋_GB2312" w:cs="仿宋"/>
          <w:sz w:val="32"/>
          <w:szCs w:val="32"/>
        </w:rPr>
        <w:t>智能实验室整体运行效率</w:t>
      </w:r>
      <w:r>
        <w:rPr>
          <w:rFonts w:hint="eastAsia" w:ascii="仿宋_GB2312" w:hAnsi="Cambria Math" w:eastAsia="仿宋_GB2312" w:cs="Cambria Math"/>
          <w:bCs/>
          <w:sz w:val="32"/>
          <w:szCs w:val="32"/>
        </w:rPr>
        <w:t>，</w:t>
      </w:r>
      <w:r>
        <w:rPr>
          <w:rFonts w:hint="eastAsia" w:ascii="仿宋_GB2312" w:hAnsi="仿宋" w:eastAsia="仿宋_GB2312" w:cs="仿宋"/>
          <w:sz w:val="32"/>
          <w:szCs w:val="32"/>
        </w:rPr>
        <w:t>缩短样品“采、运、测”全过程周期，</w:t>
      </w:r>
      <w:r>
        <w:rPr>
          <w:rFonts w:hint="eastAsia" w:ascii="仿宋_GB2312" w:hAnsi="Cambria Math" w:eastAsia="仿宋_GB2312" w:cs="Cambria Math"/>
          <w:bCs/>
          <w:sz w:val="32"/>
          <w:szCs w:val="32"/>
        </w:rPr>
        <w:t>支撑水污染防治精细化管理，</w:t>
      </w:r>
      <w:r>
        <w:rPr>
          <w:rFonts w:hint="eastAsia" w:ascii="仿宋_GB2312" w:hAnsi="仿宋" w:eastAsia="仿宋_GB2312" w:cs="仿宋"/>
          <w:sz w:val="32"/>
          <w:szCs w:val="32"/>
        </w:rPr>
        <w:t>助力课题研究工作，</w:t>
      </w:r>
      <w:r>
        <w:rPr>
          <w:rFonts w:hint="eastAsia" w:ascii="仿宋_GB2312" w:hAnsi="Cambria Math" w:eastAsia="仿宋_GB2312" w:cs="Cambria Math"/>
          <w:bCs/>
          <w:sz w:val="32"/>
          <w:szCs w:val="32"/>
        </w:rPr>
        <w:t>拟开展智能实验室样品信息数据对接服务项目采购。</w:t>
      </w:r>
    </w:p>
    <w:p w14:paraId="56314E4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（六）采购内容</w:t>
      </w:r>
    </w:p>
    <w:p w14:paraId="6108CCD1">
      <w:pPr>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中标方在服务期内提供工具软件一套、标签打印机和扫码PDA硬件一套，并安排一名驻点人员（大学本科及以上学历、一年以上工作经验）协助甲方开展样品信息数据对接工作。工具软件需具备样品调度功能和数据智能处理功能，具体功能要求如下：</w:t>
      </w:r>
    </w:p>
    <w:p w14:paraId="77AB77A3">
      <w:pPr>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1.样品调度</w:t>
      </w:r>
    </w:p>
    <w:p w14:paraId="0CD671D4">
      <w:pPr>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（1）软件功能覆盖任务下发方、接收任务方，具备多个终端共同编辑能力；</w:t>
      </w:r>
    </w:p>
    <w:p w14:paraId="63B1F286">
      <w:pPr>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2）具有多种任务下发模板且均可编辑，编辑项目包括任务编码、任务名称、样品名称（格式为任务编码+采样日期+自增序号）、点位名称、经纬度、监测项目、频次等，其中采样日期可在接受任务方的终端编辑输入，样品名称可手动调整或自动生成；</w:t>
      </w:r>
    </w:p>
    <w:p w14:paraId="55938F74">
      <w:pPr>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（3）除在软件中直接编辑生成任务外，还可通过本地文件导入、内网</w:t>
      </w:r>
      <w:bookmarkStart w:id="6" w:name="_GoBack"/>
      <w:r>
        <w:rPr>
          <w:rFonts w:hint="eastAsia" w:ascii="仿宋_GB2312" w:hAnsi="Cambria Math" w:eastAsia="仿宋_GB2312" w:cs="Cambria Math"/>
          <w:bCs/>
          <w:sz w:val="32"/>
          <w:szCs w:val="32"/>
        </w:rPr>
        <w:t>其它</w:t>
      </w:r>
      <w:bookmarkEnd w:id="6"/>
      <w:r>
        <w:rPr>
          <w:rFonts w:hint="eastAsia" w:ascii="仿宋_GB2312" w:hAnsi="Cambria Math" w:eastAsia="仿宋_GB2312" w:cs="Cambria Math"/>
          <w:bCs/>
          <w:sz w:val="32"/>
          <w:szCs w:val="32"/>
        </w:rPr>
        <w:t>系统接口（如LIMS系统）、甲方智慧实验室的中控系统下发等方式进行发起任务；</w:t>
      </w:r>
    </w:p>
    <w:p w14:paraId="4221088A">
      <w:pPr>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（4）下发任务可关联特定账号及检测项目信息；</w:t>
      </w:r>
    </w:p>
    <w:p w14:paraId="05E4A57D">
      <w:pPr>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（5）任务下发时可设置送样日期范围，并可设置样品下发周期，例如月度、季度或特定日期；</w:t>
      </w:r>
    </w:p>
    <w:p w14:paraId="01E01929">
      <w:pPr>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（6）任务接收方可查看、编辑采样现场参数，如采样日期时间、保存剂、现场水印照片、坐标等，同时任务下发方能在中控界面上编辑相应日期的送样数量；</w:t>
      </w:r>
    </w:p>
    <w:p w14:paraId="12D51E59">
      <w:pPr>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（7）具有任务查看界面，任务下发方和任务接受方能看到对应的任务信息和参数，可以绑定归档的报告，具有水质类别示警功能，若检测结果高于设定的水质类别限值，则对该数据进行警告提示；</w:t>
      </w:r>
    </w:p>
    <w:p w14:paraId="0545C37E">
      <w:pPr>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（8）采样、送样完成后，软件可编辑生成样品信息，在样品列表中显示。样品如有完整二维码标签，可采用扫码PDA硬件进行数据绑定；</w:t>
      </w:r>
    </w:p>
    <w:p w14:paraId="5EBE0CAD">
      <w:pPr>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9）具备打印样品标签功能，标签格式与内容可编辑，打印时一次生成2张标签，其中一张为长方形含样品信息和二维码的标签，标签内容包括任务编码、样品编码、样品名称、点位名称、采样时间（可由任务接收方补充）、是否添加保存剂（可由任务接收方补充）等，另一张为单独二维码标签。</w:t>
      </w:r>
    </w:p>
    <w:p w14:paraId="60B462D9">
      <w:pPr>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2.数据智能处理</w:t>
      </w:r>
    </w:p>
    <w:p w14:paraId="274A8379">
      <w:pPr>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1）软件能对甲方智能实验室中控系统的电子日志和生成的原始记录进行数据智能处理，处理后能对检测结果进行数据有效性判定，若存在下列情况，软件应自动标记并同步追溯分析全流程，并判定数据有效性：实验室分析过程异常、内部质控结果不符合相关要求（如室内空白样、室内平行样、校准曲线核查、精密度、正确度等）、外部质控结果不符合要求（如现场平行样、全程序空白样、密码平行样、密码加标样、密码质量控制样等）；</w:t>
      </w:r>
    </w:p>
    <w:p w14:paraId="52C589D4">
      <w:pPr>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（2）能根据检测结果对点位水质类别进行达标判断；</w:t>
      </w:r>
    </w:p>
    <w:p w14:paraId="5B463BB9">
      <w:pPr>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（3）能将检测结果按设定的规则生成对接文件，与LIMS系统、“一张图”、省生态环境厅监测数据系统等第三方系统对接，用于后续的分析与展示。</w:t>
      </w:r>
    </w:p>
    <w:p w14:paraId="796C3018">
      <w:pPr>
        <w:spacing w:line="600" w:lineRule="exact"/>
        <w:ind w:firstLine="640" w:firstLineChars="200"/>
        <w:rPr>
          <w:rFonts w:hint="eastAsia" w:ascii="仿宋_GB2312" w:hAnsi="Cambria Math" w:eastAsia="仿宋_GB2312" w:cs="Cambria Math"/>
          <w:bCs/>
          <w:sz w:val="32"/>
          <w:szCs w:val="32"/>
        </w:rPr>
      </w:pPr>
      <w:r>
        <w:rPr>
          <w:rFonts w:hint="eastAsia" w:ascii="仿宋_GB2312" w:hAnsi="Cambria Math" w:eastAsia="仿宋_GB2312" w:cs="Cambria Math"/>
          <w:bCs/>
          <w:sz w:val="32"/>
          <w:szCs w:val="32"/>
        </w:rPr>
        <w:t>3.</w:t>
      </w:r>
      <w:r>
        <w:rPr>
          <w:rFonts w:hint="eastAsia" w:ascii="仿宋_GB2312" w:hAnsi="仿宋_GB2312" w:eastAsia="仿宋_GB2312" w:cs="仿宋_GB2312"/>
          <w:sz w:val="32"/>
          <w:szCs w:val="32"/>
        </w:rPr>
        <w:t>本项目服务期内产生的信息数据所有权属于采购人，未经采购人允许，不得提供给第三方</w:t>
      </w:r>
      <w:r>
        <w:rPr>
          <w:rFonts w:hint="eastAsia" w:ascii="仿宋_GB2312" w:hAnsi="Cambria Math" w:eastAsia="仿宋_GB2312" w:cs="Cambria Math"/>
          <w:bCs/>
          <w:sz w:val="32"/>
          <w:szCs w:val="32"/>
        </w:rPr>
        <w:t>。</w:t>
      </w:r>
    </w:p>
    <w:p w14:paraId="0B9924F5">
      <w:pPr>
        <w:spacing w:line="600" w:lineRule="exact"/>
        <w:ind w:firstLine="640" w:firstLineChars="200"/>
        <w:rPr>
          <w:rFonts w:ascii="仿宋_GB2312" w:eastAsia="仿宋_GB2312"/>
          <w:sz w:val="32"/>
          <w:szCs w:val="32"/>
        </w:rPr>
      </w:pPr>
      <w:r>
        <w:rPr>
          <w:rFonts w:hint="eastAsia" w:ascii="仿宋_GB2312" w:hAnsi="Cambria Math" w:eastAsia="仿宋_GB2312" w:cs="Cambria Math"/>
          <w:bCs/>
          <w:sz w:val="32"/>
          <w:szCs w:val="32"/>
        </w:rPr>
        <w:t>4.</w:t>
      </w:r>
      <w:r>
        <w:rPr>
          <w:rFonts w:hint="eastAsia" w:ascii="仿宋_GB2312" w:hAnsi="仿宋_GB2312" w:eastAsia="仿宋_GB2312" w:cs="仿宋_GB2312"/>
          <w:sz w:val="32"/>
          <w:szCs w:val="32"/>
        </w:rPr>
        <w:t>项目要求自合同签订之日起立即开展相关技术服务工作。</w:t>
      </w:r>
    </w:p>
    <w:p w14:paraId="714F02D2">
      <w:pPr>
        <w:spacing w:line="600" w:lineRule="exact"/>
        <w:ind w:firstLine="640" w:firstLineChars="200"/>
        <w:rPr>
          <w:rFonts w:ascii="黑体" w:hAnsi="黑体" w:eastAsia="黑体" w:cs="仿宋_GB2312"/>
          <w:sz w:val="32"/>
          <w:szCs w:val="32"/>
        </w:rPr>
      </w:pPr>
      <w:r>
        <w:rPr>
          <w:rFonts w:hint="eastAsia" w:ascii="黑体" w:hAnsi="黑体" w:eastAsia="黑体" w:cs="Times New Roman"/>
          <w:sz w:val="32"/>
          <w:szCs w:val="32"/>
        </w:rPr>
        <w:t>二、</w:t>
      </w:r>
      <w:r>
        <w:rPr>
          <w:rFonts w:hint="eastAsia" w:ascii="黑体" w:hAnsi="黑体" w:eastAsia="黑体"/>
          <w:sz w:val="32"/>
          <w:szCs w:val="32"/>
        </w:rPr>
        <w:t>报价文件</w:t>
      </w:r>
    </w:p>
    <w:p w14:paraId="55CBA2B8">
      <w:pPr>
        <w:pStyle w:val="16"/>
        <w:spacing w:line="600" w:lineRule="exact"/>
        <w:ind w:firstLine="640" w:firstLineChars="200"/>
        <w:jc w:val="both"/>
        <w:rPr>
          <w:rFonts w:ascii="仿宋_GB2312" w:hAnsi="仿宋_GB2312" w:eastAsia="仿宋_GB2312" w:cs="仿宋_GB2312"/>
          <w:kern w:val="2"/>
          <w:sz w:val="32"/>
          <w:szCs w:val="32"/>
          <w:lang w:bidi="en-US"/>
        </w:rPr>
      </w:pPr>
      <w:r>
        <w:rPr>
          <w:rFonts w:hint="eastAsia" w:ascii="仿宋_GB2312" w:hAnsi="仿宋_GB2312" w:eastAsia="仿宋_GB2312" w:cs="仿宋_GB2312"/>
          <w:kern w:val="2"/>
          <w:sz w:val="32"/>
          <w:szCs w:val="32"/>
          <w:lang w:bidi="en-US"/>
        </w:rPr>
        <w:t>（一）单位授权书</w:t>
      </w:r>
    </w:p>
    <w:p w14:paraId="1A15EEDE">
      <w:pPr>
        <w:pStyle w:val="16"/>
        <w:spacing w:line="600" w:lineRule="exact"/>
        <w:ind w:firstLine="640" w:firstLineChars="200"/>
        <w:jc w:val="both"/>
        <w:rPr>
          <w:rFonts w:ascii="仿宋_GB2312" w:hAnsi="仿宋_GB2312" w:eastAsia="仿宋_GB2312" w:cs="仿宋_GB2312"/>
          <w:kern w:val="2"/>
          <w:sz w:val="32"/>
          <w:szCs w:val="32"/>
          <w:lang w:bidi="en-US"/>
        </w:rPr>
      </w:pPr>
      <w:r>
        <w:rPr>
          <w:rFonts w:hint="eastAsia" w:ascii="仿宋_GB2312" w:hAnsi="仿宋_GB2312" w:eastAsia="仿宋_GB2312" w:cs="仿宋_GB2312"/>
          <w:kern w:val="2"/>
          <w:sz w:val="32"/>
          <w:szCs w:val="32"/>
          <w:lang w:bidi="en-US"/>
        </w:rPr>
        <w:t>若申请人代表为单位授权的委托代理人，应提供本授权书；若申请人代表为单位负责人，应在此项下提交其身份证正反面复印件，可不提供本授权书。申请人为自然人的，可不填写本授权书。</w:t>
      </w:r>
    </w:p>
    <w:p w14:paraId="30EE1F4B">
      <w:pPr>
        <w:pStyle w:val="16"/>
        <w:spacing w:line="600" w:lineRule="exact"/>
        <w:ind w:firstLine="640" w:firstLineChars="200"/>
        <w:jc w:val="both"/>
        <w:rPr>
          <w:rFonts w:ascii="仿宋_GB2312" w:hAnsi="仿宋_GB2312" w:eastAsia="仿宋_GB2312" w:cs="仿宋_GB2312"/>
          <w:kern w:val="2"/>
          <w:sz w:val="32"/>
          <w:szCs w:val="32"/>
          <w:lang w:bidi="en-US"/>
        </w:rPr>
      </w:pPr>
      <w:r>
        <w:rPr>
          <w:rFonts w:hint="eastAsia" w:ascii="仿宋_GB2312" w:hAnsi="仿宋_GB2312" w:eastAsia="仿宋_GB2312" w:cs="仿宋_GB2312"/>
          <w:kern w:val="2"/>
          <w:sz w:val="32"/>
          <w:szCs w:val="32"/>
          <w:lang w:bidi="en-US"/>
        </w:rPr>
        <w:t>（二）营业执照等证明文件</w:t>
      </w:r>
    </w:p>
    <w:p w14:paraId="3C41C12A">
      <w:pPr>
        <w:pStyle w:val="16"/>
        <w:spacing w:line="600" w:lineRule="exact"/>
        <w:ind w:firstLine="640" w:firstLineChars="200"/>
        <w:jc w:val="both"/>
        <w:rPr>
          <w:rFonts w:ascii="仿宋_GB2312" w:hAnsi="仿宋_GB2312" w:eastAsia="仿宋_GB2312" w:cs="仿宋_GB2312"/>
          <w:kern w:val="2"/>
          <w:sz w:val="32"/>
          <w:szCs w:val="32"/>
          <w:lang w:bidi="en-US"/>
        </w:rPr>
      </w:pPr>
      <w:r>
        <w:rPr>
          <w:rFonts w:hint="eastAsia" w:ascii="仿宋_GB2312" w:hAnsi="仿宋_GB2312" w:eastAsia="仿宋_GB2312" w:cs="仿宋_GB2312"/>
          <w:kern w:val="2"/>
          <w:sz w:val="32"/>
          <w:szCs w:val="32"/>
          <w:lang w:bidi="en-US"/>
        </w:rPr>
        <w:t>1.申请人为企业的，提供有效的营业执照复印件；申请人为事业单位的，提供有效的事业单位法人证书复印件；申请人为社会团体的，提供有效的社会团体法人登记证书复印件；申请人为合伙企业、个体工商户的，提供有效的营业执照复印件；申请人为非企业专业服务机构的，提供有效的执业许可证等证明材料复印件；申请人为自然人的，提供有效的自然人身份证件复印件；其他申请人应按照有关法律、法规和规章规定，提供有效的相应具体证照复印件。</w:t>
      </w:r>
    </w:p>
    <w:p w14:paraId="7C791C02">
      <w:pPr>
        <w:pStyle w:val="16"/>
        <w:numPr>
          <w:ilvl w:val="0"/>
          <w:numId w:val="2"/>
        </w:numPr>
        <w:spacing w:line="600" w:lineRule="exact"/>
        <w:ind w:firstLine="640" w:firstLineChars="200"/>
        <w:jc w:val="both"/>
        <w:rPr>
          <w:rFonts w:ascii="仿宋_GB2312" w:hAnsi="仿宋_GB2312" w:eastAsia="仿宋_GB2312" w:cs="仿宋_GB2312"/>
          <w:kern w:val="2"/>
          <w:sz w:val="32"/>
          <w:szCs w:val="32"/>
          <w:lang w:bidi="en-US"/>
        </w:rPr>
      </w:pPr>
      <w:r>
        <w:rPr>
          <w:rFonts w:hint="eastAsia" w:ascii="仿宋_GB2312" w:hAnsi="仿宋_GB2312" w:eastAsia="仿宋_GB2312" w:cs="仿宋_GB2312"/>
          <w:kern w:val="2"/>
          <w:sz w:val="32"/>
          <w:szCs w:val="32"/>
          <w:lang w:bidi="en-US"/>
        </w:rPr>
        <w:t>财务状况报告</w:t>
      </w:r>
    </w:p>
    <w:p w14:paraId="19B8FBF8">
      <w:pPr>
        <w:pStyle w:val="16"/>
        <w:spacing w:line="600" w:lineRule="exact"/>
        <w:ind w:firstLine="640" w:firstLineChars="200"/>
        <w:jc w:val="both"/>
        <w:rPr>
          <w:rFonts w:ascii="仿宋_GB2312" w:hAnsi="仿宋_GB2312" w:eastAsia="仿宋_GB2312" w:cs="仿宋_GB2312"/>
          <w:kern w:val="2"/>
          <w:sz w:val="32"/>
          <w:szCs w:val="32"/>
          <w:lang w:bidi="en-US"/>
        </w:rPr>
      </w:pPr>
      <w:r>
        <w:rPr>
          <w:rFonts w:hint="eastAsia" w:ascii="仿宋_GB2312" w:hAnsi="仿宋_GB2312" w:eastAsia="仿宋_GB2312" w:cs="仿宋_GB2312"/>
          <w:kern w:val="2"/>
          <w:sz w:val="32"/>
          <w:szCs w:val="32"/>
          <w:lang w:bidi="en-US"/>
        </w:rPr>
        <w:t>申请人提供的财务报告复印件（成立年限按照投标截止时间推算）应符合下列规定：成立年限满1年及以上的申请人，提供经审计的上一年度的年度财务报告；成立年限满半年但不足1年的申请人，提供该半年度中任一季度的季度财务报告或该半年度的半年度财务报告；无法按照以上a、b项规定提供财务报告复印件的申请人（包括但不限于：成立年限满1年及以上的申请人、成立年限满半年但不足1年的申请人、成立年限不足半年的申请人），应选择提供资信证明复印件。</w:t>
      </w:r>
    </w:p>
    <w:p w14:paraId="551574A0">
      <w:pPr>
        <w:numPr>
          <w:ilvl w:val="0"/>
          <w:numId w:val="2"/>
        </w:numPr>
        <w:spacing w:line="600" w:lineRule="exact"/>
        <w:ind w:firstLine="640" w:firstLineChars="200"/>
        <w:rPr>
          <w:rFonts w:ascii="仿宋_GB2312" w:hAnsi="仿宋_GB2312" w:eastAsia="仿宋_GB2312" w:cs="仿宋_GB2312"/>
          <w:sz w:val="32"/>
          <w:szCs w:val="32"/>
          <w:lang w:bidi="en-US"/>
        </w:rPr>
      </w:pPr>
      <w:r>
        <w:rPr>
          <w:rFonts w:hint="eastAsia" w:ascii="仿宋_GB2312" w:hAnsi="仿宋_GB2312" w:eastAsia="仿宋_GB2312" w:cs="仿宋_GB2312"/>
          <w:sz w:val="32"/>
          <w:szCs w:val="32"/>
          <w:lang w:bidi="en-US"/>
        </w:rPr>
        <w:t>依法缴纳税收证明材料：</w:t>
      </w:r>
    </w:p>
    <w:p w14:paraId="04CFC72C">
      <w:pPr>
        <w:pStyle w:val="16"/>
        <w:spacing w:line="600" w:lineRule="exact"/>
        <w:ind w:firstLine="640" w:firstLineChars="200"/>
        <w:jc w:val="both"/>
        <w:rPr>
          <w:rFonts w:ascii="仿宋_GB2312" w:hAnsi="仿宋_GB2312" w:eastAsia="仿宋_GB2312" w:cs="仿宋_GB2312"/>
          <w:kern w:val="2"/>
          <w:sz w:val="32"/>
          <w:szCs w:val="32"/>
          <w:lang w:bidi="en-US"/>
        </w:rPr>
      </w:pPr>
      <w:r>
        <w:rPr>
          <w:rFonts w:hint="eastAsia" w:ascii="仿宋_GB2312" w:hAnsi="仿宋_GB2312" w:eastAsia="仿宋_GB2312" w:cs="仿宋_GB2312"/>
          <w:kern w:val="2"/>
          <w:sz w:val="32"/>
          <w:szCs w:val="32"/>
          <w:lang w:bidi="en-US"/>
        </w:rPr>
        <w:t>申请人提供的税收缴纳凭据复印件应符合下列规定：投标截止时间前（不含投标截止时间的当月）已依法缴纳税收的申请人，提供投标截止时间前六个月（不含投标截止时间的当月）中任一月份的税收缴纳凭据复印件；投标截止时间的当月成立的申请人，视同满足本项资格条件要求；若为依法免税范围的申请人，提供依法免税证明材料的，视同满足本项资格条件要求。</w:t>
      </w:r>
    </w:p>
    <w:p w14:paraId="68E98551">
      <w:pPr>
        <w:numPr>
          <w:ilvl w:val="0"/>
          <w:numId w:val="2"/>
        </w:numPr>
        <w:spacing w:line="600" w:lineRule="exact"/>
        <w:ind w:firstLine="640" w:firstLineChars="200"/>
        <w:rPr>
          <w:rFonts w:ascii="仿宋_GB2312" w:hAnsi="仿宋_GB2312" w:eastAsia="仿宋_GB2312" w:cs="仿宋_GB2312"/>
          <w:sz w:val="32"/>
          <w:szCs w:val="32"/>
          <w:lang w:bidi="en-US"/>
        </w:rPr>
      </w:pPr>
      <w:r>
        <w:rPr>
          <w:rFonts w:hint="eastAsia" w:ascii="仿宋_GB2312" w:hAnsi="仿宋_GB2312" w:eastAsia="仿宋_GB2312" w:cs="仿宋_GB2312"/>
          <w:sz w:val="32"/>
          <w:szCs w:val="32"/>
          <w:lang w:bidi="en-US"/>
        </w:rPr>
        <w:t>依法缴纳社会保障资金证明材料</w:t>
      </w:r>
    </w:p>
    <w:p w14:paraId="2FE7741E">
      <w:pPr>
        <w:pStyle w:val="16"/>
        <w:spacing w:line="600" w:lineRule="exact"/>
        <w:ind w:firstLine="640" w:firstLineChars="200"/>
        <w:jc w:val="both"/>
        <w:rPr>
          <w:rFonts w:ascii="仿宋_GB2312" w:hAnsi="仿宋_GB2312" w:eastAsia="仿宋_GB2312" w:cs="仿宋_GB2312"/>
          <w:kern w:val="2"/>
          <w:sz w:val="32"/>
          <w:szCs w:val="32"/>
          <w:lang w:bidi="en-US"/>
        </w:rPr>
      </w:pPr>
      <w:r>
        <w:rPr>
          <w:rFonts w:hint="eastAsia" w:ascii="仿宋_GB2312" w:hAnsi="仿宋_GB2312" w:eastAsia="仿宋_GB2312" w:cs="仿宋_GB2312"/>
          <w:kern w:val="2"/>
          <w:sz w:val="32"/>
          <w:szCs w:val="32"/>
          <w:lang w:bidi="en-US"/>
        </w:rPr>
        <w:t>申请人提供的社会保障资金缴纳凭据复印件应符合下列规定：投标截止时间前（不含投标截止时间的当月）已依法缴纳社会保障资金的申请人，提供投标截止时间前六个月（不含投标截止时间的当月）中任一月份的社会保障资金缴纳凭据复印件；投标截止时间的当月成立的申请人，视同满足本项资格条件要求；若为依法不需要缴纳或暂缓缴纳社会保障资金的申请人，提供依法不需要缴纳或暂缓缴纳社会保障资金证明材料的，视同满足本项资格条件要求。</w:t>
      </w:r>
    </w:p>
    <w:p w14:paraId="6A376C6D">
      <w:pPr>
        <w:numPr>
          <w:ilvl w:val="0"/>
          <w:numId w:val="2"/>
        </w:numPr>
        <w:spacing w:line="600" w:lineRule="exact"/>
        <w:ind w:firstLine="640" w:firstLineChars="200"/>
        <w:rPr>
          <w:rFonts w:ascii="仿宋_GB2312" w:hAnsi="仿宋_GB2312" w:eastAsia="仿宋_GB2312" w:cs="仿宋_GB2312"/>
          <w:sz w:val="32"/>
          <w:szCs w:val="32"/>
          <w:lang w:bidi="en-US"/>
        </w:rPr>
      </w:pPr>
      <w:r>
        <w:rPr>
          <w:rFonts w:hint="eastAsia" w:ascii="仿宋_GB2312" w:hAnsi="仿宋_GB2312" w:eastAsia="仿宋_GB2312" w:cs="仿宋_GB2312"/>
          <w:sz w:val="32"/>
          <w:szCs w:val="32"/>
          <w:lang w:bidi="en-US"/>
        </w:rPr>
        <w:t>参加采购活动前三年内在经营活动中没有重大违法记录的声明</w:t>
      </w:r>
    </w:p>
    <w:p w14:paraId="2D16604B">
      <w:pPr>
        <w:pStyle w:val="16"/>
        <w:spacing w:line="600" w:lineRule="exact"/>
        <w:ind w:firstLine="640" w:firstLineChars="200"/>
        <w:jc w:val="both"/>
        <w:rPr>
          <w:rFonts w:ascii="仿宋_GB2312" w:hAnsi="仿宋_GB2312" w:eastAsia="仿宋_GB2312" w:cs="仿宋_GB2312"/>
          <w:kern w:val="2"/>
          <w:sz w:val="32"/>
          <w:szCs w:val="32"/>
          <w:lang w:bidi="en-US"/>
        </w:rPr>
      </w:pPr>
      <w:r>
        <w:rPr>
          <w:rFonts w:hint="eastAsia" w:ascii="仿宋_GB2312" w:hAnsi="仿宋_GB2312" w:eastAsia="仿宋_GB2312" w:cs="仿宋_GB2312"/>
          <w:kern w:val="2"/>
          <w:sz w:val="32"/>
          <w:szCs w:val="32"/>
          <w:lang w:bidi="en-US"/>
        </w:rPr>
        <w:t>重大违法记录指申请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524F833">
      <w:pPr>
        <w:numPr>
          <w:ilvl w:val="0"/>
          <w:numId w:val="2"/>
        </w:numPr>
        <w:spacing w:line="600" w:lineRule="exact"/>
        <w:ind w:firstLine="640" w:firstLineChars="200"/>
        <w:rPr>
          <w:rFonts w:ascii="仿宋_GB2312" w:hAnsi="仿宋_GB2312" w:eastAsia="仿宋_GB2312" w:cs="仿宋_GB2312"/>
          <w:sz w:val="32"/>
          <w:szCs w:val="32"/>
          <w:lang w:bidi="en-US"/>
        </w:rPr>
      </w:pPr>
      <w:r>
        <w:rPr>
          <w:rFonts w:hint="eastAsia" w:ascii="仿宋_GB2312" w:hAnsi="仿宋_GB2312" w:eastAsia="仿宋_GB2312" w:cs="仿宋_GB2312"/>
          <w:sz w:val="32"/>
          <w:szCs w:val="32"/>
          <w:lang w:bidi="en-US"/>
        </w:rPr>
        <w:t>信用记录查询结果</w:t>
      </w:r>
    </w:p>
    <w:p w14:paraId="7F55C00A">
      <w:pPr>
        <w:pStyle w:val="16"/>
        <w:spacing w:line="600" w:lineRule="exact"/>
        <w:ind w:firstLine="640" w:firstLineChars="200"/>
        <w:jc w:val="both"/>
        <w:rPr>
          <w:rFonts w:ascii="仿宋_GB2312" w:hAnsi="仿宋_GB2312" w:eastAsia="仿宋_GB2312" w:cs="仿宋_GB2312"/>
          <w:kern w:val="2"/>
          <w:sz w:val="32"/>
          <w:szCs w:val="32"/>
          <w:lang w:bidi="en-US"/>
        </w:rPr>
      </w:pPr>
      <w:r>
        <w:rPr>
          <w:rFonts w:hint="eastAsia" w:ascii="仿宋_GB2312" w:hAnsi="仿宋_GB2312" w:eastAsia="仿宋_GB2312" w:cs="仿宋_GB2312"/>
          <w:kern w:val="2"/>
          <w:sz w:val="32"/>
          <w:szCs w:val="32"/>
          <w:lang w:bidi="en-US"/>
        </w:rPr>
        <w:t>1.信用记录查询的截止时点：信用记录查询的截止时点为本项目投标截止当日。</w:t>
      </w:r>
    </w:p>
    <w:p w14:paraId="74A81E7E">
      <w:pPr>
        <w:pStyle w:val="16"/>
        <w:spacing w:line="600" w:lineRule="exact"/>
        <w:ind w:firstLine="640" w:firstLineChars="200"/>
        <w:jc w:val="both"/>
        <w:rPr>
          <w:rFonts w:ascii="仿宋_GB2312" w:hAnsi="仿宋_GB2312" w:eastAsia="仿宋_GB2312" w:cs="仿宋_GB2312"/>
          <w:kern w:val="2"/>
          <w:sz w:val="32"/>
          <w:szCs w:val="32"/>
          <w:lang w:bidi="en-US"/>
        </w:rPr>
      </w:pPr>
      <w:r>
        <w:rPr>
          <w:rFonts w:hint="eastAsia" w:ascii="仿宋_GB2312" w:hAnsi="仿宋_GB2312" w:eastAsia="仿宋_GB2312" w:cs="仿宋_GB2312"/>
          <w:kern w:val="2"/>
          <w:sz w:val="32"/>
          <w:szCs w:val="32"/>
          <w:lang w:bidi="en-US"/>
        </w:rPr>
        <w:t>2.信用记录查询渠道：信用中国（www.creditchina.gov.cn）、中国政府采购网（www.ccgp.gov.cn）。</w:t>
      </w:r>
    </w:p>
    <w:p w14:paraId="2D9BEF4F">
      <w:pPr>
        <w:pStyle w:val="16"/>
        <w:spacing w:line="600" w:lineRule="exact"/>
        <w:ind w:firstLine="640" w:firstLineChars="200"/>
        <w:jc w:val="both"/>
        <w:rPr>
          <w:rFonts w:ascii="仿宋_GB2312" w:hAnsi="仿宋_GB2312" w:eastAsia="仿宋_GB2312" w:cs="仿宋_GB2312"/>
          <w:kern w:val="2"/>
          <w:sz w:val="32"/>
          <w:szCs w:val="32"/>
          <w:lang w:bidi="en-US"/>
        </w:rPr>
      </w:pPr>
      <w:r>
        <w:rPr>
          <w:rFonts w:hint="eastAsia" w:ascii="仿宋_GB2312" w:hAnsi="仿宋_GB2312" w:eastAsia="仿宋_GB2312" w:cs="仿宋_GB2312"/>
          <w:kern w:val="2"/>
          <w:sz w:val="32"/>
          <w:szCs w:val="32"/>
          <w:lang w:bidi="en-US"/>
        </w:rPr>
        <w:t>3.经查询，申请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1B4C14FD">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报价材料应于2026年9</w:t>
      </w:r>
      <w:r>
        <w:rPr>
          <w:rFonts w:hint="eastAsia" w:ascii="仿宋_GB2312" w:hAnsi="仿宋_GB2312" w:eastAsia="仿宋_GB2312" w:cs="仿宋_GB2312"/>
          <w:sz w:val="32"/>
          <w:szCs w:val="32"/>
          <w:lang w:bidi="en-US"/>
        </w:rPr>
        <w:t>月</w:t>
      </w:r>
      <w:r>
        <w:rPr>
          <w:rFonts w:hint="eastAsia" w:ascii="仿宋_GB2312" w:hAnsi="仿宋_GB2312" w:eastAsia="仿宋_GB2312" w:cs="仿宋_GB2312"/>
          <w:sz w:val="32"/>
          <w:szCs w:val="32"/>
          <w:lang w:val="en-US" w:eastAsia="zh-CN" w:bidi="en-US"/>
        </w:rPr>
        <w:t>22</w:t>
      </w:r>
      <w:r>
        <w:rPr>
          <w:rFonts w:hint="eastAsia" w:ascii="仿宋_GB2312" w:hAnsi="仿宋_GB2312" w:eastAsia="仿宋_GB2312" w:cs="仿宋_GB2312"/>
          <w:sz w:val="32"/>
          <w:szCs w:val="32"/>
        </w:rPr>
        <w:t>日18：00前送至福州市晋安区金鸡山路32号福建省福州环境监测中心站，逾期报名或资料不全不予受理。</w:t>
      </w:r>
    </w:p>
    <w:p w14:paraId="6A0E7ADC">
      <w:pPr>
        <w:spacing w:line="600" w:lineRule="exact"/>
        <w:ind w:firstLine="640" w:firstLineChars="200"/>
        <w:rPr>
          <w:rFonts w:ascii="黑体" w:hAnsi="黑体" w:eastAsia="黑体" w:cs="仿宋_GB2312"/>
          <w:sz w:val="32"/>
          <w:szCs w:val="32"/>
        </w:rPr>
      </w:pPr>
      <w:r>
        <w:rPr>
          <w:rFonts w:hint="eastAsia" w:ascii="黑体" w:hAnsi="黑体" w:eastAsia="黑体" w:cs="Times New Roman"/>
          <w:sz w:val="32"/>
          <w:szCs w:val="32"/>
        </w:rPr>
        <w:t>三、</w:t>
      </w:r>
      <w:r>
        <w:rPr>
          <w:rFonts w:hint="eastAsia" w:ascii="黑体" w:hAnsi="黑体" w:eastAsia="黑体"/>
          <w:sz w:val="32"/>
          <w:szCs w:val="32"/>
        </w:rPr>
        <w:t>评定方式</w:t>
      </w:r>
    </w:p>
    <w:p w14:paraId="56F11D3E">
      <w:pPr>
        <w:spacing w:line="600" w:lineRule="exact"/>
        <w:ind w:firstLine="555"/>
        <w:rPr>
          <w:rFonts w:ascii="仿宋_GB2312" w:hAnsi="仿宋_GB2312" w:eastAsia="仿宋_GB2312" w:cs="仿宋_GB2312"/>
          <w:sz w:val="32"/>
          <w:szCs w:val="32"/>
        </w:rPr>
      </w:pPr>
      <w:r>
        <w:rPr>
          <w:rFonts w:hint="eastAsia" w:ascii="仿宋_GB2312" w:hAnsi="仿宋_GB2312" w:eastAsia="仿宋_GB2312" w:cs="仿宋_GB2312"/>
          <w:sz w:val="32"/>
          <w:szCs w:val="32"/>
        </w:rPr>
        <w:t>评标工作将参照《中华人民共和国招标投标法》、《中华人民共和国招标投标法实施条例》的规定进行，按照客观、公正、审慎的原则，根据文件规定的评审程序、评标方法和评标标准进行独立评审。评标方法采用最低评标价法。</w:t>
      </w:r>
    </w:p>
    <w:p w14:paraId="57AE15C5">
      <w:pPr>
        <w:spacing w:line="600" w:lineRule="exact"/>
        <w:ind w:firstLine="640" w:firstLineChars="200"/>
        <w:rPr>
          <w:rFonts w:ascii="黑体" w:hAnsi="黑体" w:eastAsia="黑体"/>
          <w:sz w:val="32"/>
          <w:szCs w:val="32"/>
        </w:rPr>
      </w:pPr>
      <w:r>
        <w:rPr>
          <w:rFonts w:hint="eastAsia" w:ascii="黑体" w:hAnsi="黑体" w:eastAsia="黑体"/>
          <w:sz w:val="32"/>
          <w:szCs w:val="32"/>
        </w:rPr>
        <w:t>四、评审原则</w:t>
      </w:r>
    </w:p>
    <w:p w14:paraId="2F3F1ECA">
      <w:pPr>
        <w:spacing w:line="600" w:lineRule="exact"/>
        <w:ind w:firstLine="640" w:firstLineChars="200"/>
        <w:jc w:val="left"/>
        <w:rPr>
          <w:rFonts w:ascii="仿宋_GB2312" w:eastAsia="仿宋_GB2312"/>
          <w:sz w:val="32"/>
          <w:szCs w:val="32"/>
        </w:rPr>
      </w:pPr>
      <w:r>
        <w:rPr>
          <w:rFonts w:hint="eastAsia" w:ascii="仿宋_GB2312" w:hAnsi="仿宋_GB2312" w:eastAsia="仿宋_GB2312" w:cs="仿宋_GB2312"/>
          <w:sz w:val="32"/>
          <w:szCs w:val="32"/>
        </w:rPr>
        <w:t>需要有三家及以上符合条件的供应商，才符合评标条件，如有不足，则需要重新挂网公开询价。</w:t>
      </w:r>
    </w:p>
    <w:p w14:paraId="54657966">
      <w:pPr>
        <w:spacing w:line="600" w:lineRule="exact"/>
        <w:ind w:firstLine="561"/>
        <w:jc w:val="left"/>
        <w:rPr>
          <w:rFonts w:ascii="黑体" w:hAnsi="黑体" w:eastAsia="黑体"/>
          <w:sz w:val="32"/>
          <w:szCs w:val="32"/>
        </w:rPr>
      </w:pPr>
      <w:r>
        <w:rPr>
          <w:rFonts w:hint="eastAsia" w:ascii="黑体" w:hAnsi="黑体" w:eastAsia="黑体"/>
          <w:sz w:val="32"/>
          <w:szCs w:val="32"/>
        </w:rPr>
        <w:t>五、评审事项</w:t>
      </w:r>
    </w:p>
    <w:p w14:paraId="1CC48C15">
      <w:pPr>
        <w:spacing w:line="600" w:lineRule="exact"/>
        <w:ind w:firstLine="561"/>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本次邀请报价本着公开、公平、公正的原则，由我站组织专家组进行评定。评审结果公示3个工作日无异议后，与我站签订采购合同（协议）。</w:t>
      </w:r>
    </w:p>
    <w:p w14:paraId="55EE99C0">
      <w:pPr>
        <w:spacing w:line="600" w:lineRule="exact"/>
        <w:ind w:firstLine="640" w:firstLineChars="200"/>
        <w:rPr>
          <w:rFonts w:ascii="黑体" w:hAnsi="黑体" w:eastAsia="黑体" w:cs="仿宋_GB2312"/>
          <w:sz w:val="32"/>
          <w:szCs w:val="32"/>
        </w:rPr>
      </w:pPr>
      <w:r>
        <w:rPr>
          <w:rFonts w:hint="eastAsia" w:ascii="黑体" w:hAnsi="黑体" w:eastAsia="黑体" w:cs="Times New Roman"/>
          <w:sz w:val="32"/>
          <w:szCs w:val="32"/>
        </w:rPr>
        <w:t>六、</w:t>
      </w:r>
      <w:r>
        <w:rPr>
          <w:rFonts w:hint="eastAsia" w:ascii="黑体" w:hAnsi="黑体" w:eastAsia="黑体"/>
          <w:sz w:val="32"/>
          <w:szCs w:val="32"/>
        </w:rPr>
        <w:t>结算方式</w:t>
      </w:r>
    </w:p>
    <w:p w14:paraId="20FF87F1">
      <w:pPr>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（1）中标价为技术服务费用总额。</w:t>
      </w:r>
    </w:p>
    <w:p w14:paraId="614B62F7">
      <w:pPr>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（2）付款以转账方式支付，中标方必须提供正规的发票（普票）。</w:t>
      </w:r>
    </w:p>
    <w:p w14:paraId="43BC8B62">
      <w:pPr>
        <w:spacing w:line="600" w:lineRule="exact"/>
        <w:ind w:firstLine="640" w:firstLineChars="200"/>
        <w:jc w:val="left"/>
        <w:rPr>
          <w:rFonts w:ascii="仿宋_GB2312" w:eastAsia="仿宋_GB2312"/>
          <w:sz w:val="32"/>
          <w:szCs w:val="32"/>
        </w:rPr>
      </w:pPr>
      <w:r>
        <w:rPr>
          <w:rFonts w:hint="eastAsia" w:ascii="仿宋_GB2312" w:hAnsi="仿宋_GB2312" w:eastAsia="仿宋_GB2312" w:cs="仿宋_GB2312"/>
          <w:sz w:val="32"/>
          <w:szCs w:val="32"/>
        </w:rPr>
        <w:t>（3）签订合同后，中标方开具发票，甲方在第一次验收通过后支付合同款的50%，在第二次验收通过后支付合同款的剩余50%。</w:t>
      </w:r>
    </w:p>
    <w:p w14:paraId="5C9E9D04">
      <w:pPr>
        <w:widowControl/>
        <w:spacing w:line="600" w:lineRule="exact"/>
        <w:ind w:firstLine="640" w:firstLineChars="200"/>
        <w:jc w:val="left"/>
        <w:rPr>
          <w:rFonts w:ascii="黑体" w:hAnsi="黑体" w:eastAsia="黑体" w:cs="Times New Roman"/>
          <w:sz w:val="32"/>
          <w:szCs w:val="32"/>
        </w:rPr>
      </w:pPr>
      <w:r>
        <w:rPr>
          <w:rFonts w:hint="eastAsia" w:ascii="黑体" w:hAnsi="黑体" w:eastAsia="黑体"/>
          <w:sz w:val="32"/>
          <w:szCs w:val="32"/>
        </w:rPr>
        <w:t>七、本次评审福建省福州环境监测中心站保留最终解释权。</w:t>
      </w:r>
    </w:p>
    <w:sectPr>
      <w:footerReference r:id="rId4" w:type="default"/>
      <w:pgSz w:w="11906" w:h="16838"/>
      <w:pgMar w:top="1304" w:right="1418" w:bottom="1701" w:left="1418" w:header="851" w:footer="992"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1"/>
    <w:family w:val="roman"/>
    <w:pitch w:val="default"/>
    <w:sig w:usb0="E00006FF" w:usb1="420024FF" w:usb2="02000000" w:usb3="00000000" w:csb0="2000019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F965F">
    <w:pPr>
      <w:pStyle w:val="12"/>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EE34E">
    <w:pPr>
      <w:pStyle w:val="12"/>
      <w:jc w:val="center"/>
      <w:rPr>
        <w:rFonts w:cs="Times New Roman"/>
      </w:rPr>
    </w:pPr>
    <w:r>
      <w:fldChar w:fldCharType="begin"/>
    </w:r>
    <w:r>
      <w:instrText xml:space="preserve"> PAGE   \* MERGEFORMAT </w:instrText>
    </w:r>
    <w:r>
      <w:fldChar w:fldCharType="separate"/>
    </w:r>
    <w:r>
      <w:rPr>
        <w:lang w:val="zh-CN"/>
      </w:rPr>
      <w:t>2</w:t>
    </w:r>
    <w:r>
      <w:rPr>
        <w:lang w:val="zh-CN"/>
      </w:rPr>
      <w:fldChar w:fldCharType="end"/>
    </w:r>
  </w:p>
  <w:p w14:paraId="0AB02698">
    <w:pPr>
      <w:pStyle w:val="12"/>
      <w:rPr>
        <w:rFonts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E56C3D"/>
    <w:multiLevelType w:val="singleLevel"/>
    <w:tmpl w:val="1DE56C3D"/>
    <w:lvl w:ilvl="0" w:tentative="0">
      <w:start w:val="1"/>
      <w:numFmt w:val="chineseCounting"/>
      <w:suff w:val="nothing"/>
      <w:lvlText w:val="（%1）"/>
      <w:lvlJc w:val="left"/>
      <w:rPr>
        <w:rFonts w:hint="eastAsia"/>
      </w:rPr>
    </w:lvl>
  </w:abstractNum>
  <w:abstractNum w:abstractNumId="1">
    <w:nsid w:val="438434C0"/>
    <w:multiLevelType w:val="singleLevel"/>
    <w:tmpl w:val="438434C0"/>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oNotHyphenateCaps/>
  <w:drawingGridHorizontalSpacing w:val="105"/>
  <w:drawingGridVerticalSpacing w:val="156"/>
  <w:displayHorizontalDrawingGridEvery w:val="2"/>
  <w:displayVerticalDrawingGridEvery w:val="2"/>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hZjBmODQ1MjhiMTExYmUxNTdmMGQ3NmQzZmNhNTEifQ=="/>
  </w:docVars>
  <w:rsids>
    <w:rsidRoot w:val="002F3468"/>
    <w:rsid w:val="00027104"/>
    <w:rsid w:val="00032773"/>
    <w:rsid w:val="000362D0"/>
    <w:rsid w:val="00042EE0"/>
    <w:rsid w:val="000504FE"/>
    <w:rsid w:val="00050B0D"/>
    <w:rsid w:val="00054A2F"/>
    <w:rsid w:val="00055314"/>
    <w:rsid w:val="00075696"/>
    <w:rsid w:val="00075AF4"/>
    <w:rsid w:val="00081252"/>
    <w:rsid w:val="00083038"/>
    <w:rsid w:val="000842F9"/>
    <w:rsid w:val="000915C2"/>
    <w:rsid w:val="00094308"/>
    <w:rsid w:val="000A20D5"/>
    <w:rsid w:val="000B12E4"/>
    <w:rsid w:val="000C1D2C"/>
    <w:rsid w:val="000C34EC"/>
    <w:rsid w:val="000C3B89"/>
    <w:rsid w:val="000C6B15"/>
    <w:rsid w:val="000D51FF"/>
    <w:rsid w:val="000E0514"/>
    <w:rsid w:val="001039A0"/>
    <w:rsid w:val="0014384A"/>
    <w:rsid w:val="00163BCC"/>
    <w:rsid w:val="001665A4"/>
    <w:rsid w:val="00173A8F"/>
    <w:rsid w:val="00175FBA"/>
    <w:rsid w:val="00184887"/>
    <w:rsid w:val="001907B1"/>
    <w:rsid w:val="001971D0"/>
    <w:rsid w:val="001E4D23"/>
    <w:rsid w:val="001F56B9"/>
    <w:rsid w:val="00202A47"/>
    <w:rsid w:val="00204D30"/>
    <w:rsid w:val="00205786"/>
    <w:rsid w:val="00207013"/>
    <w:rsid w:val="00211D68"/>
    <w:rsid w:val="002125E6"/>
    <w:rsid w:val="0021746E"/>
    <w:rsid w:val="0022191D"/>
    <w:rsid w:val="00225269"/>
    <w:rsid w:val="00263156"/>
    <w:rsid w:val="0026539F"/>
    <w:rsid w:val="00292EA5"/>
    <w:rsid w:val="002A4499"/>
    <w:rsid w:val="002B4DBF"/>
    <w:rsid w:val="002B5669"/>
    <w:rsid w:val="002D6A4A"/>
    <w:rsid w:val="002E6552"/>
    <w:rsid w:val="002F2782"/>
    <w:rsid w:val="002F3468"/>
    <w:rsid w:val="00312390"/>
    <w:rsid w:val="00325634"/>
    <w:rsid w:val="00334B19"/>
    <w:rsid w:val="003406C9"/>
    <w:rsid w:val="00351EA4"/>
    <w:rsid w:val="0037438A"/>
    <w:rsid w:val="00376F3E"/>
    <w:rsid w:val="003A44A5"/>
    <w:rsid w:val="003A75EB"/>
    <w:rsid w:val="003B1DD2"/>
    <w:rsid w:val="003B341A"/>
    <w:rsid w:val="003C4FC6"/>
    <w:rsid w:val="003E3DD8"/>
    <w:rsid w:val="003E71E0"/>
    <w:rsid w:val="003F0B4E"/>
    <w:rsid w:val="003F49D5"/>
    <w:rsid w:val="003F77F4"/>
    <w:rsid w:val="004006B6"/>
    <w:rsid w:val="00401B76"/>
    <w:rsid w:val="00405AD6"/>
    <w:rsid w:val="004113FD"/>
    <w:rsid w:val="00414122"/>
    <w:rsid w:val="00433DBC"/>
    <w:rsid w:val="0044794E"/>
    <w:rsid w:val="00460466"/>
    <w:rsid w:val="00463EE5"/>
    <w:rsid w:val="00471419"/>
    <w:rsid w:val="0047685E"/>
    <w:rsid w:val="00480F45"/>
    <w:rsid w:val="0048306E"/>
    <w:rsid w:val="00484719"/>
    <w:rsid w:val="00496D26"/>
    <w:rsid w:val="004C4D5A"/>
    <w:rsid w:val="004D4C2F"/>
    <w:rsid w:val="004E0DEB"/>
    <w:rsid w:val="004E4951"/>
    <w:rsid w:val="004E533B"/>
    <w:rsid w:val="004F1707"/>
    <w:rsid w:val="004F5355"/>
    <w:rsid w:val="00526C46"/>
    <w:rsid w:val="00527539"/>
    <w:rsid w:val="00532A8A"/>
    <w:rsid w:val="005452F5"/>
    <w:rsid w:val="005460D2"/>
    <w:rsid w:val="005B2591"/>
    <w:rsid w:val="005B2C3E"/>
    <w:rsid w:val="005B5330"/>
    <w:rsid w:val="005B5E33"/>
    <w:rsid w:val="005E6584"/>
    <w:rsid w:val="005F132E"/>
    <w:rsid w:val="005F69D0"/>
    <w:rsid w:val="006125CA"/>
    <w:rsid w:val="00620EA0"/>
    <w:rsid w:val="00621388"/>
    <w:rsid w:val="00621C68"/>
    <w:rsid w:val="00630DB0"/>
    <w:rsid w:val="006364C8"/>
    <w:rsid w:val="006400B3"/>
    <w:rsid w:val="006447A5"/>
    <w:rsid w:val="00650FFF"/>
    <w:rsid w:val="0065730E"/>
    <w:rsid w:val="00682FA7"/>
    <w:rsid w:val="006838C7"/>
    <w:rsid w:val="006979EB"/>
    <w:rsid w:val="006B1596"/>
    <w:rsid w:val="006B5E53"/>
    <w:rsid w:val="006C2E66"/>
    <w:rsid w:val="006C71E8"/>
    <w:rsid w:val="006D6995"/>
    <w:rsid w:val="00712A1C"/>
    <w:rsid w:val="007258B0"/>
    <w:rsid w:val="007358AF"/>
    <w:rsid w:val="00741A2D"/>
    <w:rsid w:val="00771BF3"/>
    <w:rsid w:val="00774694"/>
    <w:rsid w:val="0077531C"/>
    <w:rsid w:val="00795FA3"/>
    <w:rsid w:val="00797F56"/>
    <w:rsid w:val="007C5B26"/>
    <w:rsid w:val="007D4CCD"/>
    <w:rsid w:val="007E1764"/>
    <w:rsid w:val="007E6B5C"/>
    <w:rsid w:val="00813A45"/>
    <w:rsid w:val="0082088B"/>
    <w:rsid w:val="0082134E"/>
    <w:rsid w:val="008470B9"/>
    <w:rsid w:val="00847F7C"/>
    <w:rsid w:val="0085341F"/>
    <w:rsid w:val="00853F50"/>
    <w:rsid w:val="008557AD"/>
    <w:rsid w:val="008708CC"/>
    <w:rsid w:val="008736ED"/>
    <w:rsid w:val="00884E39"/>
    <w:rsid w:val="008867C6"/>
    <w:rsid w:val="008A2C29"/>
    <w:rsid w:val="008B3269"/>
    <w:rsid w:val="008B6635"/>
    <w:rsid w:val="008C1D79"/>
    <w:rsid w:val="008D047B"/>
    <w:rsid w:val="008D6CF4"/>
    <w:rsid w:val="008E23FB"/>
    <w:rsid w:val="008E322C"/>
    <w:rsid w:val="008F53D7"/>
    <w:rsid w:val="00905B3D"/>
    <w:rsid w:val="00927337"/>
    <w:rsid w:val="00952A15"/>
    <w:rsid w:val="009534D4"/>
    <w:rsid w:val="0097276E"/>
    <w:rsid w:val="009847CC"/>
    <w:rsid w:val="0099694E"/>
    <w:rsid w:val="009A083A"/>
    <w:rsid w:val="009B203A"/>
    <w:rsid w:val="009B34FF"/>
    <w:rsid w:val="009B45D3"/>
    <w:rsid w:val="009C5E8D"/>
    <w:rsid w:val="009E2B12"/>
    <w:rsid w:val="00A061E2"/>
    <w:rsid w:val="00A3197A"/>
    <w:rsid w:val="00A33C14"/>
    <w:rsid w:val="00A44E4F"/>
    <w:rsid w:val="00A671CF"/>
    <w:rsid w:val="00A73314"/>
    <w:rsid w:val="00A843F1"/>
    <w:rsid w:val="00A962E2"/>
    <w:rsid w:val="00AD1432"/>
    <w:rsid w:val="00B032C1"/>
    <w:rsid w:val="00B044B2"/>
    <w:rsid w:val="00B12419"/>
    <w:rsid w:val="00B136D8"/>
    <w:rsid w:val="00B22BA8"/>
    <w:rsid w:val="00B433F2"/>
    <w:rsid w:val="00B46F33"/>
    <w:rsid w:val="00B5027B"/>
    <w:rsid w:val="00B5292F"/>
    <w:rsid w:val="00B65E23"/>
    <w:rsid w:val="00B667C1"/>
    <w:rsid w:val="00B91B2C"/>
    <w:rsid w:val="00B953F7"/>
    <w:rsid w:val="00BB66C7"/>
    <w:rsid w:val="00BB6FEB"/>
    <w:rsid w:val="00BC7439"/>
    <w:rsid w:val="00BF1D42"/>
    <w:rsid w:val="00BF2FD8"/>
    <w:rsid w:val="00BF50BC"/>
    <w:rsid w:val="00BF7423"/>
    <w:rsid w:val="00BF7865"/>
    <w:rsid w:val="00BF7F61"/>
    <w:rsid w:val="00C0663F"/>
    <w:rsid w:val="00C15736"/>
    <w:rsid w:val="00C2742D"/>
    <w:rsid w:val="00C304C1"/>
    <w:rsid w:val="00C37FE2"/>
    <w:rsid w:val="00C42E12"/>
    <w:rsid w:val="00C45725"/>
    <w:rsid w:val="00C9032A"/>
    <w:rsid w:val="00CB387A"/>
    <w:rsid w:val="00CC0410"/>
    <w:rsid w:val="00CC2DC5"/>
    <w:rsid w:val="00CC6110"/>
    <w:rsid w:val="00CE1441"/>
    <w:rsid w:val="00D0789B"/>
    <w:rsid w:val="00D10E52"/>
    <w:rsid w:val="00D45B01"/>
    <w:rsid w:val="00D46042"/>
    <w:rsid w:val="00D53F16"/>
    <w:rsid w:val="00D56DCC"/>
    <w:rsid w:val="00D73CB5"/>
    <w:rsid w:val="00D82A88"/>
    <w:rsid w:val="00DA5676"/>
    <w:rsid w:val="00DB10B4"/>
    <w:rsid w:val="00DD503A"/>
    <w:rsid w:val="00DD6B16"/>
    <w:rsid w:val="00DE6611"/>
    <w:rsid w:val="00DF0324"/>
    <w:rsid w:val="00E0649A"/>
    <w:rsid w:val="00E06D8F"/>
    <w:rsid w:val="00E15B04"/>
    <w:rsid w:val="00E36372"/>
    <w:rsid w:val="00E4434D"/>
    <w:rsid w:val="00E61852"/>
    <w:rsid w:val="00E63441"/>
    <w:rsid w:val="00E6684E"/>
    <w:rsid w:val="00E66DB3"/>
    <w:rsid w:val="00E8212D"/>
    <w:rsid w:val="00ED5915"/>
    <w:rsid w:val="00EF167D"/>
    <w:rsid w:val="00F011F6"/>
    <w:rsid w:val="00F05CC1"/>
    <w:rsid w:val="00F06F3B"/>
    <w:rsid w:val="00F10C0A"/>
    <w:rsid w:val="00F13980"/>
    <w:rsid w:val="00F14BAD"/>
    <w:rsid w:val="00F46E2B"/>
    <w:rsid w:val="00F56A05"/>
    <w:rsid w:val="00F62647"/>
    <w:rsid w:val="00F90BB4"/>
    <w:rsid w:val="00FA0A40"/>
    <w:rsid w:val="00FA4EAA"/>
    <w:rsid w:val="00FB2300"/>
    <w:rsid w:val="00FD2C98"/>
    <w:rsid w:val="00FD4D85"/>
    <w:rsid w:val="00FD68B5"/>
    <w:rsid w:val="00FD6BC7"/>
    <w:rsid w:val="00FD72A0"/>
    <w:rsid w:val="00FE787E"/>
    <w:rsid w:val="00FF6914"/>
    <w:rsid w:val="01D05360"/>
    <w:rsid w:val="01D50DF3"/>
    <w:rsid w:val="033620A3"/>
    <w:rsid w:val="039D758A"/>
    <w:rsid w:val="05553A5A"/>
    <w:rsid w:val="056511AB"/>
    <w:rsid w:val="06C91876"/>
    <w:rsid w:val="07007F1F"/>
    <w:rsid w:val="07D71160"/>
    <w:rsid w:val="0807198C"/>
    <w:rsid w:val="087376BF"/>
    <w:rsid w:val="0AFA6C84"/>
    <w:rsid w:val="0B7111D0"/>
    <w:rsid w:val="0E2A1FC8"/>
    <w:rsid w:val="0EF51C93"/>
    <w:rsid w:val="0F015996"/>
    <w:rsid w:val="11244CC1"/>
    <w:rsid w:val="116E59CF"/>
    <w:rsid w:val="11A83DE0"/>
    <w:rsid w:val="120E4A90"/>
    <w:rsid w:val="13046E70"/>
    <w:rsid w:val="1396548E"/>
    <w:rsid w:val="14721CD8"/>
    <w:rsid w:val="14F762BF"/>
    <w:rsid w:val="157F1DC1"/>
    <w:rsid w:val="169F147C"/>
    <w:rsid w:val="16DD6871"/>
    <w:rsid w:val="17846101"/>
    <w:rsid w:val="17E9C556"/>
    <w:rsid w:val="18313026"/>
    <w:rsid w:val="196F5320"/>
    <w:rsid w:val="1A1543E1"/>
    <w:rsid w:val="1B2A7C94"/>
    <w:rsid w:val="1B3F0488"/>
    <w:rsid w:val="1DAB12B5"/>
    <w:rsid w:val="1E7E12C1"/>
    <w:rsid w:val="1F192574"/>
    <w:rsid w:val="1F3C5CAC"/>
    <w:rsid w:val="1F556970"/>
    <w:rsid w:val="1F9A4A89"/>
    <w:rsid w:val="1FE65D75"/>
    <w:rsid w:val="20DA02C1"/>
    <w:rsid w:val="20FF12EB"/>
    <w:rsid w:val="21560177"/>
    <w:rsid w:val="219F692A"/>
    <w:rsid w:val="21E9779A"/>
    <w:rsid w:val="22DB1221"/>
    <w:rsid w:val="22FD2A72"/>
    <w:rsid w:val="23162F17"/>
    <w:rsid w:val="23D45AD0"/>
    <w:rsid w:val="23E4762E"/>
    <w:rsid w:val="24477CD5"/>
    <w:rsid w:val="24B03EAB"/>
    <w:rsid w:val="257B23B2"/>
    <w:rsid w:val="25E552A7"/>
    <w:rsid w:val="267B55A6"/>
    <w:rsid w:val="270E1C5A"/>
    <w:rsid w:val="2768295E"/>
    <w:rsid w:val="27BE1684"/>
    <w:rsid w:val="285C2760"/>
    <w:rsid w:val="28720989"/>
    <w:rsid w:val="28C8031F"/>
    <w:rsid w:val="293C1356"/>
    <w:rsid w:val="2A9C37B4"/>
    <w:rsid w:val="2ACA465D"/>
    <w:rsid w:val="2B370188"/>
    <w:rsid w:val="2BAE3607"/>
    <w:rsid w:val="2C53284A"/>
    <w:rsid w:val="2DBA14D6"/>
    <w:rsid w:val="2E74681D"/>
    <w:rsid w:val="318D48F9"/>
    <w:rsid w:val="32694E70"/>
    <w:rsid w:val="33A372F7"/>
    <w:rsid w:val="33DFA17B"/>
    <w:rsid w:val="35574DD8"/>
    <w:rsid w:val="36B87A13"/>
    <w:rsid w:val="37F00B00"/>
    <w:rsid w:val="38E8636F"/>
    <w:rsid w:val="3AB21C19"/>
    <w:rsid w:val="3AFC243C"/>
    <w:rsid w:val="3B424F26"/>
    <w:rsid w:val="3BB00A18"/>
    <w:rsid w:val="3BF07B86"/>
    <w:rsid w:val="3D714C6E"/>
    <w:rsid w:val="3D9339FB"/>
    <w:rsid w:val="3EB54FFA"/>
    <w:rsid w:val="3EEF30C9"/>
    <w:rsid w:val="40353A02"/>
    <w:rsid w:val="406E738F"/>
    <w:rsid w:val="42B52964"/>
    <w:rsid w:val="47565C10"/>
    <w:rsid w:val="48512224"/>
    <w:rsid w:val="49007959"/>
    <w:rsid w:val="49D74120"/>
    <w:rsid w:val="4A2C6A26"/>
    <w:rsid w:val="4AB760FC"/>
    <w:rsid w:val="4B0B2762"/>
    <w:rsid w:val="4B5A4ED7"/>
    <w:rsid w:val="4B757D20"/>
    <w:rsid w:val="4C010761"/>
    <w:rsid w:val="4C2D7156"/>
    <w:rsid w:val="4DA04BC6"/>
    <w:rsid w:val="4DFE66A2"/>
    <w:rsid w:val="4E6C3292"/>
    <w:rsid w:val="4F684491"/>
    <w:rsid w:val="4FFECD7B"/>
    <w:rsid w:val="524B225C"/>
    <w:rsid w:val="525056A8"/>
    <w:rsid w:val="53147CE5"/>
    <w:rsid w:val="53520B0B"/>
    <w:rsid w:val="54470F13"/>
    <w:rsid w:val="56652EA1"/>
    <w:rsid w:val="57376F48"/>
    <w:rsid w:val="57776ECD"/>
    <w:rsid w:val="578B333A"/>
    <w:rsid w:val="57944254"/>
    <w:rsid w:val="582163E0"/>
    <w:rsid w:val="584403AC"/>
    <w:rsid w:val="589708AA"/>
    <w:rsid w:val="58F11526"/>
    <w:rsid w:val="599B2DA4"/>
    <w:rsid w:val="5A7FCB23"/>
    <w:rsid w:val="5A8E7B95"/>
    <w:rsid w:val="5B6FFC13"/>
    <w:rsid w:val="5D78726B"/>
    <w:rsid w:val="5D9F38EC"/>
    <w:rsid w:val="5E2A3A37"/>
    <w:rsid w:val="5E2F0EAF"/>
    <w:rsid w:val="5E571C58"/>
    <w:rsid w:val="5F1C1075"/>
    <w:rsid w:val="5F3B2EF2"/>
    <w:rsid w:val="5FFB5910"/>
    <w:rsid w:val="629B099E"/>
    <w:rsid w:val="62C65E17"/>
    <w:rsid w:val="62E41C31"/>
    <w:rsid w:val="633267CB"/>
    <w:rsid w:val="643F1CC1"/>
    <w:rsid w:val="64ED7623"/>
    <w:rsid w:val="66297FC9"/>
    <w:rsid w:val="677C7946"/>
    <w:rsid w:val="67834904"/>
    <w:rsid w:val="67B16712"/>
    <w:rsid w:val="69BE1EE7"/>
    <w:rsid w:val="6A5E0252"/>
    <w:rsid w:val="6BAD7F15"/>
    <w:rsid w:val="6D15507B"/>
    <w:rsid w:val="6DA4688F"/>
    <w:rsid w:val="6DCA5B51"/>
    <w:rsid w:val="6E667135"/>
    <w:rsid w:val="6E911B5D"/>
    <w:rsid w:val="6E9D5FB0"/>
    <w:rsid w:val="6F779981"/>
    <w:rsid w:val="6FDD9540"/>
    <w:rsid w:val="710A6B0A"/>
    <w:rsid w:val="714B3A68"/>
    <w:rsid w:val="71584464"/>
    <w:rsid w:val="719212EA"/>
    <w:rsid w:val="71D90AD7"/>
    <w:rsid w:val="724F2181"/>
    <w:rsid w:val="73F43982"/>
    <w:rsid w:val="742F0B83"/>
    <w:rsid w:val="743E0C33"/>
    <w:rsid w:val="74AE0CB6"/>
    <w:rsid w:val="75762C7C"/>
    <w:rsid w:val="75DE067D"/>
    <w:rsid w:val="762565D3"/>
    <w:rsid w:val="763243C5"/>
    <w:rsid w:val="76395A01"/>
    <w:rsid w:val="78266478"/>
    <w:rsid w:val="785030F6"/>
    <w:rsid w:val="78DD2BDC"/>
    <w:rsid w:val="79A46136"/>
    <w:rsid w:val="79D7762B"/>
    <w:rsid w:val="7A4748E8"/>
    <w:rsid w:val="7A6B3573"/>
    <w:rsid w:val="7B042F67"/>
    <w:rsid w:val="7B924C94"/>
    <w:rsid w:val="7C005DAB"/>
    <w:rsid w:val="7C83440F"/>
    <w:rsid w:val="7D574CC5"/>
    <w:rsid w:val="7D594110"/>
    <w:rsid w:val="7D5D1304"/>
    <w:rsid w:val="7DEB2E38"/>
    <w:rsid w:val="7DEE45D9"/>
    <w:rsid w:val="7F98188A"/>
    <w:rsid w:val="7F9F3507"/>
    <w:rsid w:val="7FDD01C8"/>
    <w:rsid w:val="7FF7E764"/>
    <w:rsid w:val="7FFED8EA"/>
    <w:rsid w:val="A35D7268"/>
    <w:rsid w:val="ABFDB2DD"/>
    <w:rsid w:val="AF3F88D9"/>
    <w:rsid w:val="C37C7144"/>
    <w:rsid w:val="DB2B7FCB"/>
    <w:rsid w:val="DBEC2491"/>
    <w:rsid w:val="EDFFEA79"/>
    <w:rsid w:val="EE61593B"/>
    <w:rsid w:val="F1FF665D"/>
    <w:rsid w:val="F7F94560"/>
    <w:rsid w:val="FCBE9180"/>
    <w:rsid w:val="FDEB6C44"/>
    <w:rsid w:val="FEBFCBFE"/>
    <w:rsid w:val="FECFC37A"/>
    <w:rsid w:val="FF3F34B6"/>
    <w:rsid w:val="FFF72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99" w:name="toc 2"/>
    <w:lsdException w:qFormat="1" w:unhideWhenUsed="0" w:uiPriority="99" w:name="toc 3"/>
    <w:lsdException w:qFormat="1" w:unhideWhenUsed="0" w:uiPriority="99"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99"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qFormat/>
    <w:locked/>
    <w:uiPriority w:val="9"/>
    <w:pPr>
      <w:widowControl/>
      <w:spacing w:before="100" w:beforeAutospacing="1" w:after="100" w:afterAutospacing="1"/>
      <w:jc w:val="left"/>
      <w:outlineLvl w:val="0"/>
    </w:pPr>
    <w:rPr>
      <w:rFonts w:ascii="宋体" w:hAnsi="宋体" w:cs="宋体"/>
      <w:b/>
      <w:bCs/>
      <w:kern w:val="36"/>
      <w:sz w:val="48"/>
      <w:szCs w:val="48"/>
    </w:rPr>
  </w:style>
  <w:style w:type="paragraph" w:styleId="5">
    <w:name w:val="heading 2"/>
    <w:basedOn w:val="1"/>
    <w:next w:val="1"/>
    <w:link w:val="52"/>
    <w:qFormat/>
    <w:uiPriority w:val="99"/>
    <w:pPr>
      <w:keepNext/>
      <w:keepLines/>
      <w:spacing w:before="260" w:after="260" w:line="413" w:lineRule="auto"/>
      <w:jc w:val="center"/>
      <w:outlineLvl w:val="1"/>
    </w:pPr>
    <w:rPr>
      <w:rFonts w:ascii="Arial" w:hAnsi="Arial" w:eastAsia="黑体" w:cs="Arial"/>
      <w:b/>
      <w:bCs/>
      <w:color w:val="000080"/>
      <w:sz w:val="84"/>
      <w:szCs w:val="84"/>
    </w:rPr>
  </w:style>
  <w:style w:type="paragraph" w:styleId="6">
    <w:name w:val="heading 3"/>
    <w:basedOn w:val="1"/>
    <w:next w:val="1"/>
    <w:link w:val="53"/>
    <w:qFormat/>
    <w:uiPriority w:val="99"/>
    <w:pPr>
      <w:keepNext/>
      <w:keepLines/>
      <w:spacing w:before="260" w:after="260" w:line="416" w:lineRule="auto"/>
      <w:outlineLvl w:val="2"/>
    </w:pPr>
    <w:rPr>
      <w:b/>
      <w:bCs/>
      <w:sz w:val="32"/>
      <w:szCs w:val="32"/>
    </w:rPr>
  </w:style>
  <w:style w:type="paragraph" w:styleId="7">
    <w:name w:val="heading 4"/>
    <w:basedOn w:val="1"/>
    <w:next w:val="1"/>
    <w:link w:val="54"/>
    <w:qFormat/>
    <w:uiPriority w:val="99"/>
    <w:pPr>
      <w:keepNext/>
      <w:keepLines/>
      <w:spacing w:before="280" w:after="290" w:line="376" w:lineRule="auto"/>
      <w:outlineLvl w:val="3"/>
    </w:pPr>
    <w:rPr>
      <w:rFonts w:ascii="Cambria" w:hAnsi="Cambria" w:cs="Cambria"/>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alloon Text"/>
    <w:basedOn w:val="1"/>
    <w:next w:val="3"/>
    <w:unhideWhenUsed/>
    <w:qFormat/>
    <w:uiPriority w:val="99"/>
    <w:rPr>
      <w:sz w:val="18"/>
      <w:szCs w:val="18"/>
    </w:rPr>
  </w:style>
  <w:style w:type="paragraph" w:customStyle="1" w:styleId="3">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8">
    <w:name w:val="annotation text"/>
    <w:basedOn w:val="1"/>
    <w:unhideWhenUsed/>
    <w:qFormat/>
    <w:uiPriority w:val="99"/>
    <w:pPr>
      <w:jc w:val="left"/>
    </w:pPr>
  </w:style>
  <w:style w:type="paragraph" w:styleId="9">
    <w:name w:val="Salutation"/>
    <w:basedOn w:val="1"/>
    <w:next w:val="1"/>
    <w:link w:val="55"/>
    <w:qFormat/>
    <w:uiPriority w:val="99"/>
    <w:pPr>
      <w:spacing w:afterLines="50" w:line="420" w:lineRule="exact"/>
    </w:pPr>
    <w:rPr>
      <w:rFonts w:ascii="Times New Roman" w:hAnsi="Times New Roman" w:eastAsia="仿宋_GB2312" w:cs="Times New Roman"/>
      <w:sz w:val="28"/>
      <w:szCs w:val="28"/>
    </w:rPr>
  </w:style>
  <w:style w:type="paragraph" w:styleId="10">
    <w:name w:val="Body Text Indent"/>
    <w:basedOn w:val="1"/>
    <w:qFormat/>
    <w:uiPriority w:val="99"/>
    <w:pPr>
      <w:ind w:left="420"/>
    </w:pPr>
    <w:rPr>
      <w:rFonts w:ascii="仿宋_GB2312" w:eastAsia="仿宋_GB2312"/>
    </w:rPr>
  </w:style>
  <w:style w:type="paragraph" w:styleId="11">
    <w:name w:val="toc 3"/>
    <w:basedOn w:val="1"/>
    <w:next w:val="1"/>
    <w:semiHidden/>
    <w:qFormat/>
    <w:uiPriority w:val="99"/>
    <w:pPr>
      <w:spacing w:line="320" w:lineRule="exact"/>
      <w:ind w:left="600" w:leftChars="200" w:firstLine="720" w:firstLineChars="200"/>
    </w:pPr>
    <w:rPr>
      <w:rFonts w:eastAsia="隶书"/>
      <w:sz w:val="28"/>
      <w:szCs w:val="28"/>
    </w:rPr>
  </w:style>
  <w:style w:type="paragraph" w:styleId="12">
    <w:name w:val="footer"/>
    <w:basedOn w:val="1"/>
    <w:link w:val="56"/>
    <w:qFormat/>
    <w:uiPriority w:val="99"/>
    <w:pPr>
      <w:tabs>
        <w:tab w:val="center" w:pos="4153"/>
        <w:tab w:val="right" w:pos="8306"/>
      </w:tabs>
      <w:snapToGrid w:val="0"/>
      <w:jc w:val="left"/>
    </w:pPr>
    <w:rPr>
      <w:sz w:val="18"/>
      <w:szCs w:val="18"/>
    </w:rPr>
  </w:style>
  <w:style w:type="paragraph" w:styleId="13">
    <w:name w:val="header"/>
    <w:basedOn w:val="1"/>
    <w:link w:val="57"/>
    <w:semiHidden/>
    <w:qFormat/>
    <w:uiPriority w:val="99"/>
    <w:pPr>
      <w:pBdr>
        <w:bottom w:val="single" w:color="auto" w:sz="6" w:space="1"/>
      </w:pBdr>
      <w:tabs>
        <w:tab w:val="center" w:pos="4153"/>
        <w:tab w:val="right" w:pos="8306"/>
      </w:tabs>
      <w:snapToGrid w:val="0"/>
      <w:jc w:val="center"/>
    </w:pPr>
    <w:rPr>
      <w:sz w:val="18"/>
      <w:szCs w:val="18"/>
    </w:rPr>
  </w:style>
  <w:style w:type="paragraph" w:styleId="14">
    <w:name w:val="toc 4"/>
    <w:basedOn w:val="1"/>
    <w:next w:val="1"/>
    <w:semiHidden/>
    <w:qFormat/>
    <w:uiPriority w:val="99"/>
    <w:pPr>
      <w:spacing w:line="420" w:lineRule="exact"/>
      <w:ind w:left="1200" w:leftChars="400" w:firstLine="720" w:firstLineChars="200"/>
    </w:pPr>
    <w:rPr>
      <w:rFonts w:ascii="Times New Roman" w:hAnsi="Times New Roman" w:eastAsia="隶书" w:cs="Times New Roman"/>
      <w:sz w:val="28"/>
      <w:szCs w:val="28"/>
    </w:rPr>
  </w:style>
  <w:style w:type="paragraph" w:styleId="15">
    <w:name w:val="toc 2"/>
    <w:basedOn w:val="1"/>
    <w:next w:val="1"/>
    <w:semiHidden/>
    <w:qFormat/>
    <w:uiPriority w:val="99"/>
    <w:pPr>
      <w:spacing w:line="220" w:lineRule="exact"/>
      <w:ind w:firstLine="720" w:firstLineChars="200"/>
    </w:pPr>
    <w:rPr>
      <w:rFonts w:eastAsia="隶书"/>
      <w:sz w:val="24"/>
      <w:szCs w:val="24"/>
    </w:rPr>
  </w:style>
  <w:style w:type="paragraph" w:styleId="16">
    <w:name w:val="Normal (Web)"/>
    <w:basedOn w:val="1"/>
    <w:qFormat/>
    <w:uiPriority w:val="0"/>
    <w:pPr>
      <w:widowControl/>
      <w:jc w:val="left"/>
    </w:pPr>
    <w:rPr>
      <w:rFonts w:ascii="宋体" w:hAnsi="宋体" w:cs="宋体"/>
      <w:kern w:val="0"/>
      <w:sz w:val="24"/>
    </w:rPr>
  </w:style>
  <w:style w:type="paragraph" w:styleId="17">
    <w:name w:val="Body Text First Indent 2"/>
    <w:basedOn w:val="10"/>
    <w:qFormat/>
    <w:uiPriority w:val="99"/>
    <w:pPr>
      <w:spacing w:after="120"/>
      <w:ind w:left="200" w:leftChars="200" w:firstLine="420" w:firstLineChars="200"/>
    </w:pPr>
    <w:rPr>
      <w:rFonts w:ascii="Times New Roman"/>
    </w:rPr>
  </w:style>
  <w:style w:type="table" w:styleId="19">
    <w:name w:val="Table Grid"/>
    <w:basedOn w:val="18"/>
    <w:qFormat/>
    <w:uiPriority w:val="99"/>
    <w:rPr>
      <w:rFonts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1">
    <w:name w:val="Strong"/>
    <w:basedOn w:val="20"/>
    <w:qFormat/>
    <w:locked/>
    <w:uiPriority w:val="0"/>
    <w:rPr>
      <w:b/>
    </w:rPr>
  </w:style>
  <w:style w:type="character" w:styleId="22">
    <w:name w:val="FollowedHyperlink"/>
    <w:qFormat/>
    <w:uiPriority w:val="99"/>
    <w:rPr>
      <w:color w:val="800080"/>
      <w:u w:val="single"/>
    </w:rPr>
  </w:style>
  <w:style w:type="character" w:styleId="23">
    <w:name w:val="Hyperlink"/>
    <w:qFormat/>
    <w:uiPriority w:val="99"/>
    <w:rPr>
      <w:color w:val="0000FF"/>
      <w:u w:val="single"/>
    </w:rPr>
  </w:style>
  <w:style w:type="paragraph" w:styleId="24">
    <w:name w:val="List Paragraph"/>
    <w:basedOn w:val="1"/>
    <w:qFormat/>
    <w:uiPriority w:val="99"/>
    <w:pPr>
      <w:ind w:firstLine="420" w:firstLineChars="200"/>
    </w:pPr>
  </w:style>
  <w:style w:type="paragraph" w:customStyle="1" w:styleId="25">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6">
    <w:name w:val="font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7">
    <w:name w:val="font7"/>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8">
    <w:name w:val="font8"/>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9">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color w:val="000000"/>
      <w:kern w:val="0"/>
      <w:sz w:val="24"/>
      <w:szCs w:val="24"/>
    </w:rPr>
  </w:style>
  <w:style w:type="paragraph" w:customStyle="1" w:styleId="30">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1">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2">
    <w:name w:val="xl6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3">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34">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35">
    <w:name w:val="xl70"/>
    <w:basedOn w:val="1"/>
    <w:qFormat/>
    <w:uiPriority w:val="99"/>
    <w:pPr>
      <w:widowControl/>
      <w:spacing w:before="100" w:beforeAutospacing="1" w:after="100" w:afterAutospacing="1"/>
      <w:jc w:val="left"/>
    </w:pPr>
    <w:rPr>
      <w:rFonts w:ascii="仿宋" w:hAnsi="仿宋" w:eastAsia="仿宋" w:cs="仿宋"/>
      <w:kern w:val="0"/>
      <w:sz w:val="24"/>
      <w:szCs w:val="24"/>
    </w:rPr>
  </w:style>
  <w:style w:type="paragraph" w:customStyle="1" w:styleId="36">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kern w:val="0"/>
      <w:sz w:val="24"/>
      <w:szCs w:val="24"/>
    </w:rPr>
  </w:style>
  <w:style w:type="paragraph" w:customStyle="1" w:styleId="37">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8">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color w:val="000000"/>
      <w:kern w:val="0"/>
      <w:sz w:val="24"/>
      <w:szCs w:val="24"/>
    </w:rPr>
  </w:style>
  <w:style w:type="paragraph" w:customStyle="1" w:styleId="39">
    <w:name w:val="xl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40">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仿宋" w:hAnsi="仿宋" w:eastAsia="仿宋" w:cs="仿宋"/>
      <w:kern w:val="0"/>
      <w:sz w:val="24"/>
      <w:szCs w:val="24"/>
    </w:rPr>
  </w:style>
  <w:style w:type="paragraph" w:customStyle="1" w:styleId="41">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color w:val="000000"/>
      <w:kern w:val="0"/>
      <w:sz w:val="24"/>
      <w:szCs w:val="24"/>
    </w:rPr>
  </w:style>
  <w:style w:type="paragraph" w:customStyle="1" w:styleId="42">
    <w:name w:val="xl7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3">
    <w:name w:val="xl78"/>
    <w:basedOn w:val="1"/>
    <w:qFormat/>
    <w:uiPriority w:val="99"/>
    <w:pPr>
      <w:widowControl/>
      <w:pBdr>
        <w:left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4">
    <w:name w:val="xl79"/>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5">
    <w:name w:val="xl8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46">
    <w:name w:val="xl81"/>
    <w:basedOn w:val="1"/>
    <w:qFormat/>
    <w:uiPriority w:val="99"/>
    <w:pPr>
      <w:widowControl/>
      <w:pBdr>
        <w:top w:val="single" w:color="auto" w:sz="4" w:space="0"/>
        <w:bottom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47">
    <w:name w:val="xl82"/>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48">
    <w:name w:val="xl8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49">
    <w:name w:val="Fließtext"/>
    <w:basedOn w:val="1"/>
    <w:qFormat/>
    <w:uiPriority w:val="0"/>
    <w:pPr>
      <w:overflowPunct w:val="0"/>
      <w:autoSpaceDE w:val="0"/>
      <w:autoSpaceDN w:val="0"/>
      <w:adjustRightInd w:val="0"/>
      <w:textAlignment w:val="baseline"/>
    </w:pPr>
    <w:rPr>
      <w:kern w:val="28"/>
      <w:szCs w:val="20"/>
    </w:rPr>
  </w:style>
  <w:style w:type="paragraph" w:customStyle="1" w:styleId="50">
    <w:name w:val="null3"/>
    <w:qFormat/>
    <w:uiPriority w:val="0"/>
    <w:rPr>
      <w:rFonts w:hint="eastAsia" w:ascii="Calibri" w:hAnsi="Calibri" w:eastAsia="宋体" w:cs="Times New Roman"/>
      <w:lang w:val="en-US" w:eastAsia="zh-CN" w:bidi="ar-SA"/>
    </w:rPr>
  </w:style>
  <w:style w:type="paragraph" w:customStyle="1" w:styleId="51">
    <w:name w:val="_Style 49"/>
    <w:unhideWhenUsed/>
    <w:qFormat/>
    <w:uiPriority w:val="99"/>
    <w:rPr>
      <w:rFonts w:ascii="Calibri" w:hAnsi="Calibri" w:eastAsia="宋体" w:cs="Calibri"/>
      <w:kern w:val="2"/>
      <w:sz w:val="21"/>
      <w:szCs w:val="21"/>
      <w:lang w:val="en-US" w:eastAsia="zh-CN" w:bidi="ar-SA"/>
    </w:rPr>
  </w:style>
  <w:style w:type="character" w:customStyle="1" w:styleId="52">
    <w:name w:val="标题 2 Char"/>
    <w:link w:val="5"/>
    <w:qFormat/>
    <w:locked/>
    <w:uiPriority w:val="99"/>
    <w:rPr>
      <w:rFonts w:ascii="Arial" w:hAnsi="Arial" w:eastAsia="黑体" w:cs="Arial"/>
      <w:b/>
      <w:bCs/>
      <w:color w:val="000080"/>
      <w:sz w:val="24"/>
      <w:szCs w:val="24"/>
    </w:rPr>
  </w:style>
  <w:style w:type="character" w:customStyle="1" w:styleId="53">
    <w:name w:val="标题 3 Char"/>
    <w:link w:val="6"/>
    <w:qFormat/>
    <w:locked/>
    <w:uiPriority w:val="99"/>
    <w:rPr>
      <w:b/>
      <w:bCs/>
      <w:sz w:val="32"/>
      <w:szCs w:val="32"/>
    </w:rPr>
  </w:style>
  <w:style w:type="character" w:customStyle="1" w:styleId="54">
    <w:name w:val="标题 4 Char"/>
    <w:link w:val="7"/>
    <w:qFormat/>
    <w:locked/>
    <w:uiPriority w:val="99"/>
    <w:rPr>
      <w:rFonts w:ascii="Cambria" w:hAnsi="Cambria" w:eastAsia="宋体" w:cs="Cambria"/>
      <w:b/>
      <w:bCs/>
      <w:sz w:val="28"/>
      <w:szCs w:val="28"/>
    </w:rPr>
  </w:style>
  <w:style w:type="character" w:customStyle="1" w:styleId="55">
    <w:name w:val="称呼 Char"/>
    <w:link w:val="9"/>
    <w:qFormat/>
    <w:locked/>
    <w:uiPriority w:val="99"/>
    <w:rPr>
      <w:rFonts w:ascii="Times New Roman" w:hAnsi="Times New Roman" w:eastAsia="仿宋_GB2312" w:cs="Times New Roman"/>
      <w:sz w:val="24"/>
      <w:szCs w:val="24"/>
    </w:rPr>
  </w:style>
  <w:style w:type="character" w:customStyle="1" w:styleId="56">
    <w:name w:val="页脚 Char"/>
    <w:link w:val="12"/>
    <w:qFormat/>
    <w:locked/>
    <w:uiPriority w:val="99"/>
    <w:rPr>
      <w:sz w:val="18"/>
      <w:szCs w:val="18"/>
    </w:rPr>
  </w:style>
  <w:style w:type="character" w:customStyle="1" w:styleId="57">
    <w:name w:val="页眉 Char"/>
    <w:link w:val="13"/>
    <w:semiHidden/>
    <w:qFormat/>
    <w:locked/>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114C56-D9B3-4BE3-8392-F38E98F44C8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3236</Words>
  <Characters>3349</Characters>
  <Lines>25</Lines>
  <Paragraphs>7</Paragraphs>
  <TotalTime>0</TotalTime>
  <ScaleCrop>false</ScaleCrop>
  <LinksUpToDate>false</LinksUpToDate>
  <CharactersWithSpaces>3385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2026-07-10T02:22:00Z</dcterms:created>
  <dc:creator>lenovo</dc:creator>
  <cp:lastModifiedBy>彩虹</cp:lastModifiedBy>
  <cp:lastPrinted>2025-10-11T09:01:00Z</cp:lastPrinted>
  <dcterms:modified xsi:type="dcterms:W3CDTF">2026-09-16T08:51:43Z</dcterms:modified>
  <dc:title>采购年度实验室试剂</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A7BD634407AD421DB698143EFD5CB0A8_13</vt:lpwstr>
  </property>
  <property fmtid="{D5CDD505-2E9C-101B-9397-08002B2CF9AE}" pid="4" name="KSOTemplateDocerSaveRecord">
    <vt:lpwstr>eyJoZGlkIjoiMmI4NGEwYTIzNDYwZDhkNjY2MmU1ZWRjZWJjMjhlMjYiLCJ1c2VySWQiOiIzNjUzODI4MTYifQ==</vt:lpwstr>
  </property>
</Properties>
</file>