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54590">
      <w:pPr>
        <w:rPr>
          <w:rFonts w:hint="eastAsia" w:ascii="华文仿宋" w:hAnsi="华文仿宋" w:eastAsia="华文仿宋" w:cs="华文仿宋"/>
          <w:b/>
          <w:bCs/>
          <w:sz w:val="32"/>
          <w:szCs w:val="32"/>
          <w:lang w:eastAsia="zh-CN"/>
        </w:rPr>
      </w:pPr>
    </w:p>
    <w:p w14:paraId="586ECE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附件：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</w:rPr>
        <w:t>仪器设备升级改造内容及要求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  <w:lang w:eastAsia="zh-CN"/>
        </w:rPr>
        <w:t>（高锰酸盐指数）</w:t>
      </w:r>
    </w:p>
    <w:p w14:paraId="7D7EBA91">
      <w:pPr>
        <w:pStyle w:val="6"/>
        <w:keepNext w:val="0"/>
        <w:keepLines w:val="0"/>
        <w:widowControl/>
        <w:numPr>
          <w:ilvl w:val="3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Chars="0" w:right="0" w:rightChars="0" w:firstLine="482" w:firstLineChars="200"/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  <w:t>仪器设备信息</w:t>
      </w:r>
    </w:p>
    <w:p w14:paraId="438A0FAA">
      <w:pPr>
        <w:pStyle w:val="6"/>
        <w:keepNext w:val="0"/>
        <w:keepLines w:val="0"/>
        <w:widowControl/>
        <w:numPr>
          <w:ilvl w:val="3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leftChars="0" w:right="0" w:rightChars="0" w:firstLine="48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高锰酸盐指数分析仪（1套）：仪器型号为CGM400E，仪器厂家为上海北裕，购置时间为2020年。</w:t>
      </w:r>
    </w:p>
    <w:p w14:paraId="4BD3BDD6">
      <w:pPr>
        <w:pStyle w:val="6"/>
        <w:keepNext w:val="0"/>
        <w:keepLines w:val="0"/>
        <w:widowControl/>
        <w:numPr>
          <w:ilvl w:val="3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leftChars="0" w:right="0" w:rightChars="0" w:firstLine="482" w:firstLineChars="200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、改造标准依据</w:t>
      </w:r>
    </w:p>
    <w:p w14:paraId="58338D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升级改造后，高锰酸盐指数分析仪必须满足以下现行标准：</w:t>
      </w:r>
    </w:p>
    <w:p w14:paraId="6E7EA89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479" w:leftChars="228" w:right="0" w:rightChars="0" w:firstLine="0" w:firstLineChars="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1.《水质 高锰酸盐指数的测定 草酸钠还原酸性滴定法》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highlight w:val="none"/>
          <w:lang w:val="en-US" w:eastAsia="zh-CN" w:bidi="ar"/>
        </w:rPr>
        <w:t>（HJ 1445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highlight w:val="none"/>
          <w:lang w:val="en-US" w:eastAsia="zh-CN" w:bidi="ar"/>
        </w:rPr>
        <w:noBreakHyphen/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highlight w:val="none"/>
          <w:lang w:val="en-US" w:eastAsia="zh-CN" w:bidi="ar"/>
        </w:rPr>
        <w:t>2026 ）2.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《水质 高锰酸盐指数的测定 草酸钠还原碱性滴定法》（HJ 1446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noBreakHyphen/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2026 ）</w:t>
      </w:r>
    </w:p>
    <w:p w14:paraId="039DE84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Chars="0" w:right="0" w:rightChars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3.《水质 高锰酸盐指数的测定 碘化钾还原碱性滴定法》（HJ 1447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noBreakHyphen/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 xml:space="preserve">2026） </w:t>
      </w:r>
    </w:p>
    <w:p w14:paraId="187BB0FF">
      <w:pPr>
        <w:pStyle w:val="6"/>
        <w:keepNext w:val="0"/>
        <w:keepLines w:val="0"/>
        <w:widowControl/>
        <w:numPr>
          <w:ilvl w:val="3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leftChars="0" w:right="0" w:rightChars="0" w:firstLine="482" w:firstLineChars="200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、硬件升级改造要求</w:t>
      </w:r>
    </w:p>
    <w:p w14:paraId="0E6ADAB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1.消解位：由原有 5 位升级至不少于 15 位，满足样品分析速度。</w:t>
      </w:r>
    </w:p>
    <w:p w14:paraId="4D2787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2.消解方式：电浴加热改造为水浴加热，符合新标准要求。</w:t>
      </w:r>
    </w:p>
    <w:p w14:paraId="5233D8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3.滴定位升级为 3 个，适配不同标准滴定方法。</w:t>
      </w:r>
    </w:p>
    <w:p w14:paraId="13FA891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4.增加氯离子判断功能：仪器自动判定水样氯离子浓度，自动选择对应标准方法执行测试。</w:t>
      </w:r>
    </w:p>
    <w:p w14:paraId="3110D83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5. 智能化改造：实现自动进样、智能稀释、自动选择滴定方法。</w:t>
      </w:r>
    </w:p>
    <w:p w14:paraId="0C4F17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6.消解杯清洗：消解杯支持 180°自动翻转清洗，清洗后具备风干功能。</w:t>
      </w:r>
    </w:p>
    <w:p w14:paraId="2018E1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7.增设适配 HJ1447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noBreakHyphen/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2026 的暗室避光消解位置，配套增加对应试剂管路。</w:t>
      </w:r>
    </w:p>
    <w:p w14:paraId="0ED0DF0E">
      <w:pPr>
        <w:pStyle w:val="6"/>
        <w:keepNext w:val="0"/>
        <w:keepLines w:val="0"/>
        <w:widowControl/>
        <w:numPr>
          <w:ilvl w:val="3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leftChars="0" w:right="0" w:rightChars="0" w:firstLine="482" w:firstLineChars="200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、升级后整机功能指标</w:t>
      </w:r>
    </w:p>
    <w:p w14:paraId="1EAEE81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2" w:firstLineChars="200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 xml:space="preserve"> 环境条件</w:t>
      </w:r>
    </w:p>
    <w:p w14:paraId="390EB1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1.1电源：220V，50Hz，功率 2.2kW；</w:t>
      </w:r>
    </w:p>
    <w:p w14:paraId="6B2D15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1.2工作环境温度：10-35℃；相对湿度：</w:t>
      </w:r>
      <w:bookmarkStart w:id="0" w:name="_GoBack"/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20-70%</w:t>
      </w:r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。</w:t>
      </w:r>
    </w:p>
    <w:p w14:paraId="29F249A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2" w:firstLineChars="200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全自动智能系统</w:t>
      </w:r>
    </w:p>
    <w:p w14:paraId="7C1F37D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2.1全自动流程：自动加样、自动加试剂、消解、冷却、混匀定容、自动检测、数据处理、自动报告、自动清洗，全程无人值守；支持连续循环加样不间断检测。</w:t>
      </w:r>
    </w:p>
    <w:p w14:paraId="39C3524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2.2多单元并行独立控制：加样位、样品位、检测位、清洗位模块化独立时序控制，工位并行作业互不干扰，保障连续高效运行。</w:t>
      </w:r>
    </w:p>
    <w:p w14:paraId="407C37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2.3 智能定量取样和稀释：仪器自动精准取样，支持手动设定稀释比例，也可依据水样实际浓度自动调整稀释比例。</w:t>
      </w:r>
    </w:p>
    <w:p w14:paraId="1B359E3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highlight w:val="none"/>
          <w:lang w:val="en-US" w:eastAsia="zh-CN" w:bidi="ar"/>
        </w:rPr>
        <w:t>2.4智能样品预判模块：仪器自动预判水样氯离子浓度，依据氯离子自动切换 HJ1445-2006、HJ1446-2006、HJ1447-2006 等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方法开展测试。</w:t>
      </w:r>
    </w:p>
    <w:p w14:paraId="6C893C1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2.5 试剂量智能监控：实时显示试剂液位，试剂到达报警阈值自动停止检测并声光报警。</w:t>
      </w:r>
    </w:p>
    <w:p w14:paraId="6BDF8A2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2.6 智能滴定终点判断：配置 3 套机器视觉检测器，模拟人眼颜色识别判定滴定终点；滴定全过程视频录像，支持回放溯源。</w:t>
      </w:r>
    </w:p>
    <w:p w14:paraId="26BBC7E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2.7抗干扰：具备水样色度、浊度干扰消除功能。</w:t>
      </w:r>
    </w:p>
    <w:p w14:paraId="59401B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2.8高效自动清洗系统：消解杯自动翻转清洗，消解杯清洗完毕可重复使用，不受样品杯数量限制。</w:t>
      </w:r>
    </w:p>
    <w:p w14:paraId="6597D9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2.9独立自动进样系统：配置独立自动进样器，样品位数≥80 位；进样器配置独立 X/Y/Z 三轴机械臂，不得共用主机机械臂。</w:t>
      </w:r>
    </w:p>
    <w:p w14:paraId="46E936C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2" w:firstLineChars="200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流路系统</w:t>
      </w:r>
    </w:p>
    <w:p w14:paraId="2B3FDE1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3.1 具备独立液体流路，泵体、管路相互独立；</w:t>
      </w:r>
    </w:p>
    <w:p w14:paraId="08B32E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3.2  具备3套完全独立滴定通道，同时滴定，各通道独立注射泵、滴定臂、机器视觉检测器；碘化钾还原滴定通道与消解位距离大于15cm，实现常温滴定；</w:t>
      </w:r>
    </w:p>
    <w:p w14:paraId="452B11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3.3 配置 3 台高精度注射泵，10.0mL 量程下泵精度 0.05ml；</w:t>
      </w:r>
    </w:p>
    <w:p w14:paraId="4E0CCF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3.4 配置 8 台高精度试剂泵，10.0mL 量程下泵精度 0.05ml；</w:t>
      </w:r>
    </w:p>
    <w:p w14:paraId="2FCB52C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3.5 最小滴定体积：0.02 ml。</w:t>
      </w:r>
    </w:p>
    <w:p w14:paraId="73C3396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2" w:firstLineChars="200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数据处理</w:t>
      </w:r>
    </w:p>
    <w:p w14:paraId="3EDD59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4.1自带控制系统中文界面，无需外接电脑；可完成标准曲线绘制、数据存储、调用、自动生成测试报告；</w:t>
      </w:r>
    </w:p>
    <w:p w14:paraId="367BB77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4.2支持快速编制工作列表，支持紧急插样；可将数据输出对接 LIMS 系统。</w:t>
      </w:r>
    </w:p>
    <w:p w14:paraId="43BA461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2" w:firstLineChars="200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 xml:space="preserve"> 分析技术指标</w:t>
      </w:r>
    </w:p>
    <w:p w14:paraId="514D1DF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5.1高锰酸盐指数原理：酸性、碱性高锰酸钾滴定法；测定范围：0.05~7.0 mg/L；检测速度：20 样 / 小时；精密度：RSD≤3%，3mg/L 葡萄糖标准溶液连续 6 次测定；准确度：测定结果在质控样品允许范围；消解位≥15 位。</w:t>
      </w:r>
    </w:p>
    <w:p w14:paraId="50B2A7C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5.2水质总硬度原理：乙二胺四乙酸二钠滴定法；检测速度：20 样 / 小时；最低检出浓度：1mg/L；精密度：RSD≤1%（200mg/L 标准溶液连续 6 次测定）；准确度：质控样品允许范围内。</w:t>
      </w:r>
    </w:p>
    <w:p w14:paraId="19337CD5">
      <w:pPr>
        <w:pStyle w:val="6"/>
        <w:keepNext w:val="0"/>
        <w:keepLines w:val="0"/>
        <w:widowControl/>
        <w:numPr>
          <w:ilvl w:val="3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Chars="0" w:right="0" w:rightChars="0" w:firstLine="482" w:firstLineChars="200"/>
        <w:rPr>
          <w:rFonts w:hint="eastAsia" w:ascii="仿宋_GB2312" w:hAnsi="仿宋_GB2312" w:eastAsia="仿宋_GB2312" w:cs="仿宋_GB2312"/>
          <w:strike w:val="0"/>
          <w:dstrike w:val="0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strike w:val="0"/>
          <w:dstrike w:val="0"/>
          <w:color w:val="000000"/>
          <w:sz w:val="24"/>
          <w:szCs w:val="24"/>
          <w:lang w:eastAsia="zh-CN"/>
        </w:rPr>
        <w:t>五、</w:t>
      </w:r>
      <w:r>
        <w:rPr>
          <w:rFonts w:hint="eastAsia" w:ascii="仿宋_GB2312" w:hAnsi="仿宋_GB2312" w:eastAsia="仿宋_GB2312" w:cs="仿宋_GB2312"/>
          <w:strike w:val="0"/>
          <w:dstrike w:val="0"/>
          <w:color w:val="000000"/>
          <w:sz w:val="24"/>
          <w:szCs w:val="24"/>
        </w:rPr>
        <w:t>配套配置清单（升级改造后交付配置）</w:t>
      </w:r>
    </w:p>
    <w:p w14:paraId="72C8FD2B">
      <w:pPr>
        <w:widowControl w:val="0"/>
        <w:numPr>
          <w:ilvl w:val="0"/>
          <w:numId w:val="0"/>
        </w:numPr>
        <w:jc w:val="both"/>
      </w:pP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4936"/>
        <w:gridCol w:w="986"/>
        <w:gridCol w:w="976"/>
      </w:tblGrid>
      <w:tr w14:paraId="69D6C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20" w:type="dxa"/>
          </w:tcPr>
          <w:p w14:paraId="1A15B41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4936" w:type="dxa"/>
          </w:tcPr>
          <w:p w14:paraId="2570E690">
            <w:pPr>
              <w:pStyle w:val="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986" w:type="dxa"/>
          </w:tcPr>
          <w:p w14:paraId="75CC56FA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数量</w:t>
            </w:r>
          </w:p>
        </w:tc>
        <w:tc>
          <w:tcPr>
            <w:tcW w:w="976" w:type="dxa"/>
          </w:tcPr>
          <w:p w14:paraId="020CD703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</w:tr>
      <w:tr w14:paraId="50DE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720" w:type="dxa"/>
            <w:vAlign w:val="center"/>
          </w:tcPr>
          <w:p w14:paraId="08C8ACF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936" w:type="dxa"/>
            <w:vAlign w:val="center"/>
          </w:tcPr>
          <w:p w14:paraId="76D5ABA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高锰酸盐指数分析仪（含水浴模块、加液模块，机械视觉滴定模块，自动稀释模块，自动清洗模块、数据处理控制系统）</w:t>
            </w:r>
          </w:p>
        </w:tc>
        <w:tc>
          <w:tcPr>
            <w:tcW w:w="986" w:type="dxa"/>
            <w:vAlign w:val="center"/>
          </w:tcPr>
          <w:p w14:paraId="42382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976" w:type="dxa"/>
            <w:vAlign w:val="center"/>
          </w:tcPr>
          <w:p w14:paraId="65C051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</w:tr>
      <w:tr w14:paraId="120C0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720" w:type="dxa"/>
            <w:vAlign w:val="center"/>
          </w:tcPr>
          <w:p w14:paraId="2417AE6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936" w:type="dxa"/>
            <w:vAlign w:val="center"/>
          </w:tcPr>
          <w:p w14:paraId="41037BF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自动进样器（样品位不少于 80 位，配备专用的进样针自动清洗位）</w:t>
            </w:r>
          </w:p>
        </w:tc>
        <w:tc>
          <w:tcPr>
            <w:tcW w:w="986" w:type="dxa"/>
            <w:vAlign w:val="center"/>
          </w:tcPr>
          <w:p w14:paraId="04CA1F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976" w:type="dxa"/>
            <w:vAlign w:val="center"/>
          </w:tcPr>
          <w:p w14:paraId="07BE8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</w:tr>
      <w:tr w14:paraId="55004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20" w:type="dxa"/>
            <w:vAlign w:val="center"/>
          </w:tcPr>
          <w:p w14:paraId="17AB287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936" w:type="dxa"/>
            <w:vAlign w:val="center"/>
          </w:tcPr>
          <w:p w14:paraId="1CC7BF5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样品杯（体积不小于 200 ml ）</w:t>
            </w:r>
          </w:p>
        </w:tc>
        <w:tc>
          <w:tcPr>
            <w:tcW w:w="986" w:type="dxa"/>
            <w:vAlign w:val="center"/>
          </w:tcPr>
          <w:p w14:paraId="2366C0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500</w:t>
            </w:r>
          </w:p>
        </w:tc>
        <w:tc>
          <w:tcPr>
            <w:tcW w:w="976" w:type="dxa"/>
            <w:vAlign w:val="center"/>
          </w:tcPr>
          <w:p w14:paraId="4EB48D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个</w:t>
            </w:r>
          </w:p>
        </w:tc>
      </w:tr>
      <w:tr w14:paraId="253EF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20" w:type="dxa"/>
            <w:vAlign w:val="center"/>
          </w:tcPr>
          <w:p w14:paraId="7BE5A7E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936" w:type="dxa"/>
            <w:vAlign w:val="center"/>
          </w:tcPr>
          <w:p w14:paraId="054BF4B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消解杯及磁力搅拌子（体积不小于 140 ml）</w:t>
            </w:r>
          </w:p>
        </w:tc>
        <w:tc>
          <w:tcPr>
            <w:tcW w:w="986" w:type="dxa"/>
            <w:vAlign w:val="center"/>
          </w:tcPr>
          <w:p w14:paraId="3C4009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18</w:t>
            </w:r>
          </w:p>
        </w:tc>
        <w:tc>
          <w:tcPr>
            <w:tcW w:w="976" w:type="dxa"/>
            <w:vAlign w:val="center"/>
          </w:tcPr>
          <w:p w14:paraId="5056ED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套</w:t>
            </w:r>
          </w:p>
        </w:tc>
      </w:tr>
      <w:tr w14:paraId="13EF1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20" w:type="dxa"/>
            <w:vAlign w:val="center"/>
          </w:tcPr>
          <w:p w14:paraId="150C26F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936" w:type="dxa"/>
            <w:vAlign w:val="center"/>
          </w:tcPr>
          <w:p w14:paraId="265A3263">
            <w:pPr>
              <w:pStyle w:val="2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配套试剂瓶架及试剂瓶</w:t>
            </w:r>
          </w:p>
        </w:tc>
        <w:tc>
          <w:tcPr>
            <w:tcW w:w="986" w:type="dxa"/>
            <w:vAlign w:val="center"/>
          </w:tcPr>
          <w:p w14:paraId="061D1D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976" w:type="dxa"/>
            <w:vAlign w:val="center"/>
          </w:tcPr>
          <w:p w14:paraId="3383D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</w:tr>
      <w:tr w14:paraId="76B08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20" w:type="dxa"/>
            <w:vAlign w:val="center"/>
          </w:tcPr>
          <w:p w14:paraId="6002516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936" w:type="dxa"/>
            <w:vAlign w:val="center"/>
          </w:tcPr>
          <w:p w14:paraId="3172F534">
            <w:pPr>
              <w:pStyle w:val="2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COD (Mn) 标样溶液</w:t>
            </w:r>
          </w:p>
        </w:tc>
        <w:tc>
          <w:tcPr>
            <w:tcW w:w="986" w:type="dxa"/>
            <w:vAlign w:val="center"/>
          </w:tcPr>
          <w:p w14:paraId="087A5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976" w:type="dxa"/>
            <w:vAlign w:val="center"/>
          </w:tcPr>
          <w:p w14:paraId="61D80F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支</w:t>
            </w:r>
          </w:p>
        </w:tc>
      </w:tr>
      <w:tr w14:paraId="260D0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720" w:type="dxa"/>
            <w:vAlign w:val="center"/>
          </w:tcPr>
          <w:p w14:paraId="378C524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936" w:type="dxa"/>
            <w:vAlign w:val="center"/>
          </w:tcPr>
          <w:p w14:paraId="6BD351E7">
            <w:pPr>
              <w:pStyle w:val="2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样品预判模块</w:t>
            </w:r>
          </w:p>
        </w:tc>
        <w:tc>
          <w:tcPr>
            <w:tcW w:w="986" w:type="dxa"/>
            <w:vAlign w:val="center"/>
          </w:tcPr>
          <w:p w14:paraId="5DBCC9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976" w:type="dxa"/>
            <w:vAlign w:val="center"/>
          </w:tcPr>
          <w:p w14:paraId="46444E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</w:tr>
    </w:tbl>
    <w:p w14:paraId="3CA9185D">
      <w:pPr>
        <w:pStyle w:val="2"/>
      </w:pPr>
    </w:p>
    <w:p w14:paraId="689F6E53">
      <w:pPr>
        <w:pStyle w:val="2"/>
      </w:pPr>
    </w:p>
    <w:p w14:paraId="2C596182"/>
    <w:p w14:paraId="3063AAE1">
      <w:pPr>
        <w:pStyle w:val="2"/>
      </w:pPr>
    </w:p>
    <w:p w14:paraId="74EC544D"/>
    <w:p w14:paraId="6EC10CF6">
      <w:pPr>
        <w:pStyle w:val="2"/>
      </w:pPr>
    </w:p>
    <w:p w14:paraId="1FB28176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479" w:leftChars="114" w:right="0" w:rightChars="0" w:hanging="240" w:hangingChars="100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63B23D8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 w:rightChars="0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附件2：仪器设备升级改造内容及要求（紫外烟气分析仪等7台现场监测设备）</w:t>
      </w:r>
    </w:p>
    <w:p w14:paraId="47917A2C">
      <w:pPr>
        <w:pStyle w:val="6"/>
        <w:keepNext w:val="0"/>
        <w:keepLines w:val="0"/>
        <w:widowControl/>
        <w:numPr>
          <w:ilvl w:val="3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Chars="0" w:right="0" w:rightChars="0" w:firstLine="482" w:firstLineChars="200"/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  <w:t>一、仪器设备信息</w:t>
      </w:r>
    </w:p>
    <w:tbl>
      <w:tblPr>
        <w:tblStyle w:val="21"/>
        <w:tblpPr w:leftFromText="180" w:rightFromText="180" w:vertAnchor="text" w:horzAnchor="page" w:tblpX="1927" w:tblpY="24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2330"/>
        <w:gridCol w:w="1341"/>
        <w:gridCol w:w="1220"/>
        <w:gridCol w:w="951"/>
        <w:gridCol w:w="1244"/>
      </w:tblGrid>
      <w:tr w14:paraId="25A2F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shd w:val="clear" w:color="auto" w:fill="auto"/>
            <w:vAlign w:val="center"/>
          </w:tcPr>
          <w:p w14:paraId="6C0C4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2330" w:type="dxa"/>
            <w:shd w:val="clear" w:color="auto" w:fill="auto"/>
            <w:vAlign w:val="center"/>
          </w:tcPr>
          <w:p w14:paraId="4FCD4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仪器名称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0823AB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仪器型号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6AA7F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仪器厂家</w:t>
            </w:r>
          </w:p>
        </w:tc>
        <w:tc>
          <w:tcPr>
            <w:tcW w:w="951" w:type="dxa"/>
            <w:shd w:val="clear" w:color="auto" w:fill="auto"/>
            <w:vAlign w:val="center"/>
          </w:tcPr>
          <w:p w14:paraId="715135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数量（台）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674929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购置时间</w:t>
            </w:r>
          </w:p>
        </w:tc>
      </w:tr>
      <w:tr w14:paraId="1A7C9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Align w:val="center"/>
          </w:tcPr>
          <w:p w14:paraId="74A3B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330" w:type="dxa"/>
            <w:vAlign w:val="center"/>
          </w:tcPr>
          <w:p w14:paraId="616963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恒温恒流大气 / 颗粒物采样器</w:t>
            </w:r>
          </w:p>
        </w:tc>
        <w:tc>
          <w:tcPr>
            <w:tcW w:w="1341" w:type="dxa"/>
            <w:vAlign w:val="center"/>
          </w:tcPr>
          <w:p w14:paraId="5B741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MH1205</w:t>
            </w:r>
          </w:p>
        </w:tc>
        <w:tc>
          <w:tcPr>
            <w:tcW w:w="1220" w:type="dxa"/>
            <w:vAlign w:val="center"/>
          </w:tcPr>
          <w:p w14:paraId="0E3B1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青岛明华</w:t>
            </w:r>
          </w:p>
        </w:tc>
        <w:tc>
          <w:tcPr>
            <w:tcW w:w="951" w:type="dxa"/>
            <w:vAlign w:val="center"/>
          </w:tcPr>
          <w:p w14:paraId="6DDB3E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244" w:type="dxa"/>
            <w:vAlign w:val="center"/>
          </w:tcPr>
          <w:p w14:paraId="7A8D7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2021年</w:t>
            </w:r>
          </w:p>
        </w:tc>
      </w:tr>
      <w:tr w14:paraId="786F1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Align w:val="center"/>
          </w:tcPr>
          <w:p w14:paraId="57210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330" w:type="dxa"/>
            <w:vAlign w:val="center"/>
          </w:tcPr>
          <w:p w14:paraId="1FF14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大流量烟尘（气）测试仪 (20 代)</w:t>
            </w:r>
          </w:p>
        </w:tc>
        <w:tc>
          <w:tcPr>
            <w:tcW w:w="1341" w:type="dxa"/>
            <w:vAlign w:val="center"/>
          </w:tcPr>
          <w:p w14:paraId="065FB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YQ3000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1220" w:type="dxa"/>
            <w:vAlign w:val="center"/>
          </w:tcPr>
          <w:p w14:paraId="2592F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青岛明华</w:t>
            </w:r>
          </w:p>
        </w:tc>
        <w:tc>
          <w:tcPr>
            <w:tcW w:w="951" w:type="dxa"/>
            <w:vAlign w:val="center"/>
          </w:tcPr>
          <w:p w14:paraId="525041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244" w:type="dxa"/>
            <w:vAlign w:val="center"/>
          </w:tcPr>
          <w:p w14:paraId="16A084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2021年</w:t>
            </w:r>
          </w:p>
        </w:tc>
      </w:tr>
      <w:tr w14:paraId="1689F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Align w:val="center"/>
          </w:tcPr>
          <w:p w14:paraId="6AA69E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330" w:type="dxa"/>
            <w:vAlign w:val="center"/>
          </w:tcPr>
          <w:p w14:paraId="69CBEC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烟尘烟气颗粒物浓度测试仪（直读）</w:t>
            </w:r>
          </w:p>
        </w:tc>
        <w:tc>
          <w:tcPr>
            <w:tcW w:w="1341" w:type="dxa"/>
            <w:vAlign w:val="center"/>
          </w:tcPr>
          <w:p w14:paraId="3499A3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MH3300</w:t>
            </w:r>
          </w:p>
        </w:tc>
        <w:tc>
          <w:tcPr>
            <w:tcW w:w="1220" w:type="dxa"/>
            <w:vAlign w:val="center"/>
          </w:tcPr>
          <w:p w14:paraId="01422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青岛明华</w:t>
            </w:r>
          </w:p>
        </w:tc>
        <w:tc>
          <w:tcPr>
            <w:tcW w:w="951" w:type="dxa"/>
            <w:vAlign w:val="center"/>
          </w:tcPr>
          <w:p w14:paraId="6C44C7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244" w:type="dxa"/>
            <w:vAlign w:val="center"/>
          </w:tcPr>
          <w:p w14:paraId="7A41AA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2021年</w:t>
            </w:r>
          </w:p>
        </w:tc>
      </w:tr>
      <w:tr w14:paraId="7A155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678" w:type="dxa"/>
            <w:vAlign w:val="center"/>
          </w:tcPr>
          <w:p w14:paraId="4A67C7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330" w:type="dxa"/>
            <w:vAlign w:val="center"/>
          </w:tcPr>
          <w:p w14:paraId="2D6E0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紫外烟气分析仪</w:t>
            </w:r>
          </w:p>
        </w:tc>
        <w:tc>
          <w:tcPr>
            <w:tcW w:w="1341" w:type="dxa"/>
            <w:vAlign w:val="center"/>
          </w:tcPr>
          <w:p w14:paraId="19F3D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MH3200A</w:t>
            </w:r>
          </w:p>
        </w:tc>
        <w:tc>
          <w:tcPr>
            <w:tcW w:w="1220" w:type="dxa"/>
            <w:vAlign w:val="center"/>
          </w:tcPr>
          <w:p w14:paraId="1A8681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青岛明华</w:t>
            </w:r>
          </w:p>
        </w:tc>
        <w:tc>
          <w:tcPr>
            <w:tcW w:w="951" w:type="dxa"/>
            <w:vAlign w:val="center"/>
          </w:tcPr>
          <w:p w14:paraId="14BE4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244" w:type="dxa"/>
            <w:vAlign w:val="center"/>
          </w:tcPr>
          <w:p w14:paraId="17D2A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2021年</w:t>
            </w:r>
          </w:p>
        </w:tc>
      </w:tr>
      <w:tr w14:paraId="7D8BF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78" w:type="dxa"/>
            <w:vAlign w:val="center"/>
          </w:tcPr>
          <w:p w14:paraId="44092C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30" w:type="dxa"/>
            <w:vAlign w:val="center"/>
          </w:tcPr>
          <w:p w14:paraId="7C50E6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合计</w:t>
            </w:r>
          </w:p>
        </w:tc>
        <w:tc>
          <w:tcPr>
            <w:tcW w:w="1341" w:type="dxa"/>
            <w:vAlign w:val="center"/>
          </w:tcPr>
          <w:p w14:paraId="3DA404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0" w:type="dxa"/>
            <w:vAlign w:val="center"/>
          </w:tcPr>
          <w:p w14:paraId="011B1C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51" w:type="dxa"/>
            <w:vAlign w:val="center"/>
          </w:tcPr>
          <w:p w14:paraId="1E09D6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244" w:type="dxa"/>
            <w:vAlign w:val="center"/>
          </w:tcPr>
          <w:p w14:paraId="3C8DB1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39A5C3C8">
      <w:pPr>
        <w:pStyle w:val="6"/>
        <w:keepNext w:val="0"/>
        <w:keepLines w:val="0"/>
        <w:widowControl/>
        <w:numPr>
          <w:ilvl w:val="3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leftChars="0" w:right="0" w:rightChars="0" w:firstLine="482" w:firstLineChars="200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二、改造依据标准</w:t>
      </w:r>
    </w:p>
    <w:p w14:paraId="4557AE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升级改造后，仪器设备必须满足《检验检测机构资质认定生态环境监测机构评审补充要求 (2025 年)》第十八条 现场测试和采样中“应使用具备定位、授时等功能的仪器设备或手持式终端记录点位和时间，保证现场测试或采样过程客观、真实和可追溯”的规定，满足生态环境监测仪器数据防篡改相关管理要求，适用于固定污染源废气、颗粒物、噪声现场监测作业。</w:t>
      </w:r>
    </w:p>
    <w:p w14:paraId="42C8E638">
      <w:pPr>
        <w:pStyle w:val="6"/>
        <w:keepNext w:val="0"/>
        <w:keepLines w:val="0"/>
        <w:widowControl/>
        <w:numPr>
          <w:ilvl w:val="3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leftChars="0" w:right="0" w:rightChars="0" w:firstLine="482" w:firstLineChars="200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三、硬性改造技术要求</w:t>
      </w:r>
    </w:p>
    <w:p w14:paraId="1D0B0F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1.北斗定位功能</w:t>
      </w:r>
    </w:p>
    <w:p w14:paraId="58925F4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（1）每台改造仪器内置北斗定位模块；定位信息禁止手动编辑、人工修改，仪器自动获取地理位置；</w:t>
      </w:r>
    </w:p>
    <w:p w14:paraId="653B7DE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Chars="0" w:right="0" w:rightChars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（2）启动采样 / 测试任务自动采集记录经纬度，测试过程定时更新位置；每一条监测任务完整记录绑定点位经纬度；</w:t>
      </w:r>
    </w:p>
    <w:p w14:paraId="46625FF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Chars="0" w:right="0" w:rightChars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（3）定位信息和原始数据一并存储，可查询、导出、打印，不允许人为删除单条记录定位字段；</w:t>
      </w:r>
    </w:p>
    <w:p w14:paraId="7D2E5BE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Chars="0" w:right="0" w:rightChars="0" w:firstLine="480" w:firstLineChars="2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（4）水平定位误差≤10m。</w:t>
      </w:r>
    </w:p>
    <w:p w14:paraId="0EED14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2.北斗卫星授时功能</w:t>
      </w:r>
    </w:p>
    <w:p w14:paraId="5F4EDEC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（1）仪器依靠北斗卫星自动同步系统时间，操作人员禁止手动修改系统时间，防范时间篡改；</w:t>
      </w:r>
    </w:p>
    <w:p w14:paraId="386C2D7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Chars="0" w:right="0" w:rightChars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（2）任务开始、结束、每条采样时刻均采用北斗授时标准时间；</w:t>
      </w:r>
    </w:p>
    <w:p w14:paraId="5AB07BB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Chars="0" w:right="0" w:rightChars="0" w:firstLine="480" w:firstLineChars="2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（3）授时同步误差≤1s。</w:t>
      </w:r>
    </w:p>
    <w:p w14:paraId="0E031B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3.操作日志记录功能</w:t>
      </w:r>
    </w:p>
    <w:p w14:paraId="5F45C02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highlight w:val="none"/>
          <w:lang w:val="en-US" w:eastAsia="zh-CN" w:bidi="ar"/>
        </w:rPr>
        <w:t>（1）固件生成本地存储不可删除、不可修改操作日志库，操作人员无法编辑、删除、清空日志；日志保存期限不少于 1 年且保存条数不少于5000条，日志由固件自动按策略轮转清理；</w:t>
      </w:r>
    </w:p>
    <w:p w14:paraId="1E1E747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Chars="0" w:right="0" w:rightChars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（2）日志必须记录事件：开关机、重启；任务启动 / 暂停 / 终止；量程、校准系数、采样时间等全部关键参数修改；校准、调零、标定；数据导出打印上传；定位授时异常事件；</w:t>
      </w:r>
    </w:p>
    <w:p w14:paraId="1E557A1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Chars="0" w:right="0" w:rightChars="0" w:firstLine="480" w:firstLineChars="2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（3）仪器本机屏幕支持查看日志。</w:t>
      </w:r>
    </w:p>
    <w:p w14:paraId="5629D3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4.数据直接传输功能改造完成后具备对外输出接口，原始测试、计算结果、定位、授时、任务信息直接传输至信息管理系统；传输数据包含原始采样数据、计算结果、经纬度、任务起止时间、仪器编号、校准信息；传输过程不可人工篡改数据。</w:t>
      </w:r>
    </w:p>
    <w:p w14:paraId="0F28D6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5.数据自动保存与打印功能：</w:t>
      </w:r>
    </w:p>
    <w:p w14:paraId="541679C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（1）任务结束仪器自动保存全套原始数据，无需人工点击保存；保存内容含原始测定值、计算结果、参数设置、定位、授时时间、任务编号；</w:t>
      </w:r>
    </w:p>
    <w:p w14:paraId="31DFEB4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（2）单台仪器本地存储≥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highlight w:val="none"/>
          <w:lang w:val="en-US" w:eastAsia="zh-CN" w:bidi="ar"/>
        </w:rPr>
        <w:t>5000条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完整监测任务记录；不允许单独删除单条任务；</w:t>
      </w:r>
    </w:p>
    <w:p w14:paraId="7188A05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（3）支持外接打印机输出完整报告，报告包含原始数据、计算结果、点位经纬度、任务时间、仪器编号，每份报告具备唯一任务编号，便于溯源。</w:t>
      </w:r>
    </w:p>
    <w:p w14:paraId="32F2EA0F">
      <w:pPr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3BC9FB">
    <w:pPr>
      <w:spacing w:line="183" w:lineRule="auto"/>
      <w:ind w:left="285"/>
      <w:rPr>
        <w:rFonts w:ascii="宋体" w:hAnsi="宋体" w:eastAsia="宋体" w:cs="宋体"/>
        <w:sz w:val="13"/>
        <w:szCs w:val="13"/>
      </w:rPr>
    </w:pPr>
    <w:r>
      <w:rPr>
        <w:rFonts w:ascii="宋体" w:hAnsi="宋体" w:eastAsia="宋体" w:cs="宋体"/>
        <w:spacing w:val="-4"/>
        <w:sz w:val="13"/>
        <w:szCs w:val="13"/>
      </w:rPr>
      <w:t>16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B"/>
    <w:multiLevelType w:val="multilevel"/>
    <w:tmpl w:val="0000000B"/>
    <w:lvl w:ilvl="0" w:tentative="0">
      <w:start w:val="1"/>
      <w:numFmt w:val="decimal"/>
      <w:pStyle w:val="3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4"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</w:lvl>
    <w:lvl w:ilvl="3" w:tentative="0">
      <w:start w:val="1"/>
      <w:numFmt w:val="decimal"/>
      <w:pStyle w:val="6"/>
      <w:suff w:val="space"/>
      <w:lvlText w:val="%1.%2.%3.%4"/>
      <w:lvlJc w:val="left"/>
      <w:pPr>
        <w:ind w:left="0" w:firstLine="0"/>
      </w:p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">
    <w:nsid w:val="3BF245AF"/>
    <w:multiLevelType w:val="multilevel"/>
    <w:tmpl w:val="3BF245AF"/>
    <w:lvl w:ilvl="0" w:tentative="0">
      <w:start w:val="1"/>
      <w:numFmt w:val="upperLetter"/>
      <w:pStyle w:val="5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2MzJhZDllMzY3MzFiYjIzZTcxZjlhYjM0M2NmMzMifQ=="/>
  </w:docVars>
  <w:rsids>
    <w:rsidRoot w:val="457A2D15"/>
    <w:rsid w:val="002B76FB"/>
    <w:rsid w:val="00B45BCF"/>
    <w:rsid w:val="00EC6B8C"/>
    <w:rsid w:val="012F0831"/>
    <w:rsid w:val="017F360C"/>
    <w:rsid w:val="01DE6A92"/>
    <w:rsid w:val="0220120A"/>
    <w:rsid w:val="022A6E27"/>
    <w:rsid w:val="029A7D9A"/>
    <w:rsid w:val="02E94401"/>
    <w:rsid w:val="031D5358"/>
    <w:rsid w:val="03C274D0"/>
    <w:rsid w:val="04085333"/>
    <w:rsid w:val="041F788C"/>
    <w:rsid w:val="042728DF"/>
    <w:rsid w:val="049F44D4"/>
    <w:rsid w:val="050A5D01"/>
    <w:rsid w:val="05DB6FDD"/>
    <w:rsid w:val="063B6CBC"/>
    <w:rsid w:val="06DA5BEB"/>
    <w:rsid w:val="070A25E0"/>
    <w:rsid w:val="071E2F1A"/>
    <w:rsid w:val="07C665FE"/>
    <w:rsid w:val="082D36F9"/>
    <w:rsid w:val="084E2967"/>
    <w:rsid w:val="09B07D5F"/>
    <w:rsid w:val="0A605D3F"/>
    <w:rsid w:val="0A79749B"/>
    <w:rsid w:val="0AC15C4E"/>
    <w:rsid w:val="0B6C399C"/>
    <w:rsid w:val="0BC36BE1"/>
    <w:rsid w:val="0C6B4147"/>
    <w:rsid w:val="0D046532"/>
    <w:rsid w:val="0D9B61FD"/>
    <w:rsid w:val="0DE96561"/>
    <w:rsid w:val="0E3F5337"/>
    <w:rsid w:val="0E975F28"/>
    <w:rsid w:val="0F3E782F"/>
    <w:rsid w:val="10BA1CE9"/>
    <w:rsid w:val="10E12347"/>
    <w:rsid w:val="113A4E61"/>
    <w:rsid w:val="12AB3439"/>
    <w:rsid w:val="12E31DCA"/>
    <w:rsid w:val="132C57D7"/>
    <w:rsid w:val="13400A3E"/>
    <w:rsid w:val="13C3322C"/>
    <w:rsid w:val="15200185"/>
    <w:rsid w:val="15C03EB7"/>
    <w:rsid w:val="15E944C5"/>
    <w:rsid w:val="160A4C83"/>
    <w:rsid w:val="16561F7F"/>
    <w:rsid w:val="16F14281"/>
    <w:rsid w:val="178D235F"/>
    <w:rsid w:val="18806136"/>
    <w:rsid w:val="1A007759"/>
    <w:rsid w:val="1B281F85"/>
    <w:rsid w:val="1C7865F4"/>
    <w:rsid w:val="1DB030B5"/>
    <w:rsid w:val="1E057D69"/>
    <w:rsid w:val="1E1E6D13"/>
    <w:rsid w:val="1E4C4BD7"/>
    <w:rsid w:val="1E694FCC"/>
    <w:rsid w:val="20587BC6"/>
    <w:rsid w:val="2072471E"/>
    <w:rsid w:val="20C220A1"/>
    <w:rsid w:val="20ED4C93"/>
    <w:rsid w:val="20FF7B87"/>
    <w:rsid w:val="2116462E"/>
    <w:rsid w:val="211B3642"/>
    <w:rsid w:val="214B296F"/>
    <w:rsid w:val="21532EA3"/>
    <w:rsid w:val="2176650F"/>
    <w:rsid w:val="2185344E"/>
    <w:rsid w:val="228309E9"/>
    <w:rsid w:val="22BB6CEA"/>
    <w:rsid w:val="22F15817"/>
    <w:rsid w:val="235002CB"/>
    <w:rsid w:val="23762B44"/>
    <w:rsid w:val="23D64864"/>
    <w:rsid w:val="261B25EC"/>
    <w:rsid w:val="2656573C"/>
    <w:rsid w:val="265B0167"/>
    <w:rsid w:val="270434E4"/>
    <w:rsid w:val="27F1FE2A"/>
    <w:rsid w:val="298242F1"/>
    <w:rsid w:val="2A4203D6"/>
    <w:rsid w:val="2AA20A8A"/>
    <w:rsid w:val="2AFC327F"/>
    <w:rsid w:val="2B153266"/>
    <w:rsid w:val="2B205FD7"/>
    <w:rsid w:val="2B80613C"/>
    <w:rsid w:val="2C882884"/>
    <w:rsid w:val="2CA44813"/>
    <w:rsid w:val="2DC55B1D"/>
    <w:rsid w:val="2E1F77C3"/>
    <w:rsid w:val="2E455265"/>
    <w:rsid w:val="2F8A27DC"/>
    <w:rsid w:val="2FDB507F"/>
    <w:rsid w:val="3002294D"/>
    <w:rsid w:val="325409C8"/>
    <w:rsid w:val="32765328"/>
    <w:rsid w:val="32F64094"/>
    <w:rsid w:val="338A2B5E"/>
    <w:rsid w:val="35D340E5"/>
    <w:rsid w:val="35DF0C77"/>
    <w:rsid w:val="36E56D5C"/>
    <w:rsid w:val="370E59AC"/>
    <w:rsid w:val="374E2A07"/>
    <w:rsid w:val="37851A48"/>
    <w:rsid w:val="378E130C"/>
    <w:rsid w:val="37C81048"/>
    <w:rsid w:val="37DA76B8"/>
    <w:rsid w:val="380D6333"/>
    <w:rsid w:val="3837727D"/>
    <w:rsid w:val="384C055B"/>
    <w:rsid w:val="3A4A3598"/>
    <w:rsid w:val="3B8130CE"/>
    <w:rsid w:val="3E854992"/>
    <w:rsid w:val="3F98066B"/>
    <w:rsid w:val="3FC214F0"/>
    <w:rsid w:val="3FC3401E"/>
    <w:rsid w:val="40176BC4"/>
    <w:rsid w:val="40705741"/>
    <w:rsid w:val="41205443"/>
    <w:rsid w:val="413D731E"/>
    <w:rsid w:val="416F3BBA"/>
    <w:rsid w:val="418238EE"/>
    <w:rsid w:val="431161BB"/>
    <w:rsid w:val="446C427C"/>
    <w:rsid w:val="44B153C1"/>
    <w:rsid w:val="44E44802"/>
    <w:rsid w:val="457A2D15"/>
    <w:rsid w:val="4622285A"/>
    <w:rsid w:val="49091F0B"/>
    <w:rsid w:val="4987270D"/>
    <w:rsid w:val="4B193C7B"/>
    <w:rsid w:val="4BDB6202"/>
    <w:rsid w:val="4C650342"/>
    <w:rsid w:val="4C9F6F31"/>
    <w:rsid w:val="4D2E4AAB"/>
    <w:rsid w:val="4D370F2C"/>
    <w:rsid w:val="4DBF1DDF"/>
    <w:rsid w:val="4E583F4D"/>
    <w:rsid w:val="4FDC6F37"/>
    <w:rsid w:val="4FF808C1"/>
    <w:rsid w:val="52C73070"/>
    <w:rsid w:val="532F5C37"/>
    <w:rsid w:val="54322F51"/>
    <w:rsid w:val="54994C97"/>
    <w:rsid w:val="54F46934"/>
    <w:rsid w:val="551C1304"/>
    <w:rsid w:val="556B5E7A"/>
    <w:rsid w:val="55B249D6"/>
    <w:rsid w:val="55F4225B"/>
    <w:rsid w:val="56F4091C"/>
    <w:rsid w:val="58D14279"/>
    <w:rsid w:val="58E67ECA"/>
    <w:rsid w:val="598C536D"/>
    <w:rsid w:val="5A197251"/>
    <w:rsid w:val="5A7C7D37"/>
    <w:rsid w:val="5A937CDB"/>
    <w:rsid w:val="5C2D3A59"/>
    <w:rsid w:val="5D084DFD"/>
    <w:rsid w:val="5D150570"/>
    <w:rsid w:val="5D850596"/>
    <w:rsid w:val="5E1B1F3B"/>
    <w:rsid w:val="5E263779"/>
    <w:rsid w:val="5E6E062E"/>
    <w:rsid w:val="5ECB647C"/>
    <w:rsid w:val="5EDD39AB"/>
    <w:rsid w:val="5EE46657"/>
    <w:rsid w:val="5EFA3CE8"/>
    <w:rsid w:val="5F4C59D3"/>
    <w:rsid w:val="5F846490"/>
    <w:rsid w:val="61445FC2"/>
    <w:rsid w:val="61CF1C38"/>
    <w:rsid w:val="6309501A"/>
    <w:rsid w:val="631C64C3"/>
    <w:rsid w:val="638F2F33"/>
    <w:rsid w:val="644A28F7"/>
    <w:rsid w:val="64793EC7"/>
    <w:rsid w:val="6486414B"/>
    <w:rsid w:val="64DF6B0D"/>
    <w:rsid w:val="659A2988"/>
    <w:rsid w:val="67697DF0"/>
    <w:rsid w:val="68393118"/>
    <w:rsid w:val="683C5CF5"/>
    <w:rsid w:val="6967737A"/>
    <w:rsid w:val="69AE5F00"/>
    <w:rsid w:val="6B4D1FC7"/>
    <w:rsid w:val="6BC10AEB"/>
    <w:rsid w:val="6C9B6A94"/>
    <w:rsid w:val="6CC17723"/>
    <w:rsid w:val="6CE209CF"/>
    <w:rsid w:val="6CF86A4E"/>
    <w:rsid w:val="6D3F518D"/>
    <w:rsid w:val="6E732AB1"/>
    <w:rsid w:val="6E9636EE"/>
    <w:rsid w:val="6EA75E92"/>
    <w:rsid w:val="6EBE29F5"/>
    <w:rsid w:val="704C5FBB"/>
    <w:rsid w:val="709F58F7"/>
    <w:rsid w:val="70EB1433"/>
    <w:rsid w:val="70FC25E5"/>
    <w:rsid w:val="71153C0B"/>
    <w:rsid w:val="717418BF"/>
    <w:rsid w:val="71D92760"/>
    <w:rsid w:val="723B01F0"/>
    <w:rsid w:val="73427D58"/>
    <w:rsid w:val="74035057"/>
    <w:rsid w:val="741E7E30"/>
    <w:rsid w:val="74244206"/>
    <w:rsid w:val="751F6834"/>
    <w:rsid w:val="75940451"/>
    <w:rsid w:val="75AF14F5"/>
    <w:rsid w:val="75DC2D30"/>
    <w:rsid w:val="76075FDC"/>
    <w:rsid w:val="76C23BD6"/>
    <w:rsid w:val="76F302C6"/>
    <w:rsid w:val="772C33D8"/>
    <w:rsid w:val="776F5815"/>
    <w:rsid w:val="77C07C62"/>
    <w:rsid w:val="77FF5593"/>
    <w:rsid w:val="783327CF"/>
    <w:rsid w:val="78597C0B"/>
    <w:rsid w:val="79AE77A1"/>
    <w:rsid w:val="7A8729CA"/>
    <w:rsid w:val="7AEC494A"/>
    <w:rsid w:val="7AED2F69"/>
    <w:rsid w:val="7B0E076E"/>
    <w:rsid w:val="7B190A25"/>
    <w:rsid w:val="7C0D08B4"/>
    <w:rsid w:val="7CD413D5"/>
    <w:rsid w:val="7DFE73B9"/>
    <w:rsid w:val="7EAB4C74"/>
    <w:rsid w:val="7F9050B5"/>
    <w:rsid w:val="8F35E0A8"/>
    <w:rsid w:val="E6FE3CAD"/>
    <w:rsid w:val="EFFF6F80"/>
    <w:rsid w:val="F7BFA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9" w:semiHidden="0" w:name="heading 2"/>
    <w:lsdException w:qFormat="1" w:uiPriority="0" w:name="heading 3"/>
    <w:lsdException w:qFormat="1" w:unhideWhenUsed="0" w:uiPriority="9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99" w:semiHidden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120" w:beforeLines="0" w:after="120" w:afterLines="0"/>
      <w:outlineLvl w:val="0"/>
    </w:pPr>
    <w:rPr>
      <w:rFonts w:eastAsia="宋体" w:cs="Times New Roman"/>
      <w:b/>
      <w:bCs/>
      <w:kern w:val="44"/>
      <w:sz w:val="30"/>
      <w:szCs w:val="44"/>
    </w:rPr>
  </w:style>
  <w:style w:type="paragraph" w:styleId="4">
    <w:name w:val="heading 2"/>
    <w:basedOn w:val="1"/>
    <w:next w:val="1"/>
    <w:qFormat/>
    <w:uiPriority w:val="99"/>
    <w:pPr>
      <w:keepNext/>
      <w:keepLines/>
      <w:numPr>
        <w:ilvl w:val="1"/>
        <w:numId w:val="1"/>
      </w:numPr>
      <w:spacing w:before="120" w:after="120"/>
      <w:outlineLvl w:val="1"/>
    </w:pPr>
    <w:rPr>
      <w:rFonts w:cs="Times New Roman"/>
      <w:b/>
      <w:bCs/>
      <w:sz w:val="28"/>
      <w:szCs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numPr>
        <w:ilvl w:val="0"/>
        <w:numId w:val="2"/>
      </w:numPr>
      <w:spacing w:before="260" w:after="260" w:line="400" w:lineRule="exact"/>
      <w:outlineLvl w:val="2"/>
    </w:pPr>
    <w:rPr>
      <w:rFonts w:ascii="宋体" w:hAnsi="宋体" w:eastAsia="宋体" w:cs="宋体"/>
      <w:b/>
      <w:bCs/>
      <w:color w:val="000000"/>
      <w:szCs w:val="32"/>
    </w:rPr>
  </w:style>
  <w:style w:type="paragraph" w:styleId="6">
    <w:name w:val="heading 4"/>
    <w:basedOn w:val="1"/>
    <w:next w:val="1"/>
    <w:qFormat/>
    <w:uiPriority w:val="9"/>
    <w:pPr>
      <w:keepNext/>
      <w:keepLines/>
      <w:numPr>
        <w:ilvl w:val="3"/>
        <w:numId w:val="1"/>
      </w:numPr>
      <w:spacing w:before="60" w:beforeLines="0" w:after="60" w:afterLines="0"/>
      <w:outlineLvl w:val="3"/>
    </w:pPr>
    <w:rPr>
      <w:rFonts w:eastAsia="宋体" w:cs="Times New Roman"/>
      <w:b/>
      <w:bCs/>
      <w:sz w:val="28"/>
      <w:szCs w:val="28"/>
    </w:rPr>
  </w:style>
  <w:style w:type="paragraph" w:styleId="7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22">
    <w:name w:val="Default Paragraph Font"/>
    <w:semiHidden/>
    <w:qFormat/>
    <w:uiPriority w:val="0"/>
  </w:style>
  <w:style w:type="table" w:default="1" w:styleId="2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200" w:firstLineChars="200"/>
    </w:pPr>
    <w:rPr>
      <w:rFonts w:ascii="Calibri" w:hAnsi="Calibri"/>
      <w:sz w:val="24"/>
    </w:rPr>
  </w:style>
  <w:style w:type="paragraph" w:styleId="8">
    <w:name w:val="caption"/>
    <w:basedOn w:val="1"/>
    <w:next w:val="1"/>
    <w:qFormat/>
    <w:uiPriority w:val="99"/>
    <w:pPr>
      <w:jc w:val="center"/>
    </w:pPr>
    <w:rPr>
      <w:rFonts w:eastAsia="黑体" w:cs="Times New Roman"/>
      <w:sz w:val="24"/>
      <w:szCs w:val="20"/>
    </w:rPr>
  </w:style>
  <w:style w:type="paragraph" w:styleId="9">
    <w:name w:val="Body Text"/>
    <w:basedOn w:val="1"/>
    <w:next w:val="10"/>
    <w:qFormat/>
    <w:uiPriority w:val="0"/>
    <w:pPr>
      <w:spacing w:afterLines="0" w:afterAutospacing="0"/>
    </w:pPr>
    <w:rPr>
      <w:rFonts w:ascii="Times New Roman" w:hAnsi="Times New Roman"/>
      <w:kern w:val="0"/>
    </w:rPr>
  </w:style>
  <w:style w:type="paragraph" w:styleId="10">
    <w:name w:val="toc 4"/>
    <w:next w:val="1"/>
    <w:qFormat/>
    <w:uiPriority w:val="0"/>
    <w:pPr>
      <w:wordWrap w:val="0"/>
      <w:ind w:left="850"/>
      <w:jc w:val="both"/>
    </w:pPr>
    <w:rPr>
      <w:rFonts w:ascii="Calibri" w:hAnsi="Calibri" w:eastAsia="宋体" w:cs="Times New Roman"/>
      <w:sz w:val="21"/>
      <w:lang w:val="en-US" w:eastAsia="zh-CN" w:bidi="ar-SA"/>
    </w:rPr>
  </w:style>
  <w:style w:type="paragraph" w:styleId="11">
    <w:name w:val="Body Text Indent"/>
    <w:basedOn w:val="1"/>
    <w:next w:val="12"/>
    <w:unhideWhenUsed/>
    <w:qFormat/>
    <w:uiPriority w:val="99"/>
    <w:pPr>
      <w:spacing w:after="120"/>
      <w:ind w:left="420" w:leftChars="200"/>
    </w:pPr>
  </w:style>
  <w:style w:type="paragraph" w:styleId="12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</w:rPr>
  </w:style>
  <w:style w:type="paragraph" w:styleId="13">
    <w:name w:val="Balloon Text"/>
    <w:basedOn w:val="1"/>
    <w:qFormat/>
    <w:uiPriority w:val="0"/>
    <w:rPr>
      <w:sz w:val="18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kern w:val="0"/>
      <w:sz w:val="18"/>
      <w:szCs w:val="18"/>
    </w:rPr>
  </w:style>
  <w:style w:type="paragraph" w:styleId="16">
    <w:name w:val="toc 1"/>
    <w:basedOn w:val="1"/>
    <w:next w:val="1"/>
    <w:qFormat/>
    <w:uiPriority w:val="39"/>
  </w:style>
  <w:style w:type="paragraph" w:styleId="17">
    <w:name w:val="toc 2"/>
    <w:basedOn w:val="1"/>
    <w:next w:val="1"/>
    <w:qFormat/>
    <w:uiPriority w:val="39"/>
    <w:pPr>
      <w:ind w:left="420" w:leftChars="200"/>
    </w:pPr>
  </w:style>
  <w:style w:type="paragraph" w:styleId="1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9">
    <w:name w:val="Body Text First Indent 2"/>
    <w:basedOn w:val="11"/>
    <w:next w:val="1"/>
    <w:unhideWhenUsed/>
    <w:qFormat/>
    <w:uiPriority w:val="99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</w:rPr>
  </w:style>
  <w:style w:type="character" w:styleId="24">
    <w:name w:val="page number"/>
    <w:basedOn w:val="22"/>
    <w:qFormat/>
    <w:uiPriority w:val="0"/>
  </w:style>
  <w:style w:type="paragraph" w:customStyle="1" w:styleId="25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eastAsia="宋体" w:cs="Times New Roman"/>
      <w:kern w:val="28"/>
      <w:szCs w:val="20"/>
    </w:rPr>
  </w:style>
  <w:style w:type="paragraph" w:customStyle="1" w:styleId="26">
    <w:name w:val="Body Text First Indent1"/>
    <w:basedOn w:val="1"/>
    <w:qFormat/>
    <w:uiPriority w:val="0"/>
    <w:pPr>
      <w:spacing w:line="360" w:lineRule="exact"/>
      <w:ind w:left="400" w:leftChars="400" w:firstLine="420" w:firstLineChars="100"/>
    </w:pPr>
    <w:rPr>
      <w:rFonts w:eastAsia="楷体_GB2312"/>
    </w:rPr>
  </w:style>
  <w:style w:type="paragraph" w:customStyle="1" w:styleId="27">
    <w:name w:val="Normal Indent1"/>
    <w:basedOn w:val="1"/>
    <w:qFormat/>
    <w:uiPriority w:val="0"/>
    <w:pPr>
      <w:ind w:firstLine="420" w:firstLineChars="200"/>
    </w:pPr>
  </w:style>
  <w:style w:type="paragraph" w:styleId="28">
    <w:name w:val="List Paragraph"/>
    <w:basedOn w:val="1"/>
    <w:qFormat/>
    <w:uiPriority w:val="34"/>
    <w:pPr>
      <w:ind w:firstLine="420" w:firstLineChars="200"/>
    </w:pPr>
  </w:style>
  <w:style w:type="paragraph" w:customStyle="1" w:styleId="29">
    <w:name w:val="列出段落11"/>
    <w:next w:val="1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table" w:customStyle="1" w:styleId="30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1">
    <w:name w:val="文件名称"/>
    <w:basedOn w:val="1"/>
    <w:qFormat/>
    <w:uiPriority w:val="0"/>
    <w:pPr>
      <w:widowControl/>
      <w:adjustRightInd w:val="0"/>
      <w:jc w:val="center"/>
      <w:textAlignment w:val="baseline"/>
    </w:pPr>
    <w:rPr>
      <w:rFonts w:eastAsia="黑体" w:cs="Times New Roman"/>
      <w:spacing w:val="20"/>
      <w:kern w:val="0"/>
      <w:sz w:val="44"/>
      <w:szCs w:val="20"/>
    </w:rPr>
  </w:style>
  <w:style w:type="paragraph" w:customStyle="1" w:styleId="32">
    <w:name w:val="报告正文"/>
    <w:qFormat/>
    <w:uiPriority w:val="0"/>
    <w:pPr>
      <w:spacing w:line="360" w:lineRule="auto"/>
      <w:ind w:firstLine="200" w:firstLineChars="200"/>
      <w:jc w:val="both"/>
    </w:pPr>
    <w:rPr>
      <w:rFonts w:ascii="Times New Roman" w:hAnsi="Times New Roman" w:eastAsia="宋体" w:cs="黑体"/>
      <w:kern w:val="2"/>
      <w:sz w:val="24"/>
      <w:szCs w:val="22"/>
      <w:lang w:val="en-US" w:eastAsia="zh-CN" w:bidi="ar-SA"/>
    </w:rPr>
  </w:style>
  <w:style w:type="character" w:customStyle="1" w:styleId="33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1364</Words>
  <Characters>1589</Characters>
  <Lines>0</Lines>
  <Paragraphs>0</Paragraphs>
  <TotalTime>53</TotalTime>
  <ScaleCrop>false</ScaleCrop>
  <LinksUpToDate>false</LinksUpToDate>
  <CharactersWithSpaces>1653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2022-04-07T15:21:00Z</dcterms:created>
  <dc:creator>小潘潘</dc:creator>
  <cp:lastModifiedBy>彩虹</cp:lastModifiedBy>
  <cp:lastPrinted>2026-09-29T07:31:00Z</cp:lastPrinted>
  <dcterms:modified xsi:type="dcterms:W3CDTF">2026-09-29T09:01:43Z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CA5D43C1349C403EB5BBEBB834C9F3A8_13</vt:lpwstr>
  </property>
  <property fmtid="{D5CDD505-2E9C-101B-9397-08002B2CF9AE}" pid="4" name="KSOTemplateDocerSaveRecord">
    <vt:lpwstr>eyJoZGlkIjoiMzUwMmI5YjdmNGQwOGE0NzBmMTA1MjJjNThmMDM3ODkiLCJ1c2VySWQiOiIzNDQ2NDE0MjQifQ==</vt:lpwstr>
  </property>
</Properties>
</file>